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A4FD97" w14:textId="774BF935" w:rsidR="00285261" w:rsidRDefault="00285261" w:rsidP="00E75808">
      <w:pPr>
        <w:spacing w:line="480" w:lineRule="auto"/>
        <w:rPr>
          <w:noProof/>
        </w:rPr>
      </w:pPr>
      <w:bookmarkStart w:id="0" w:name="_Hlk87255309"/>
      <w:bookmarkEnd w:id="0"/>
      <w:r>
        <w:rPr>
          <w:noProof/>
          <w:lang w:eastAsia="en-US"/>
        </w:rPr>
        <w:drawing>
          <wp:inline distT="0" distB="0" distL="0" distR="0" wp14:anchorId="0B96CCC1" wp14:editId="1F0754C6">
            <wp:extent cx="5274310" cy="41421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458D2" w14:textId="0B569418" w:rsidR="00285261" w:rsidRPr="00F15CCB" w:rsidRDefault="00285261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Supplementary </w:t>
      </w:r>
      <w:r w:rsidRPr="00285261">
        <w:rPr>
          <w:rFonts w:ascii="Arial" w:hAnsi="Arial" w:cs="Arial"/>
          <w:sz w:val="28"/>
          <w:szCs w:val="28"/>
        </w:rPr>
        <w:t>Fig 1</w:t>
      </w:r>
      <w:r>
        <w:rPr>
          <w:rFonts w:ascii="Arial" w:hAnsi="Arial" w:cs="Arial"/>
          <w:sz w:val="28"/>
          <w:szCs w:val="28"/>
        </w:rPr>
        <w:t xml:space="preserve"> </w:t>
      </w:r>
      <w:r w:rsidR="00F90952" w:rsidRPr="00F90952">
        <w:rPr>
          <w:rFonts w:ascii="Arial" w:hAnsi="Arial" w:cs="Arial"/>
          <w:sz w:val="28"/>
          <w:szCs w:val="28"/>
        </w:rPr>
        <w:t>Hierarchical clustering analysis</w:t>
      </w:r>
      <w:r w:rsidR="00F90952">
        <w:rPr>
          <w:rFonts w:ascii="Arial" w:hAnsi="Arial" w:cs="Arial"/>
          <w:sz w:val="28"/>
          <w:szCs w:val="28"/>
        </w:rPr>
        <w:t xml:space="preserve"> of GEO and TCGA datasets. </w:t>
      </w:r>
      <w:r w:rsidR="00F15CCB">
        <w:rPr>
          <w:rFonts w:ascii="Arial" w:hAnsi="Arial" w:cs="Arial"/>
          <w:sz w:val="28"/>
          <w:szCs w:val="28"/>
        </w:rPr>
        <w:t>hclust clustering</w:t>
      </w:r>
      <w:r w:rsidR="00F90952">
        <w:rPr>
          <w:rFonts w:ascii="Arial" w:hAnsi="Arial" w:cs="Arial"/>
          <w:sz w:val="28"/>
          <w:szCs w:val="28"/>
        </w:rPr>
        <w:t xml:space="preserve"> map of GEO (a)</w:t>
      </w:r>
      <w:r w:rsidR="00F15CCB">
        <w:rPr>
          <w:rFonts w:ascii="Arial" w:hAnsi="Arial" w:cs="Arial"/>
          <w:sz w:val="28"/>
          <w:szCs w:val="28"/>
        </w:rPr>
        <w:t xml:space="preserve"> and </w:t>
      </w:r>
      <w:r w:rsidR="00F90952">
        <w:rPr>
          <w:rFonts w:ascii="Arial" w:hAnsi="Arial" w:cs="Arial"/>
          <w:sz w:val="28"/>
          <w:szCs w:val="28"/>
        </w:rPr>
        <w:t>TCGA (</w:t>
      </w:r>
      <w:r w:rsidR="00F90952">
        <w:rPr>
          <w:rFonts w:ascii="Arial" w:hAnsi="Arial" w:cs="Arial" w:hint="eastAsia"/>
          <w:sz w:val="28"/>
          <w:szCs w:val="28"/>
        </w:rPr>
        <w:t>c</w:t>
      </w:r>
      <w:r w:rsidR="00F90952">
        <w:rPr>
          <w:rFonts w:ascii="Arial" w:hAnsi="Arial" w:cs="Arial"/>
          <w:sz w:val="28"/>
          <w:szCs w:val="28"/>
        </w:rPr>
        <w:t>) datasets</w:t>
      </w:r>
      <w:r w:rsidR="00F90952">
        <w:rPr>
          <w:rFonts w:ascii="Arial" w:hAnsi="Arial" w:cs="Arial" w:hint="eastAsia"/>
          <w:sz w:val="28"/>
          <w:szCs w:val="28"/>
        </w:rPr>
        <w:t>;</w:t>
      </w:r>
      <w:r w:rsidR="00F90952">
        <w:rPr>
          <w:rFonts w:ascii="Arial" w:hAnsi="Arial" w:cs="Arial"/>
          <w:sz w:val="28"/>
          <w:szCs w:val="28"/>
        </w:rPr>
        <w:t xml:space="preserve"> </w:t>
      </w:r>
      <w:r w:rsidR="00F15CCB" w:rsidRPr="00F15CCB">
        <w:rPr>
          <w:rFonts w:ascii="Arial" w:hAnsi="Arial" w:cs="Arial"/>
          <w:sz w:val="28"/>
          <w:szCs w:val="28"/>
        </w:rPr>
        <w:t>t-distributed Stochastic Neighbor Embedding</w:t>
      </w:r>
      <w:r w:rsidR="00F15CCB">
        <w:rPr>
          <w:rFonts w:ascii="Arial" w:hAnsi="Arial" w:cs="Arial"/>
          <w:sz w:val="28"/>
          <w:szCs w:val="28"/>
        </w:rPr>
        <w:t xml:space="preserve"> (tSNE) cluster map</w:t>
      </w:r>
      <w:r w:rsidR="00F90952">
        <w:rPr>
          <w:rFonts w:ascii="Arial" w:hAnsi="Arial" w:cs="Arial"/>
          <w:sz w:val="28"/>
          <w:szCs w:val="28"/>
        </w:rPr>
        <w:t xml:space="preserve"> </w:t>
      </w:r>
      <w:r w:rsidR="00F15CCB">
        <w:rPr>
          <w:rFonts w:ascii="Arial" w:hAnsi="Arial" w:cs="Arial"/>
          <w:sz w:val="28"/>
          <w:szCs w:val="28"/>
        </w:rPr>
        <w:t>of</w:t>
      </w:r>
      <w:r w:rsidR="00F90952">
        <w:rPr>
          <w:rFonts w:ascii="Arial" w:hAnsi="Arial" w:cs="Arial"/>
          <w:sz w:val="28"/>
          <w:szCs w:val="28"/>
        </w:rPr>
        <w:t xml:space="preserve"> GEO (b) and TCGA (d) datasets.</w:t>
      </w:r>
    </w:p>
    <w:p w14:paraId="605898D0" w14:textId="41EB589A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7CB2DB24" w14:textId="748DF40E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04D8A038" w14:textId="058743D0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31413045" w14:textId="2CE59944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7F358324" w14:textId="42F4FA2F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4B2EAB86" w14:textId="58771456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6B540D38" w14:textId="128BFF5A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1FCFE9A7" w14:textId="064369DD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6340ED9E" w14:textId="4CE8B84A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16F2CC52" w14:textId="7B952CAB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24DF95E2" w14:textId="3085B906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1517DE52" w14:textId="4FB899AC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77EC49ED" w14:textId="3EDCFF43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3F39720D" w14:textId="19D925DB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3A8E00D3" w14:textId="74C27651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6341EF32" w14:textId="4823441B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  <w:lang w:eastAsia="en-US"/>
        </w:rPr>
        <w:drawing>
          <wp:inline distT="0" distB="0" distL="0" distR="0" wp14:anchorId="7EEBC496" wp14:editId="1AE565D4">
            <wp:extent cx="5274310" cy="26670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3D00D" w14:textId="1CE87213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Supplementary Fig 2 </w:t>
      </w:r>
      <w:r w:rsidRPr="001D628B">
        <w:rPr>
          <w:rFonts w:ascii="Arial" w:hAnsi="Arial" w:cs="Arial"/>
          <w:sz w:val="28"/>
          <w:szCs w:val="28"/>
        </w:rPr>
        <w:t>Correlation heat map of immune cells of</w:t>
      </w:r>
      <w:r>
        <w:rPr>
          <w:rFonts w:ascii="Arial" w:hAnsi="Arial" w:cs="Arial"/>
          <w:sz w:val="28"/>
          <w:szCs w:val="28"/>
        </w:rPr>
        <w:t xml:space="preserve"> GEO (a) </w:t>
      </w:r>
      <w:r>
        <w:rPr>
          <w:rFonts w:ascii="Arial" w:hAnsi="Arial" w:cs="Arial" w:hint="eastAsia"/>
          <w:sz w:val="28"/>
          <w:szCs w:val="28"/>
        </w:rPr>
        <w:t>and</w:t>
      </w:r>
      <w:r>
        <w:rPr>
          <w:rFonts w:ascii="Arial" w:hAnsi="Arial" w:cs="Arial"/>
          <w:sz w:val="28"/>
          <w:szCs w:val="28"/>
        </w:rPr>
        <w:t xml:space="preserve"> TCGA (</w:t>
      </w:r>
      <w:r>
        <w:rPr>
          <w:rFonts w:ascii="Arial" w:hAnsi="Arial" w:cs="Arial" w:hint="eastAsia"/>
          <w:sz w:val="28"/>
          <w:szCs w:val="28"/>
        </w:rPr>
        <w:t>b</w:t>
      </w:r>
      <w:r>
        <w:rPr>
          <w:rFonts w:ascii="Arial" w:hAnsi="Arial" w:cs="Arial"/>
          <w:sz w:val="28"/>
          <w:szCs w:val="28"/>
        </w:rPr>
        <w:t>) datasets.</w:t>
      </w:r>
    </w:p>
    <w:p w14:paraId="793CC591" w14:textId="2B743F97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25B85DB2" w14:textId="2CEF4756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729087A1" w14:textId="2DB02014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58CB6B04" w14:textId="0ED56ACC" w:rsidR="001D628B" w:rsidRDefault="001D628B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54074E55" w14:textId="3F50B8CE" w:rsidR="00CF77CC" w:rsidRDefault="00CF77CC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442F09DB" w14:textId="30D993E0" w:rsidR="00B71375" w:rsidRDefault="00CF77CC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  <w:lang w:eastAsia="en-US"/>
        </w:rPr>
        <w:lastRenderedPageBreak/>
        <w:drawing>
          <wp:inline distT="0" distB="0" distL="0" distR="0" wp14:anchorId="1B0DFE2A" wp14:editId="02DC523A">
            <wp:extent cx="3062605" cy="1814830"/>
            <wp:effectExtent l="0" t="0" r="444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181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FF16A" w14:textId="57E33CE6" w:rsidR="00CF77CC" w:rsidRDefault="00CF77CC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upplementary Fig 3 Boxplot of ESTMATEScores of alive and dead patients in GEO (a) </w:t>
      </w:r>
      <w:r>
        <w:rPr>
          <w:rFonts w:ascii="Arial" w:hAnsi="Arial" w:cs="Arial" w:hint="eastAsia"/>
          <w:sz w:val="28"/>
          <w:szCs w:val="28"/>
        </w:rPr>
        <w:t>and</w:t>
      </w:r>
      <w:r>
        <w:rPr>
          <w:rFonts w:ascii="Arial" w:hAnsi="Arial" w:cs="Arial"/>
          <w:sz w:val="28"/>
          <w:szCs w:val="28"/>
        </w:rPr>
        <w:t xml:space="preserve"> TCGA (</w:t>
      </w:r>
      <w:r>
        <w:rPr>
          <w:rFonts w:ascii="Arial" w:hAnsi="Arial" w:cs="Arial" w:hint="eastAsia"/>
          <w:sz w:val="28"/>
          <w:szCs w:val="28"/>
        </w:rPr>
        <w:t>b</w:t>
      </w:r>
      <w:r>
        <w:rPr>
          <w:rFonts w:ascii="Arial" w:hAnsi="Arial" w:cs="Arial"/>
          <w:sz w:val="28"/>
          <w:szCs w:val="28"/>
        </w:rPr>
        <w:t>) datasets.</w:t>
      </w:r>
    </w:p>
    <w:p w14:paraId="2A169493" w14:textId="77777777" w:rsidR="00CF77CC" w:rsidRDefault="00CF77CC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390A88DC" w14:textId="1971BD65" w:rsidR="00B71375" w:rsidRDefault="00B71375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  <w:lang w:eastAsia="en-US"/>
        </w:rPr>
        <w:drawing>
          <wp:inline distT="0" distB="0" distL="0" distR="0" wp14:anchorId="1DAB863C" wp14:editId="3262F585">
            <wp:extent cx="5274310" cy="1515110"/>
            <wp:effectExtent l="0" t="0" r="254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0C1AC" w14:textId="6CB37F6F" w:rsidR="00067EC6" w:rsidRDefault="00B71375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upplementary Fig </w:t>
      </w:r>
      <w:r w:rsidR="00CF77CC">
        <w:rPr>
          <w:rFonts w:ascii="Arial" w:hAnsi="Arial" w:cs="Arial"/>
          <w:sz w:val="28"/>
          <w:szCs w:val="28"/>
        </w:rPr>
        <w:t>4</w:t>
      </w:r>
      <w:r>
        <w:rPr>
          <w:rFonts w:ascii="Arial" w:hAnsi="Arial" w:cs="Arial"/>
          <w:sz w:val="28"/>
          <w:szCs w:val="28"/>
        </w:rPr>
        <w:t xml:space="preserve"> Kaplan-Meier plots of the immune</w:t>
      </w:r>
      <w:r w:rsidR="001C145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high and immune</w:t>
      </w:r>
      <w:r w:rsidR="001C145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low subtypes in GEO (a), gse13507 (b), and TCGA-BLCA (</w:t>
      </w:r>
      <w:r>
        <w:rPr>
          <w:rFonts w:ascii="Arial" w:hAnsi="Arial" w:cs="Arial" w:hint="eastAsia"/>
          <w:sz w:val="28"/>
          <w:szCs w:val="28"/>
        </w:rPr>
        <w:t>c</w:t>
      </w:r>
      <w:r>
        <w:rPr>
          <w:rFonts w:ascii="Arial" w:hAnsi="Arial" w:cs="Arial"/>
          <w:sz w:val="28"/>
          <w:szCs w:val="28"/>
        </w:rPr>
        <w:t>) datasets.</w:t>
      </w:r>
    </w:p>
    <w:p w14:paraId="67ED3459" w14:textId="77777777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23FAAF41" w14:textId="50E4ABBB" w:rsidR="0046450F" w:rsidRDefault="009B2D4F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  <w:lang w:eastAsia="en-US"/>
        </w:rPr>
        <w:drawing>
          <wp:inline distT="0" distB="0" distL="0" distR="0" wp14:anchorId="69F8EF6B" wp14:editId="16E4379E">
            <wp:extent cx="5274310" cy="1275715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7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A7EE2" w14:textId="4215449E" w:rsidR="0046450F" w:rsidRDefault="0046450F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upplementary Fig 5 Kaplan-Meier plots</w:t>
      </w:r>
      <w:r w:rsidR="0078301A" w:rsidRPr="0078301A">
        <w:rPr>
          <w:rFonts w:ascii="Arial" w:hAnsi="Arial" w:cs="Arial"/>
          <w:sz w:val="28"/>
          <w:szCs w:val="28"/>
        </w:rPr>
        <w:t xml:space="preserve"> </w:t>
      </w:r>
      <w:r w:rsidR="0078301A">
        <w:rPr>
          <w:rFonts w:ascii="Arial" w:hAnsi="Arial" w:cs="Arial"/>
          <w:sz w:val="28"/>
          <w:szCs w:val="28"/>
        </w:rPr>
        <w:t>of the immune</w:t>
      </w:r>
      <w:r w:rsidR="001C1456">
        <w:rPr>
          <w:rFonts w:ascii="Arial" w:hAnsi="Arial" w:cs="Arial"/>
          <w:sz w:val="28"/>
          <w:szCs w:val="28"/>
        </w:rPr>
        <w:t xml:space="preserve"> </w:t>
      </w:r>
      <w:r w:rsidR="0078301A">
        <w:rPr>
          <w:rFonts w:ascii="Arial" w:hAnsi="Arial" w:cs="Arial"/>
          <w:sz w:val="28"/>
          <w:szCs w:val="28"/>
        </w:rPr>
        <w:t>high and immune</w:t>
      </w:r>
      <w:r w:rsidR="001C1456">
        <w:rPr>
          <w:rFonts w:ascii="Arial" w:hAnsi="Arial" w:cs="Arial"/>
          <w:sz w:val="28"/>
          <w:szCs w:val="28"/>
        </w:rPr>
        <w:t xml:space="preserve"> </w:t>
      </w:r>
      <w:r w:rsidR="0078301A">
        <w:rPr>
          <w:rFonts w:ascii="Arial" w:hAnsi="Arial" w:cs="Arial"/>
          <w:sz w:val="28"/>
          <w:szCs w:val="28"/>
        </w:rPr>
        <w:t>low subtypes</w:t>
      </w:r>
      <w:r>
        <w:rPr>
          <w:rFonts w:ascii="Arial" w:hAnsi="Arial" w:cs="Arial"/>
          <w:sz w:val="28"/>
          <w:szCs w:val="28"/>
        </w:rPr>
        <w:t xml:space="preserve"> </w:t>
      </w:r>
      <w:r w:rsidR="0078301A">
        <w:rPr>
          <w:rFonts w:ascii="Arial" w:hAnsi="Arial" w:cs="Arial"/>
          <w:sz w:val="28"/>
          <w:szCs w:val="28"/>
        </w:rPr>
        <w:t>among the</w:t>
      </w:r>
      <w:r>
        <w:rPr>
          <w:rFonts w:ascii="Arial" w:hAnsi="Arial" w:cs="Arial"/>
          <w:sz w:val="28"/>
          <w:szCs w:val="28"/>
        </w:rPr>
        <w:t xml:space="preserve"> female (a, c) and male (b, d) patients in GEO (a, b) and TCGA (c, d) datasets.</w:t>
      </w:r>
    </w:p>
    <w:p w14:paraId="3E8C4C6B" w14:textId="6449DE87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  <w:lang w:eastAsia="en-US"/>
        </w:rPr>
        <w:lastRenderedPageBreak/>
        <w:drawing>
          <wp:inline distT="0" distB="0" distL="0" distR="0" wp14:anchorId="5ADF1680" wp14:editId="68BAE0AB">
            <wp:extent cx="5274310" cy="227203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3908F" w14:textId="7AAFEDBC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upplementary Fig 6</w:t>
      </w:r>
      <w:r w:rsidR="007F3D54">
        <w:rPr>
          <w:rFonts w:ascii="Arial" w:hAnsi="Arial" w:cs="Arial"/>
          <w:sz w:val="28"/>
          <w:szCs w:val="28"/>
        </w:rPr>
        <w:t xml:space="preserve"> Heatmaps of differential expression genes (a) and differential expression immune-related genes (b).</w:t>
      </w:r>
      <w:bookmarkStart w:id="1" w:name="_GoBack"/>
      <w:bookmarkEnd w:id="1"/>
    </w:p>
    <w:p w14:paraId="30824E40" w14:textId="1B591989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4435599D" w14:textId="4DBBA264" w:rsidR="00BB7408" w:rsidRDefault="00BB7408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3251C5AC" w14:textId="06192E2E" w:rsidR="00BB7408" w:rsidRDefault="00BB7408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0F0D5442" w14:textId="0D662EA3" w:rsidR="00BB7408" w:rsidRDefault="00BB7408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2417E1B5" w14:textId="433AA2F6" w:rsidR="00BB7408" w:rsidRDefault="00BB7408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3B8A98C6" w14:textId="4F13C2DD" w:rsidR="00BB7408" w:rsidRDefault="00BB7408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44277772" w14:textId="391E1E1E" w:rsidR="00BB7408" w:rsidRDefault="00BB7408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5376263C" w14:textId="77777777" w:rsidR="00BB7408" w:rsidRDefault="00BB7408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3F78C1D8" w14:textId="09BA65E4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  <w:lang w:eastAsia="en-US"/>
        </w:rPr>
        <w:drawing>
          <wp:inline distT="0" distB="0" distL="0" distR="0" wp14:anchorId="7A100DD3" wp14:editId="2A6F4518">
            <wp:extent cx="5274310" cy="167830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7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389D5" w14:textId="19326776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upplementary Fig 7</w:t>
      </w:r>
      <w:r w:rsidR="007F3D54">
        <w:rPr>
          <w:rFonts w:ascii="Arial" w:hAnsi="Arial" w:cs="Arial"/>
          <w:sz w:val="28"/>
          <w:szCs w:val="28"/>
        </w:rPr>
        <w:t xml:space="preserve"> Riskplot (a), scatterplot (b), and correlation scatterplot (c) of the </w:t>
      </w:r>
      <w:r w:rsidR="001C1456">
        <w:rPr>
          <w:rFonts w:ascii="Arial" w:hAnsi="Arial" w:cs="Arial"/>
          <w:sz w:val="28"/>
          <w:szCs w:val="28"/>
        </w:rPr>
        <w:t>validating cohort</w:t>
      </w:r>
      <w:r w:rsidR="007F3D54">
        <w:rPr>
          <w:rFonts w:ascii="Arial" w:hAnsi="Arial" w:cs="Arial"/>
          <w:sz w:val="28"/>
          <w:szCs w:val="28"/>
        </w:rPr>
        <w:t>.</w:t>
      </w:r>
    </w:p>
    <w:p w14:paraId="6333FD49" w14:textId="5C88CEA2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076BF306" w14:textId="34474B3A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noProof/>
          <w:lang w:eastAsia="en-US"/>
        </w:rPr>
        <w:drawing>
          <wp:inline distT="0" distB="0" distL="0" distR="0" wp14:anchorId="2190B320" wp14:editId="1CA2BD64">
            <wp:extent cx="3062605" cy="2500630"/>
            <wp:effectExtent l="0" t="0" r="444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250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DACEA" w14:textId="53EDC55C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 w:hint="eastAsia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>upplementary Fig 8</w:t>
      </w:r>
      <w:r w:rsidR="007F3D54">
        <w:rPr>
          <w:rFonts w:ascii="Arial" w:hAnsi="Arial" w:cs="Arial"/>
          <w:sz w:val="28"/>
          <w:szCs w:val="28"/>
        </w:rPr>
        <w:t xml:space="preserve"> Box-and-scatter plot of </w:t>
      </w:r>
      <w:r w:rsidR="00BB7408">
        <w:rPr>
          <w:rFonts w:ascii="Arial" w:hAnsi="Arial" w:cs="Arial"/>
          <w:sz w:val="28"/>
          <w:szCs w:val="28"/>
        </w:rPr>
        <w:t>TMB</w:t>
      </w:r>
      <w:r w:rsidR="00BB7408">
        <w:rPr>
          <w:rFonts w:ascii="Arial" w:hAnsi="Arial" w:cs="Arial" w:hint="eastAsia"/>
          <w:sz w:val="28"/>
          <w:szCs w:val="28"/>
        </w:rPr>
        <w:t>s</w:t>
      </w:r>
      <w:r w:rsidR="007F3D54">
        <w:rPr>
          <w:rFonts w:ascii="Arial" w:hAnsi="Arial" w:cs="Arial"/>
          <w:sz w:val="28"/>
          <w:szCs w:val="28"/>
        </w:rPr>
        <w:t xml:space="preserve"> of the high-risk and low-risk subgroups.</w:t>
      </w:r>
    </w:p>
    <w:p w14:paraId="08E6D57A" w14:textId="1A9858E7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61975681" w14:textId="05DE82BC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444A210A" w14:textId="6AE2660E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0A7216BC" w14:textId="55DED049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5FE95DE1" w14:textId="16C36705" w:rsidR="008E6837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p w14:paraId="52CEA667" w14:textId="0F03DA73" w:rsidR="008E6837" w:rsidRPr="00B71375" w:rsidRDefault="008E6837" w:rsidP="00E75808">
      <w:pPr>
        <w:spacing w:line="480" w:lineRule="auto"/>
        <w:rPr>
          <w:rFonts w:ascii="Arial" w:hAnsi="Arial" w:cs="Arial"/>
          <w:sz w:val="28"/>
          <w:szCs w:val="28"/>
        </w:rPr>
      </w:pPr>
    </w:p>
    <w:sectPr w:rsidR="008E6837" w:rsidRPr="00B71375" w:rsidSect="005139E3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C99ED2" w14:textId="77777777" w:rsidR="00FE2C73" w:rsidRDefault="00FE2C73" w:rsidP="003A7B36">
      <w:r>
        <w:separator/>
      </w:r>
    </w:p>
  </w:endnote>
  <w:endnote w:type="continuationSeparator" w:id="0">
    <w:p w14:paraId="513A0A7A" w14:textId="77777777" w:rsidR="00FE2C73" w:rsidRDefault="00FE2C73" w:rsidP="003A7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02661990"/>
      <w:docPartObj>
        <w:docPartGallery w:val="Page Numbers (Bottom of Page)"/>
        <w:docPartUnique/>
      </w:docPartObj>
    </w:sdtPr>
    <w:sdtEndPr/>
    <w:sdtContent>
      <w:p w14:paraId="761B5DDE" w14:textId="1D9500F2" w:rsidR="005139E3" w:rsidRDefault="005139E3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0D4F" w:rsidRPr="00860D4F">
          <w:rPr>
            <w:noProof/>
            <w:lang w:val="zh-CN"/>
          </w:rPr>
          <w:t>5</w:t>
        </w:r>
        <w:r>
          <w:fldChar w:fldCharType="end"/>
        </w:r>
      </w:p>
    </w:sdtContent>
  </w:sdt>
  <w:p w14:paraId="4526D521" w14:textId="77777777" w:rsidR="005139E3" w:rsidRDefault="005139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EDF1E6" w14:textId="77777777" w:rsidR="00FE2C73" w:rsidRDefault="00FE2C73" w:rsidP="003A7B36">
      <w:r>
        <w:separator/>
      </w:r>
    </w:p>
  </w:footnote>
  <w:footnote w:type="continuationSeparator" w:id="0">
    <w:p w14:paraId="4F7530C7" w14:textId="77777777" w:rsidR="00FE2C73" w:rsidRDefault="00FE2C73" w:rsidP="003A7B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yMjI3MTUyNrawMDVR0lEKTi0uzszPAykwrQUA8n9JpywAAAA="/>
  </w:docVars>
  <w:rsids>
    <w:rsidRoot w:val="00BB4762"/>
    <w:rsid w:val="00067EC6"/>
    <w:rsid w:val="000B2C5B"/>
    <w:rsid w:val="0012388D"/>
    <w:rsid w:val="001C1456"/>
    <w:rsid w:val="001D628B"/>
    <w:rsid w:val="00214902"/>
    <w:rsid w:val="00227A4E"/>
    <w:rsid w:val="00285261"/>
    <w:rsid w:val="002F5F48"/>
    <w:rsid w:val="003858CB"/>
    <w:rsid w:val="003A7B36"/>
    <w:rsid w:val="003C6790"/>
    <w:rsid w:val="003D32C3"/>
    <w:rsid w:val="003D3DA4"/>
    <w:rsid w:val="003D5B6A"/>
    <w:rsid w:val="004372FA"/>
    <w:rsid w:val="00441207"/>
    <w:rsid w:val="0046450F"/>
    <w:rsid w:val="00471749"/>
    <w:rsid w:val="004E2D72"/>
    <w:rsid w:val="004E44E2"/>
    <w:rsid w:val="005139E3"/>
    <w:rsid w:val="00540BF3"/>
    <w:rsid w:val="005671E0"/>
    <w:rsid w:val="005F32AE"/>
    <w:rsid w:val="00640DEF"/>
    <w:rsid w:val="006934AF"/>
    <w:rsid w:val="00775DE3"/>
    <w:rsid w:val="0078301A"/>
    <w:rsid w:val="007C3CF0"/>
    <w:rsid w:val="007F3D54"/>
    <w:rsid w:val="00860D4F"/>
    <w:rsid w:val="0087046D"/>
    <w:rsid w:val="008E6837"/>
    <w:rsid w:val="0090038E"/>
    <w:rsid w:val="0093241F"/>
    <w:rsid w:val="009B2D4F"/>
    <w:rsid w:val="009D457D"/>
    <w:rsid w:val="00AC43C0"/>
    <w:rsid w:val="00B50334"/>
    <w:rsid w:val="00B71375"/>
    <w:rsid w:val="00BB4762"/>
    <w:rsid w:val="00BB7408"/>
    <w:rsid w:val="00C4543E"/>
    <w:rsid w:val="00C56DED"/>
    <w:rsid w:val="00C9236A"/>
    <w:rsid w:val="00CA38AD"/>
    <w:rsid w:val="00CE5619"/>
    <w:rsid w:val="00CE5965"/>
    <w:rsid w:val="00CF77CC"/>
    <w:rsid w:val="00DF5B77"/>
    <w:rsid w:val="00E10898"/>
    <w:rsid w:val="00E75808"/>
    <w:rsid w:val="00E83918"/>
    <w:rsid w:val="00E91D6F"/>
    <w:rsid w:val="00EA2C52"/>
    <w:rsid w:val="00F029D6"/>
    <w:rsid w:val="00F15CCB"/>
    <w:rsid w:val="00F203F9"/>
    <w:rsid w:val="00F20D0D"/>
    <w:rsid w:val="00F57452"/>
    <w:rsid w:val="00F64797"/>
    <w:rsid w:val="00F90952"/>
    <w:rsid w:val="00FE2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15ADF9"/>
  <w15:chartTrackingRefBased/>
  <w15:docId w15:val="{57FFC5D8-56CC-47CC-B1A8-911B691AC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7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A7B3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A7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A7B36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5139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三河</dc:creator>
  <cp:keywords/>
  <dc:description/>
  <cp:lastModifiedBy>Bhushan Tandale</cp:lastModifiedBy>
  <cp:revision>2</cp:revision>
  <dcterms:created xsi:type="dcterms:W3CDTF">2022-09-20T11:34:00Z</dcterms:created>
  <dcterms:modified xsi:type="dcterms:W3CDTF">2022-09-20T11:34:00Z</dcterms:modified>
</cp:coreProperties>
</file>