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sz w:val="22"/>
          <w:szCs w:val="22"/>
        </w:rPr>
      </w:pPr>
      <w:bookmarkStart w:colFirst="0" w:colLast="0" w:name="_heading=h.gjdgxs" w:id="0"/>
      <w:bookmarkEnd w:id="0"/>
      <w:r w:rsidDel="00000000" w:rsidR="00000000" w:rsidRPr="00000000">
        <w:rPr>
          <w:b w:val="1"/>
          <w:sz w:val="22"/>
          <w:szCs w:val="22"/>
          <w:rtl w:val="0"/>
        </w:rPr>
        <w:t xml:space="preserve">Supplementary </w:t>
      </w:r>
      <w:r w:rsidDel="00000000" w:rsidR="00000000" w:rsidRPr="00000000">
        <w:rPr>
          <w:b w:val="1"/>
          <w:sz w:val="22"/>
          <w:szCs w:val="22"/>
          <w:rtl w:val="0"/>
        </w:rPr>
        <w:t xml:space="preserve">Fig. 1. Histogram of quantile-quantile plots for test of association between each pair of human host and </w:t>
      </w:r>
      <w:r w:rsidDel="00000000" w:rsidR="00000000" w:rsidRPr="00000000">
        <w:rPr>
          <w:b w:val="1"/>
          <w:i w:val="1"/>
          <w:sz w:val="22"/>
          <w:szCs w:val="22"/>
          <w:rtl w:val="0"/>
        </w:rPr>
        <w:t xml:space="preserve">Mtb</w:t>
      </w:r>
      <w:r w:rsidDel="00000000" w:rsidR="00000000" w:rsidRPr="00000000">
        <w:rPr>
          <w:b w:val="1"/>
          <w:sz w:val="22"/>
          <w:szCs w:val="22"/>
          <w:rtl w:val="0"/>
        </w:rPr>
        <w:t xml:space="preserve"> variants.</w:t>
      </w:r>
      <w:r w:rsidDel="00000000" w:rsidR="00000000" w:rsidRPr="00000000">
        <w:rPr>
          <w:sz w:val="22"/>
          <w:szCs w:val="22"/>
          <w:rtl w:val="0"/>
        </w:rPr>
        <w:t xml:space="preserve"> A histogram summarizing all genomic inflation factors over 1,267 genome-wide association studies. The distribution ranges between 0.97 and 1.07 with median 1.01 (red vertical line). </w:t>
      </w:r>
    </w:p>
    <w:p w:rsidR="00000000" w:rsidDel="00000000" w:rsidP="00000000" w:rsidRDefault="00000000" w:rsidRPr="00000000" w14:paraId="00000002">
      <w:pPr>
        <w:pStyle w:val="Heading2"/>
        <w:rPr>
          <w:sz w:val="22"/>
          <w:szCs w:val="22"/>
        </w:rPr>
      </w:pPr>
      <w:bookmarkStart w:colFirst="0" w:colLast="0" w:name="_heading=h.30j0zll" w:id="1"/>
      <w:bookmarkEnd w:id="1"/>
      <w:r w:rsidDel="00000000" w:rsidR="00000000" w:rsidRPr="00000000">
        <w:rPr>
          <w:sz w:val="22"/>
          <w:szCs w:val="22"/>
        </w:rPr>
        <w:drawing>
          <wp:inline distB="114300" distT="114300" distL="114300" distR="114300">
            <wp:extent cx="5943600" cy="4165600"/>
            <wp:effectExtent b="0" l="0" r="0" t="0"/>
            <wp:docPr id="1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41656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Heading2"/>
        <w:rPr>
          <w:b w:val="1"/>
          <w:sz w:val="22"/>
          <w:szCs w:val="22"/>
        </w:rPr>
      </w:pPr>
      <w:bookmarkStart w:colFirst="0" w:colLast="0" w:name="_heading=h.1fob9te" w:id="2"/>
      <w:bookmarkEnd w:id="2"/>
      <w:r w:rsidDel="00000000" w:rsidR="00000000" w:rsidRPr="00000000">
        <w:rPr>
          <w:rtl w:val="0"/>
        </w:rPr>
      </w:r>
    </w:p>
    <w:p w:rsidR="00000000" w:rsidDel="00000000" w:rsidP="00000000" w:rsidRDefault="00000000" w:rsidRPr="00000000" w14:paraId="00000004">
      <w:pPr>
        <w:pStyle w:val="Heading2"/>
        <w:rPr>
          <w:b w:val="1"/>
          <w:sz w:val="22"/>
          <w:szCs w:val="22"/>
        </w:rPr>
      </w:pPr>
      <w:bookmarkStart w:colFirst="0" w:colLast="0" w:name="_heading=h.3znysh7" w:id="3"/>
      <w:bookmarkEnd w:id="3"/>
      <w:r w:rsidDel="00000000" w:rsidR="00000000" w:rsidRPr="00000000">
        <w:rPr>
          <w:rtl w:val="0"/>
        </w:rPr>
      </w:r>
    </w:p>
    <w:p w:rsidR="00000000" w:rsidDel="00000000" w:rsidP="00000000" w:rsidRDefault="00000000" w:rsidRPr="00000000" w14:paraId="00000005">
      <w:pPr>
        <w:pStyle w:val="Heading2"/>
        <w:rPr>
          <w:b w:val="1"/>
          <w:sz w:val="22"/>
          <w:szCs w:val="22"/>
        </w:rPr>
      </w:pPr>
      <w:bookmarkStart w:colFirst="0" w:colLast="0" w:name="_heading=h.2et92p0" w:id="4"/>
      <w:bookmarkEnd w:id="4"/>
      <w:r w:rsidDel="00000000" w:rsidR="00000000" w:rsidRPr="00000000">
        <w:rPr>
          <w:rtl w:val="0"/>
        </w:rPr>
      </w:r>
    </w:p>
    <w:p w:rsidR="00000000" w:rsidDel="00000000" w:rsidP="00000000" w:rsidRDefault="00000000" w:rsidRPr="00000000" w14:paraId="00000006">
      <w:pPr>
        <w:pStyle w:val="Heading2"/>
        <w:rPr>
          <w:sz w:val="22"/>
          <w:szCs w:val="22"/>
        </w:rPr>
      </w:pPr>
      <w:bookmarkStart w:colFirst="0" w:colLast="0" w:name="_heading=h.tyjcwt" w:id="5"/>
      <w:bookmarkEnd w:id="5"/>
      <w:r w:rsidDel="00000000" w:rsidR="00000000" w:rsidRPr="00000000">
        <w:rPr>
          <w:b w:val="1"/>
          <w:sz w:val="22"/>
          <w:szCs w:val="22"/>
          <w:rtl w:val="0"/>
        </w:rPr>
        <w:t xml:space="preserve">Supplementary Fig. 2. Empirical estimation of genome-wide significance threshold for the genome-to-genome analysis. </w:t>
      </w:r>
      <w:r w:rsidDel="00000000" w:rsidR="00000000" w:rsidRPr="00000000">
        <w:rPr>
          <w:sz w:val="22"/>
          <w:szCs w:val="22"/>
          <w:rtl w:val="0"/>
        </w:rPr>
        <w:t xml:space="preserve">The -log</w:t>
      </w:r>
      <w:r w:rsidDel="00000000" w:rsidR="00000000" w:rsidRPr="00000000">
        <w:rPr>
          <w:sz w:val="22"/>
          <w:szCs w:val="22"/>
          <w:vertAlign w:val="subscript"/>
          <w:rtl w:val="0"/>
        </w:rPr>
        <w:t xml:space="preserve">10</w:t>
      </w:r>
      <w:r w:rsidDel="00000000" w:rsidR="00000000" w:rsidRPr="00000000">
        <w:rPr>
          <w:sz w:val="22"/>
          <w:szCs w:val="22"/>
          <w:rtl w:val="0"/>
        </w:rPr>
        <w:t xml:space="preserve">P</w:t>
      </w:r>
      <w:r w:rsidDel="00000000" w:rsidR="00000000" w:rsidRPr="00000000">
        <w:rPr>
          <w:sz w:val="22"/>
          <w:szCs w:val="22"/>
          <w:vertAlign w:val="subscript"/>
          <w:rtl w:val="0"/>
        </w:rPr>
        <w:t xml:space="preserve">min</w:t>
      </w:r>
      <w:r w:rsidDel="00000000" w:rsidR="00000000" w:rsidRPr="00000000">
        <w:rPr>
          <w:sz w:val="22"/>
          <w:szCs w:val="22"/>
          <w:rtl w:val="0"/>
        </w:rPr>
        <w:t xml:space="preserve"> distribution from 200 permuted genome-to-genome analyses. For each interaction, we randomly assign the presence/absence status of the </w:t>
      </w:r>
      <w:r w:rsidDel="00000000" w:rsidR="00000000" w:rsidRPr="00000000">
        <w:rPr>
          <w:i w:val="1"/>
          <w:sz w:val="22"/>
          <w:szCs w:val="22"/>
          <w:rtl w:val="0"/>
        </w:rPr>
        <w:t xml:space="preserve">Mtb</w:t>
      </w:r>
      <w:r w:rsidDel="00000000" w:rsidR="00000000" w:rsidRPr="00000000">
        <w:rPr>
          <w:sz w:val="22"/>
          <w:szCs w:val="22"/>
          <w:rtl w:val="0"/>
        </w:rPr>
        <w:t xml:space="preserve"> variant for each individual. The vertical bar in the panel represents the top five percentile of -log</w:t>
      </w:r>
      <w:r w:rsidDel="00000000" w:rsidR="00000000" w:rsidRPr="00000000">
        <w:rPr>
          <w:sz w:val="22"/>
          <w:szCs w:val="22"/>
          <w:vertAlign w:val="subscript"/>
          <w:rtl w:val="0"/>
        </w:rPr>
        <w:t xml:space="preserve">10</w:t>
      </w:r>
      <w:r w:rsidDel="00000000" w:rsidR="00000000" w:rsidRPr="00000000">
        <w:rPr>
          <w:sz w:val="22"/>
          <w:szCs w:val="22"/>
          <w:rtl w:val="0"/>
        </w:rPr>
        <w:t xml:space="preserve">P</w:t>
      </w:r>
      <w:r w:rsidDel="00000000" w:rsidR="00000000" w:rsidRPr="00000000">
        <w:rPr>
          <w:sz w:val="22"/>
          <w:szCs w:val="22"/>
          <w:vertAlign w:val="subscript"/>
          <w:rtl w:val="0"/>
        </w:rPr>
        <w:t xml:space="preserve">min</w:t>
      </w:r>
      <w:r w:rsidDel="00000000" w:rsidR="00000000" w:rsidRPr="00000000">
        <w:rPr>
          <w:sz w:val="22"/>
          <w:szCs w:val="22"/>
          <w:rtl w:val="0"/>
        </w:rPr>
        <w:t xml:space="preserve"> (that is, the estimated empirical genome-wide significance -log</w:t>
      </w:r>
      <w:r w:rsidDel="00000000" w:rsidR="00000000" w:rsidRPr="00000000">
        <w:rPr>
          <w:sz w:val="22"/>
          <w:szCs w:val="22"/>
          <w:vertAlign w:val="subscript"/>
          <w:rtl w:val="0"/>
        </w:rPr>
        <w:t xml:space="preserve">10</w:t>
      </w:r>
      <w:r w:rsidDel="00000000" w:rsidR="00000000" w:rsidRPr="00000000">
        <w:rPr>
          <w:sz w:val="22"/>
          <w:szCs w:val="22"/>
          <w:rtl w:val="0"/>
        </w:rPr>
        <w:t xml:space="preserve">P</w:t>
      </w:r>
      <w:r w:rsidDel="00000000" w:rsidR="00000000" w:rsidRPr="00000000">
        <w:rPr>
          <w:sz w:val="22"/>
          <w:szCs w:val="22"/>
          <w:vertAlign w:val="subscript"/>
          <w:rtl w:val="0"/>
        </w:rPr>
        <w:t xml:space="preserve">sig</w:t>
      </w:r>
      <w:r w:rsidDel="00000000" w:rsidR="00000000" w:rsidRPr="00000000">
        <w:rPr>
          <w:sz w:val="22"/>
          <w:szCs w:val="22"/>
          <w:rtl w:val="0"/>
        </w:rPr>
        <w:t xml:space="preserve">). The dotted gray and black vertical bar represents the common genome-wide significance threshold of 5 </w:t>
      </w:r>
      <w:r w:rsidDel="00000000" w:rsidR="00000000" w:rsidRPr="00000000">
        <w:rPr>
          <w:rFonts w:ascii="Cambria Math" w:cs="Cambria Math" w:eastAsia="Cambria Math" w:hAnsi="Cambria Math"/>
          <w:sz w:val="22"/>
          <w:szCs w:val="22"/>
          <w:rtl w:val="0"/>
        </w:rPr>
        <w:t xml:space="preserve">⨉</w:t>
      </w:r>
      <w:r w:rsidDel="00000000" w:rsidR="00000000" w:rsidRPr="00000000">
        <w:rPr>
          <w:sz w:val="22"/>
          <w:szCs w:val="22"/>
          <w:rtl w:val="0"/>
        </w:rPr>
        <w:t xml:space="preserve"> 10</w:t>
      </w:r>
      <w:r w:rsidDel="00000000" w:rsidR="00000000" w:rsidRPr="00000000">
        <w:rPr>
          <w:sz w:val="22"/>
          <w:szCs w:val="22"/>
          <w:vertAlign w:val="superscript"/>
          <w:rtl w:val="0"/>
        </w:rPr>
        <w:t xml:space="preserve">-8</w:t>
      </w:r>
      <w:r w:rsidDel="00000000" w:rsidR="00000000" w:rsidRPr="00000000">
        <w:rPr>
          <w:sz w:val="22"/>
          <w:szCs w:val="22"/>
          <w:rtl w:val="0"/>
        </w:rPr>
        <w:t xml:space="preserve"> and the Bonferroni corrected significance threshold after multiple testing (5 </w:t>
      </w:r>
      <w:r w:rsidDel="00000000" w:rsidR="00000000" w:rsidRPr="00000000">
        <w:rPr>
          <w:rFonts w:ascii="Cambria Math" w:cs="Cambria Math" w:eastAsia="Cambria Math" w:hAnsi="Cambria Math"/>
          <w:sz w:val="22"/>
          <w:szCs w:val="22"/>
          <w:rtl w:val="0"/>
        </w:rPr>
        <w:t xml:space="preserve">⨉</w:t>
      </w:r>
      <w:r w:rsidDel="00000000" w:rsidR="00000000" w:rsidRPr="00000000">
        <w:rPr>
          <w:sz w:val="22"/>
          <w:szCs w:val="22"/>
          <w:rtl w:val="0"/>
        </w:rPr>
        <w:t xml:space="preserve"> 10</w:t>
      </w:r>
      <w:r w:rsidDel="00000000" w:rsidR="00000000" w:rsidRPr="00000000">
        <w:rPr>
          <w:sz w:val="22"/>
          <w:szCs w:val="22"/>
          <w:vertAlign w:val="superscript"/>
          <w:rtl w:val="0"/>
        </w:rPr>
        <w:t xml:space="preserve">-8</w:t>
      </w:r>
      <w:r w:rsidDel="00000000" w:rsidR="00000000" w:rsidRPr="00000000">
        <w:rPr>
          <w:sz w:val="22"/>
          <w:szCs w:val="22"/>
          <w:rtl w:val="0"/>
        </w:rPr>
        <w:t xml:space="preserve"> /1,267 = 3.95 </w:t>
      </w:r>
      <w:r w:rsidDel="00000000" w:rsidR="00000000" w:rsidRPr="00000000">
        <w:rPr>
          <w:rFonts w:ascii="Cambria Math" w:cs="Cambria Math" w:eastAsia="Cambria Math" w:hAnsi="Cambria Math"/>
          <w:sz w:val="22"/>
          <w:szCs w:val="22"/>
          <w:rtl w:val="0"/>
        </w:rPr>
        <w:t xml:space="preserve">⨉</w:t>
      </w:r>
      <w:r w:rsidDel="00000000" w:rsidR="00000000" w:rsidRPr="00000000">
        <w:rPr>
          <w:sz w:val="22"/>
          <w:szCs w:val="22"/>
          <w:rtl w:val="0"/>
        </w:rPr>
        <w:t xml:space="preserve"> 10</w:t>
      </w:r>
      <w:r w:rsidDel="00000000" w:rsidR="00000000" w:rsidRPr="00000000">
        <w:rPr>
          <w:sz w:val="22"/>
          <w:szCs w:val="22"/>
          <w:vertAlign w:val="superscript"/>
          <w:rtl w:val="0"/>
        </w:rPr>
        <w:t xml:space="preserve">-11</w:t>
      </w:r>
      <w:r w:rsidDel="00000000" w:rsidR="00000000" w:rsidRPr="00000000">
        <w:rPr>
          <w:sz w:val="22"/>
          <w:szCs w:val="22"/>
          <w:rtl w:val="0"/>
        </w:rPr>
        <w:t xml:space="preserve">). </w:t>
      </w:r>
    </w:p>
    <w:p w:rsidR="00000000" w:rsidDel="00000000" w:rsidP="00000000" w:rsidRDefault="00000000" w:rsidRPr="00000000" w14:paraId="00000007">
      <w:pPr>
        <w:pStyle w:val="Heading2"/>
        <w:rPr>
          <w:b w:val="1"/>
          <w:sz w:val="22"/>
          <w:szCs w:val="22"/>
        </w:rPr>
      </w:pPr>
      <w:bookmarkStart w:colFirst="0" w:colLast="0" w:name="_heading=h.3dy6vkm" w:id="6"/>
      <w:bookmarkEnd w:id="6"/>
      <w:r w:rsidDel="00000000" w:rsidR="00000000" w:rsidRPr="00000000">
        <w:rPr>
          <w:sz w:val="22"/>
          <w:szCs w:val="22"/>
        </w:rPr>
        <w:drawing>
          <wp:inline distB="114300" distT="114300" distL="114300" distR="114300">
            <wp:extent cx="5943600" cy="4165600"/>
            <wp:effectExtent b="0" l="0" r="0" t="0"/>
            <wp:docPr id="19"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5943600" cy="41656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Style w:val="Heading2"/>
        <w:rPr>
          <w:b w:val="1"/>
          <w:sz w:val="22"/>
          <w:szCs w:val="22"/>
        </w:rPr>
      </w:pPr>
      <w:bookmarkStart w:colFirst="0" w:colLast="0" w:name="_heading=h.1t3h5sf" w:id="7"/>
      <w:bookmarkEnd w:id="7"/>
      <w:r w:rsidDel="00000000" w:rsidR="00000000" w:rsidRPr="00000000">
        <w:rPr>
          <w:rtl w:val="0"/>
        </w:rPr>
      </w:r>
    </w:p>
    <w:p w:rsidR="00000000" w:rsidDel="00000000" w:rsidP="00000000" w:rsidRDefault="00000000" w:rsidRPr="00000000" w14:paraId="00000009">
      <w:pPr>
        <w:pStyle w:val="Heading2"/>
        <w:rPr>
          <w:b w:val="1"/>
          <w:sz w:val="22"/>
          <w:szCs w:val="22"/>
        </w:rPr>
      </w:pPr>
      <w:bookmarkStart w:colFirst="0" w:colLast="0" w:name="_heading=h.4d34og8" w:id="8"/>
      <w:bookmarkEnd w:id="8"/>
      <w:r w:rsidDel="00000000" w:rsidR="00000000" w:rsidRPr="00000000">
        <w:rPr>
          <w:rtl w:val="0"/>
        </w:rPr>
      </w:r>
    </w:p>
    <w:p w:rsidR="00000000" w:rsidDel="00000000" w:rsidP="00000000" w:rsidRDefault="00000000" w:rsidRPr="00000000" w14:paraId="0000000A">
      <w:pPr>
        <w:pStyle w:val="Heading2"/>
        <w:rPr>
          <w:b w:val="1"/>
          <w:sz w:val="22"/>
          <w:szCs w:val="22"/>
        </w:rPr>
      </w:pPr>
      <w:bookmarkStart w:colFirst="0" w:colLast="0" w:name="_heading=h.2s8eyo1" w:id="9"/>
      <w:bookmarkEnd w:id="9"/>
      <w:r w:rsidDel="00000000" w:rsidR="00000000" w:rsidRPr="00000000">
        <w:rPr>
          <w:rtl w:val="0"/>
        </w:rPr>
      </w:r>
    </w:p>
    <w:p w:rsidR="00000000" w:rsidDel="00000000" w:rsidP="00000000" w:rsidRDefault="00000000" w:rsidRPr="00000000" w14:paraId="0000000B">
      <w:pPr>
        <w:pStyle w:val="Heading2"/>
        <w:rPr>
          <w:b w:val="1"/>
          <w:sz w:val="22"/>
          <w:szCs w:val="22"/>
        </w:rPr>
      </w:pPr>
      <w:bookmarkStart w:colFirst="0" w:colLast="0" w:name="_heading=h.17dp8vu" w:id="10"/>
      <w:bookmarkEnd w:id="10"/>
      <w:r w:rsidDel="00000000" w:rsidR="00000000" w:rsidRPr="00000000">
        <w:rPr>
          <w:rtl w:val="0"/>
        </w:rPr>
      </w:r>
    </w:p>
    <w:p w:rsidR="00000000" w:rsidDel="00000000" w:rsidP="00000000" w:rsidRDefault="00000000" w:rsidRPr="00000000" w14:paraId="0000000C">
      <w:pPr>
        <w:pStyle w:val="Heading2"/>
        <w:rPr>
          <w:b w:val="1"/>
          <w:sz w:val="22"/>
          <w:szCs w:val="22"/>
        </w:rPr>
      </w:pPr>
      <w:bookmarkStart w:colFirst="0" w:colLast="0" w:name="_heading=h.3rdcrjn" w:id="11"/>
      <w:bookmarkEnd w:id="11"/>
      <w:r w:rsidDel="00000000" w:rsidR="00000000" w:rsidRPr="00000000">
        <w:rPr>
          <w:rtl w:val="0"/>
        </w:rPr>
      </w:r>
    </w:p>
    <w:p w:rsidR="00000000" w:rsidDel="00000000" w:rsidP="00000000" w:rsidRDefault="00000000" w:rsidRPr="00000000" w14:paraId="0000000D">
      <w:pPr>
        <w:pStyle w:val="Heading2"/>
        <w:rPr>
          <w:sz w:val="22"/>
          <w:szCs w:val="22"/>
        </w:rPr>
      </w:pPr>
      <w:bookmarkStart w:colFirst="0" w:colLast="0" w:name="_heading=h.26in1rg" w:id="12"/>
      <w:bookmarkEnd w:id="12"/>
      <w:r w:rsidDel="00000000" w:rsidR="00000000" w:rsidRPr="00000000">
        <w:rPr>
          <w:b w:val="1"/>
          <w:sz w:val="22"/>
          <w:szCs w:val="22"/>
          <w:rtl w:val="0"/>
        </w:rPr>
        <w:t xml:space="preserve">Supplementary Fig. 3. eQTL effect of rs3130660 for </w:t>
      </w:r>
      <w:r w:rsidDel="00000000" w:rsidR="00000000" w:rsidRPr="00000000">
        <w:rPr>
          <w:b w:val="1"/>
          <w:i w:val="1"/>
          <w:sz w:val="22"/>
          <w:szCs w:val="22"/>
          <w:rtl w:val="0"/>
        </w:rPr>
        <w:t xml:space="preserve">FLOT1</w:t>
      </w:r>
      <w:r w:rsidDel="00000000" w:rsidR="00000000" w:rsidRPr="00000000">
        <w:rPr>
          <w:b w:val="1"/>
          <w:sz w:val="22"/>
          <w:szCs w:val="22"/>
          <w:rtl w:val="0"/>
        </w:rPr>
        <w:t xml:space="preserve">. </w:t>
      </w:r>
      <w:r w:rsidDel="00000000" w:rsidR="00000000" w:rsidRPr="00000000">
        <w:rPr>
          <w:sz w:val="22"/>
          <w:szCs w:val="22"/>
          <w:rtl w:val="0"/>
        </w:rPr>
        <w:t xml:space="preserve">Violin plot of </w:t>
      </w:r>
      <w:r w:rsidDel="00000000" w:rsidR="00000000" w:rsidRPr="00000000">
        <w:rPr>
          <w:i w:val="1"/>
          <w:sz w:val="22"/>
          <w:szCs w:val="22"/>
          <w:rtl w:val="0"/>
        </w:rPr>
        <w:t xml:space="preserve">FLOT1</w:t>
      </w:r>
      <w:r w:rsidDel="00000000" w:rsidR="00000000" w:rsidRPr="00000000">
        <w:rPr>
          <w:sz w:val="22"/>
          <w:szCs w:val="22"/>
          <w:rtl w:val="0"/>
        </w:rPr>
        <w:t xml:space="preserve"> expression level in </w:t>
      </w:r>
      <w:r w:rsidDel="00000000" w:rsidR="00000000" w:rsidRPr="00000000">
        <w:rPr>
          <w:b w:val="1"/>
          <w:sz w:val="22"/>
          <w:szCs w:val="22"/>
          <w:rtl w:val="0"/>
        </w:rPr>
        <w:t xml:space="preserve">a</w:t>
      </w:r>
      <w:r w:rsidDel="00000000" w:rsidR="00000000" w:rsidRPr="00000000">
        <w:rPr>
          <w:sz w:val="22"/>
          <w:szCs w:val="22"/>
          <w:rtl w:val="0"/>
        </w:rPr>
        <w:t xml:space="preserve"> adipose visceral tissue and </w:t>
      </w:r>
      <w:r w:rsidDel="00000000" w:rsidR="00000000" w:rsidRPr="00000000">
        <w:rPr>
          <w:b w:val="1"/>
          <w:sz w:val="22"/>
          <w:szCs w:val="22"/>
          <w:rtl w:val="0"/>
        </w:rPr>
        <w:t xml:space="preserve">b</w:t>
      </w:r>
      <w:r w:rsidDel="00000000" w:rsidR="00000000" w:rsidRPr="00000000">
        <w:rPr>
          <w:sz w:val="22"/>
          <w:szCs w:val="22"/>
          <w:rtl w:val="0"/>
        </w:rPr>
        <w:t xml:space="preserve"> lung tissue included in the GTEx project, where rs3130660-A is associated with increased </w:t>
      </w:r>
      <w:r w:rsidDel="00000000" w:rsidR="00000000" w:rsidRPr="00000000">
        <w:rPr>
          <w:i w:val="1"/>
          <w:sz w:val="22"/>
          <w:szCs w:val="22"/>
          <w:rtl w:val="0"/>
        </w:rPr>
        <w:t xml:space="preserve">FLOT1 </w:t>
      </w:r>
      <w:r w:rsidDel="00000000" w:rsidR="00000000" w:rsidRPr="00000000">
        <w:rPr>
          <w:sz w:val="22"/>
          <w:szCs w:val="22"/>
          <w:rtl w:val="0"/>
        </w:rPr>
        <w:t xml:space="preserve">expression. Y-axis shows the normalized gene expression between samples. Boxplots show median (horizontal white bar), 25th and 75th percentiles (lower and upper bounds of the box, respectively). P-value is obtained using FastQTL. Number of individuals included in the analysis for each genotype are in brackets. The figures are modified based on raw data downloaded from the GTEx portal (</w:t>
      </w:r>
      <w:hyperlink r:id="rId9">
        <w:r w:rsidDel="00000000" w:rsidR="00000000" w:rsidRPr="00000000">
          <w:rPr>
            <w:color w:val="1155cc"/>
            <w:sz w:val="22"/>
            <w:szCs w:val="22"/>
            <w:u w:val="single"/>
            <w:rtl w:val="0"/>
          </w:rPr>
          <w:t xml:space="preserve">https://gtexportal.org/</w:t>
        </w:r>
      </w:hyperlink>
      <w:r w:rsidDel="00000000" w:rsidR="00000000" w:rsidRPr="00000000">
        <w:rPr>
          <w:sz w:val="22"/>
          <w:szCs w:val="22"/>
          <w:rtl w:val="0"/>
        </w:rPr>
        <w:t xml:space="preserve">). </w:t>
      </w:r>
    </w:p>
    <w:p w:rsidR="00000000" w:rsidDel="00000000" w:rsidP="00000000" w:rsidRDefault="00000000" w:rsidRPr="00000000" w14:paraId="0000000E">
      <w:pPr>
        <w:pStyle w:val="Heading2"/>
        <w:rPr>
          <w:sz w:val="22"/>
          <w:szCs w:val="22"/>
        </w:rPr>
      </w:pPr>
      <w:bookmarkStart w:colFirst="0" w:colLast="0" w:name="_heading=h.lnxbz9" w:id="13"/>
      <w:bookmarkEnd w:id="13"/>
      <w:r w:rsidDel="00000000" w:rsidR="00000000" w:rsidRPr="00000000">
        <w:rPr>
          <w:rtl w:val="0"/>
        </w:rPr>
      </w:r>
    </w:p>
    <w:p w:rsidR="00000000" w:rsidDel="00000000" w:rsidP="00000000" w:rsidRDefault="00000000" w:rsidRPr="00000000" w14:paraId="0000000F">
      <w:pPr>
        <w:rPr/>
      </w:pPr>
      <w:r w:rsidDel="00000000" w:rsidR="00000000" w:rsidRPr="00000000">
        <w:rPr/>
        <w:drawing>
          <wp:inline distB="114300" distT="114300" distL="114300" distR="114300">
            <wp:extent cx="5943600" cy="2971800"/>
            <wp:effectExtent b="0" l="0" r="0" t="0"/>
            <wp:docPr id="29"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5943600" cy="29718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pStyle w:val="Heading2"/>
        <w:rPr>
          <w:b w:val="1"/>
          <w:sz w:val="22"/>
          <w:szCs w:val="22"/>
        </w:rPr>
      </w:pPr>
      <w:bookmarkStart w:colFirst="0" w:colLast="0" w:name="_heading=h.35nkun2" w:id="14"/>
      <w:bookmarkEnd w:id="14"/>
      <w:r w:rsidDel="00000000" w:rsidR="00000000" w:rsidRPr="00000000">
        <w:rPr>
          <w:b w:val="1"/>
          <w:sz w:val="22"/>
          <w:szCs w:val="22"/>
          <w:rtl w:val="0"/>
        </w:rPr>
        <w:t xml:space="preserve">Supplementary Fig. 4. Correlation between g2g and eQTL p-values in the human </w:t>
      </w:r>
      <w:r w:rsidDel="00000000" w:rsidR="00000000" w:rsidRPr="00000000">
        <w:rPr>
          <w:b w:val="1"/>
          <w:i w:val="1"/>
          <w:sz w:val="22"/>
          <w:szCs w:val="22"/>
          <w:rtl w:val="0"/>
        </w:rPr>
        <w:t xml:space="preserve">FLOT1</w:t>
      </w:r>
      <w:r w:rsidDel="00000000" w:rsidR="00000000" w:rsidRPr="00000000">
        <w:rPr>
          <w:b w:val="1"/>
          <w:sz w:val="22"/>
          <w:szCs w:val="22"/>
          <w:rtl w:val="0"/>
        </w:rPr>
        <w:t xml:space="preserve"> locus. </w:t>
      </w:r>
      <w:r w:rsidDel="00000000" w:rsidR="00000000" w:rsidRPr="00000000">
        <w:rPr>
          <w:sz w:val="22"/>
          <w:szCs w:val="22"/>
          <w:rtl w:val="0"/>
        </w:rPr>
        <w:t xml:space="preserve">A correlation plot between -log</w:t>
      </w:r>
      <w:r w:rsidDel="00000000" w:rsidR="00000000" w:rsidRPr="00000000">
        <w:rPr>
          <w:sz w:val="22"/>
          <w:szCs w:val="22"/>
          <w:vertAlign w:val="subscript"/>
          <w:rtl w:val="0"/>
        </w:rPr>
        <w:t xml:space="preserve">10</w:t>
      </w:r>
      <w:r w:rsidDel="00000000" w:rsidR="00000000" w:rsidRPr="00000000">
        <w:rPr>
          <w:sz w:val="22"/>
          <w:szCs w:val="22"/>
          <w:rtl w:val="0"/>
        </w:rPr>
        <w:t xml:space="preserve">(p-value) of the g2g and </w:t>
      </w:r>
      <w:r w:rsidDel="00000000" w:rsidR="00000000" w:rsidRPr="00000000">
        <w:rPr>
          <w:i w:val="1"/>
          <w:sz w:val="22"/>
          <w:szCs w:val="22"/>
          <w:rtl w:val="0"/>
        </w:rPr>
        <w:t xml:space="preserve">FLOT1</w:t>
      </w:r>
      <w:r w:rsidDel="00000000" w:rsidR="00000000" w:rsidRPr="00000000">
        <w:rPr>
          <w:sz w:val="22"/>
          <w:szCs w:val="22"/>
          <w:rtl w:val="0"/>
        </w:rPr>
        <w:t xml:space="preserve"> eQTL (in lung, GTEx) analyses. The correlation coefficient (Pearson r = 0.88) and the p-value of correlation (P = 1 </w:t>
      </w:r>
      <w:r w:rsidDel="00000000" w:rsidR="00000000" w:rsidRPr="00000000">
        <w:rPr>
          <w:rFonts w:ascii="Cambria Math" w:cs="Cambria Math" w:eastAsia="Cambria Math" w:hAnsi="Cambria Math"/>
          <w:sz w:val="22"/>
          <w:szCs w:val="22"/>
          <w:rtl w:val="0"/>
        </w:rPr>
        <w:t xml:space="preserve">⨉</w:t>
      </w:r>
      <w:r w:rsidDel="00000000" w:rsidR="00000000" w:rsidRPr="00000000">
        <w:rPr>
          <w:sz w:val="22"/>
          <w:szCs w:val="22"/>
          <w:rtl w:val="0"/>
        </w:rPr>
        <w:t xml:space="preserve"> 10</w:t>
      </w:r>
      <w:r w:rsidDel="00000000" w:rsidR="00000000" w:rsidRPr="00000000">
        <w:rPr>
          <w:sz w:val="22"/>
          <w:szCs w:val="22"/>
          <w:vertAlign w:val="superscript"/>
          <w:rtl w:val="0"/>
        </w:rPr>
        <w:t xml:space="preserve">-3917</w:t>
      </w:r>
      <w:r w:rsidDel="00000000" w:rsidR="00000000" w:rsidRPr="00000000">
        <w:rPr>
          <w:sz w:val="22"/>
          <w:szCs w:val="22"/>
          <w:rtl w:val="0"/>
        </w:rPr>
        <w:t xml:space="preserve">) is obtained from a linear regression weighted by the effect size of both g2g and eQTL study. The LD r</w:t>
      </w:r>
      <w:r w:rsidDel="00000000" w:rsidR="00000000" w:rsidRPr="00000000">
        <w:rPr>
          <w:sz w:val="22"/>
          <w:szCs w:val="22"/>
          <w:vertAlign w:val="superscript"/>
          <w:rtl w:val="0"/>
        </w:rPr>
        <w:t xml:space="preserve">2 </w:t>
      </w:r>
      <w:r w:rsidDel="00000000" w:rsidR="00000000" w:rsidRPr="00000000">
        <w:rPr>
          <w:sz w:val="22"/>
          <w:szCs w:val="22"/>
          <w:rtl w:val="0"/>
        </w:rPr>
        <w:t xml:space="preserve">is obtained using the enrolled Peruvian dataset.</w:t>
      </w:r>
      <w:r w:rsidDel="00000000" w:rsidR="00000000" w:rsidRPr="00000000">
        <w:rPr>
          <w:rtl w:val="0"/>
        </w:rPr>
      </w:r>
    </w:p>
    <w:p w:rsidR="00000000" w:rsidDel="00000000" w:rsidP="00000000" w:rsidRDefault="00000000" w:rsidRPr="00000000" w14:paraId="00000011">
      <w:pPr>
        <w:rPr/>
      </w:pPr>
      <w:r w:rsidDel="00000000" w:rsidR="00000000" w:rsidRPr="00000000">
        <w:rPr/>
        <w:drawing>
          <wp:inline distB="114300" distT="114300" distL="114300" distR="114300">
            <wp:extent cx="5943600" cy="4622800"/>
            <wp:effectExtent b="0" l="0" r="0" t="0"/>
            <wp:docPr id="21"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5943600" cy="46228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pStyle w:val="Heading2"/>
        <w:rPr>
          <w:b w:val="1"/>
          <w:sz w:val="22"/>
          <w:szCs w:val="22"/>
        </w:rPr>
      </w:pPr>
      <w:bookmarkStart w:colFirst="0" w:colLast="0" w:name="_heading=h.1ksv4uv" w:id="15"/>
      <w:bookmarkEnd w:id="15"/>
      <w:r w:rsidDel="00000000" w:rsidR="00000000" w:rsidRPr="00000000">
        <w:rPr>
          <w:b w:val="1"/>
          <w:sz w:val="22"/>
          <w:szCs w:val="22"/>
          <w:rtl w:val="0"/>
        </w:rPr>
        <w:t xml:space="preserve">Supplementary Fig. 5. Colocalization analysis of the host genomic locus that is significantly associated with the </w:t>
      </w:r>
      <w:r w:rsidDel="00000000" w:rsidR="00000000" w:rsidRPr="00000000">
        <w:rPr>
          <w:b w:val="1"/>
          <w:i w:val="1"/>
          <w:sz w:val="22"/>
          <w:szCs w:val="22"/>
          <w:rtl w:val="0"/>
        </w:rPr>
        <w:t xml:space="preserve">Mtb</w:t>
      </w:r>
      <w:r w:rsidDel="00000000" w:rsidR="00000000" w:rsidRPr="00000000">
        <w:rPr>
          <w:b w:val="1"/>
          <w:sz w:val="22"/>
          <w:szCs w:val="22"/>
          <w:rtl w:val="0"/>
        </w:rPr>
        <w:t xml:space="preserve"> genome. </w:t>
      </w:r>
      <w:r w:rsidDel="00000000" w:rsidR="00000000" w:rsidRPr="00000000">
        <w:rPr>
          <w:sz w:val="22"/>
          <w:szCs w:val="22"/>
          <w:rtl w:val="0"/>
        </w:rPr>
        <w:t xml:space="preserve">Each grid represents the posterior probability using </w:t>
      </w:r>
      <w:r w:rsidDel="00000000" w:rsidR="00000000" w:rsidRPr="00000000">
        <w:rPr>
          <w:i w:val="1"/>
          <w:sz w:val="22"/>
          <w:szCs w:val="22"/>
          <w:rtl w:val="0"/>
        </w:rPr>
        <w:t xml:space="preserve">coloc</w:t>
      </w:r>
      <w:r w:rsidDel="00000000" w:rsidR="00000000" w:rsidRPr="00000000">
        <w:rPr>
          <w:sz w:val="22"/>
          <w:szCs w:val="22"/>
          <w:rtl w:val="0"/>
        </w:rPr>
        <w:t xml:space="preserve">. The color gradient represents from low (posterior probability = 0, gray) to high (posterior probability = 1, red) probability of shared causal variants between the host g2g associations and eQTL among 69 distinct cell types and tissues (108 bulk RNA sequencing datasets) and 49 genes in a ±700kb window of the most significant g2g SNP (rs3130660). The eQTL summary statistics are downloaded from eQTL catalog release 4. Source data are provided in</w:t>
      </w:r>
      <w:r w:rsidDel="00000000" w:rsidR="00000000" w:rsidRPr="00000000">
        <w:rPr>
          <w:b w:val="1"/>
          <w:sz w:val="22"/>
          <w:szCs w:val="22"/>
          <w:rtl w:val="0"/>
        </w:rPr>
        <w:t xml:space="preserve"> Supplementary Table 3</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13">
      <w:pPr>
        <w:jc w:val="center"/>
        <w:rPr/>
      </w:pPr>
      <w:r w:rsidDel="00000000" w:rsidR="00000000" w:rsidRPr="00000000">
        <w:rPr/>
        <w:drawing>
          <wp:inline distB="114300" distT="114300" distL="114300" distR="114300">
            <wp:extent cx="5197802" cy="5862638"/>
            <wp:effectExtent b="0" l="0" r="0" t="0"/>
            <wp:docPr id="20"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197802" cy="5862638"/>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pStyle w:val="Heading2"/>
        <w:rPr>
          <w:sz w:val="22"/>
          <w:szCs w:val="22"/>
        </w:rPr>
      </w:pPr>
      <w:bookmarkStart w:colFirst="0" w:colLast="0" w:name="_heading=h.44sinio" w:id="16"/>
      <w:bookmarkEnd w:id="16"/>
      <w:r w:rsidDel="00000000" w:rsidR="00000000" w:rsidRPr="00000000">
        <w:rPr>
          <w:b w:val="1"/>
          <w:sz w:val="22"/>
          <w:szCs w:val="22"/>
          <w:rtl w:val="0"/>
        </w:rPr>
        <w:t xml:space="preserve">Supplementary Fig. 6. Odds ratios for association of host variant rs3130660 with the </w:t>
      </w:r>
      <w:r w:rsidDel="00000000" w:rsidR="00000000" w:rsidRPr="00000000">
        <w:rPr>
          <w:b w:val="1"/>
          <w:i w:val="1"/>
          <w:sz w:val="22"/>
          <w:szCs w:val="22"/>
          <w:rtl w:val="0"/>
        </w:rPr>
        <w:t xml:space="preserve">Mtb</w:t>
      </w:r>
      <w:r w:rsidDel="00000000" w:rsidR="00000000" w:rsidRPr="00000000">
        <w:rPr>
          <w:b w:val="1"/>
          <w:sz w:val="22"/>
          <w:szCs w:val="22"/>
          <w:rtl w:val="0"/>
        </w:rPr>
        <w:t xml:space="preserve"> variant (Position 271640</w:t>
      </w:r>
      <w:r w:rsidDel="00000000" w:rsidR="00000000" w:rsidRPr="00000000">
        <w:rPr>
          <w:sz w:val="22"/>
          <w:szCs w:val="22"/>
          <w:rtl w:val="0"/>
        </w:rPr>
        <w:t xml:space="preserve">) </w:t>
      </w:r>
      <w:r w:rsidDel="00000000" w:rsidR="00000000" w:rsidRPr="00000000">
        <w:rPr>
          <w:b w:val="1"/>
          <w:sz w:val="22"/>
          <w:szCs w:val="22"/>
          <w:rtl w:val="0"/>
        </w:rPr>
        <w:t xml:space="preserve">in 1,556 TB patients. </w:t>
      </w:r>
      <w:r w:rsidDel="00000000" w:rsidR="00000000" w:rsidRPr="00000000">
        <w:rPr>
          <w:sz w:val="22"/>
          <w:szCs w:val="22"/>
          <w:rtl w:val="0"/>
        </w:rPr>
        <w:t xml:space="preserve">Plot shows parameter estimates (odds ratios, points) and 95% confidence interval (horizontal line segment) for the association of host and </w:t>
      </w:r>
      <w:r w:rsidDel="00000000" w:rsidR="00000000" w:rsidRPr="00000000">
        <w:rPr>
          <w:i w:val="1"/>
          <w:sz w:val="22"/>
          <w:szCs w:val="22"/>
          <w:rtl w:val="0"/>
        </w:rPr>
        <w:t xml:space="preserve">Mtb</w:t>
      </w:r>
      <w:r w:rsidDel="00000000" w:rsidR="00000000" w:rsidRPr="00000000">
        <w:rPr>
          <w:sz w:val="22"/>
          <w:szCs w:val="22"/>
          <w:rtl w:val="0"/>
        </w:rPr>
        <w:t xml:space="preserve"> genotype at the most significant association site. We run a mixed effect logistic regression where we assume an additive model and correct for various covariates (rows). GRM represents a genetic relationship matrix to account for cryptic relatedness and population structure. First 10 principal components of the </w:t>
      </w:r>
      <w:r w:rsidDel="00000000" w:rsidR="00000000" w:rsidRPr="00000000">
        <w:rPr>
          <w:i w:val="1"/>
          <w:sz w:val="22"/>
          <w:szCs w:val="22"/>
          <w:rtl w:val="0"/>
        </w:rPr>
        <w:t xml:space="preserve">Mtb </w:t>
      </w:r>
      <w:r w:rsidDel="00000000" w:rsidR="00000000" w:rsidRPr="00000000">
        <w:rPr>
          <w:sz w:val="22"/>
          <w:szCs w:val="22"/>
          <w:rtl w:val="0"/>
        </w:rPr>
        <w:t xml:space="preserve">genome were constructed using all 2,298 common </w:t>
      </w:r>
      <w:r w:rsidDel="00000000" w:rsidR="00000000" w:rsidRPr="00000000">
        <w:rPr>
          <w:i w:val="1"/>
          <w:sz w:val="22"/>
          <w:szCs w:val="22"/>
          <w:rtl w:val="0"/>
        </w:rPr>
        <w:t xml:space="preserve">Mtb</w:t>
      </w:r>
      <w:r w:rsidDel="00000000" w:rsidR="00000000" w:rsidRPr="00000000">
        <w:rPr>
          <w:sz w:val="22"/>
          <w:szCs w:val="22"/>
          <w:rtl w:val="0"/>
        </w:rPr>
        <w:t xml:space="preserve"> variants. We constructed 10 alternative </w:t>
      </w:r>
      <w:r w:rsidDel="00000000" w:rsidR="00000000" w:rsidRPr="00000000">
        <w:rPr>
          <w:i w:val="1"/>
          <w:sz w:val="22"/>
          <w:szCs w:val="22"/>
          <w:rtl w:val="0"/>
        </w:rPr>
        <w:t xml:space="preserve">Mtb </w:t>
      </w:r>
      <w:r w:rsidDel="00000000" w:rsidR="00000000" w:rsidRPr="00000000">
        <w:rPr>
          <w:sz w:val="22"/>
          <w:szCs w:val="22"/>
          <w:rtl w:val="0"/>
        </w:rPr>
        <w:t xml:space="preserve">principal components of the </w:t>
      </w:r>
      <w:r w:rsidDel="00000000" w:rsidR="00000000" w:rsidRPr="00000000">
        <w:rPr>
          <w:i w:val="1"/>
          <w:sz w:val="22"/>
          <w:szCs w:val="22"/>
          <w:rtl w:val="0"/>
        </w:rPr>
        <w:t xml:space="preserve">Mtb</w:t>
      </w:r>
      <w:r w:rsidDel="00000000" w:rsidR="00000000" w:rsidRPr="00000000">
        <w:rPr>
          <w:sz w:val="22"/>
          <w:szCs w:val="22"/>
          <w:rtl w:val="0"/>
        </w:rPr>
        <w:t xml:space="preserve"> genome by using all common </w:t>
      </w:r>
      <w:r w:rsidDel="00000000" w:rsidR="00000000" w:rsidRPr="00000000">
        <w:rPr>
          <w:i w:val="1"/>
          <w:sz w:val="22"/>
          <w:szCs w:val="22"/>
          <w:rtl w:val="0"/>
        </w:rPr>
        <w:t xml:space="preserve">Mtb</w:t>
      </w:r>
      <w:r w:rsidDel="00000000" w:rsidR="00000000" w:rsidRPr="00000000">
        <w:rPr>
          <w:sz w:val="22"/>
          <w:szCs w:val="22"/>
          <w:rtl w:val="0"/>
        </w:rPr>
        <w:t xml:space="preserve"> variants, but excluding the 79 g2g-L2 </w:t>
      </w:r>
      <w:r w:rsidDel="00000000" w:rsidR="00000000" w:rsidRPr="00000000">
        <w:rPr>
          <w:i w:val="1"/>
          <w:sz w:val="22"/>
          <w:szCs w:val="22"/>
          <w:rtl w:val="0"/>
        </w:rPr>
        <w:t xml:space="preserve">Mtb</w:t>
      </w:r>
      <w:r w:rsidDel="00000000" w:rsidR="00000000" w:rsidRPr="00000000">
        <w:rPr>
          <w:sz w:val="22"/>
          <w:szCs w:val="22"/>
          <w:rtl w:val="0"/>
        </w:rPr>
        <w:t xml:space="preserve"> variants that are significantly associated with the human genome.</w:t>
      </w:r>
    </w:p>
    <w:p w:rsidR="00000000" w:rsidDel="00000000" w:rsidP="00000000" w:rsidRDefault="00000000" w:rsidRPr="00000000" w14:paraId="00000015">
      <w:pPr>
        <w:rPr>
          <w:b w:val="1"/>
        </w:rPr>
      </w:pPr>
      <w:r w:rsidDel="00000000" w:rsidR="00000000" w:rsidRPr="00000000">
        <w:rPr/>
        <w:drawing>
          <wp:inline distB="114300" distT="114300" distL="114300" distR="114300">
            <wp:extent cx="5943600" cy="3209451"/>
            <wp:effectExtent b="0" l="0" r="0" t="0"/>
            <wp:docPr id="23" name="image2.png"/>
            <a:graphic>
              <a:graphicData uri="http://schemas.openxmlformats.org/drawingml/2006/picture">
                <pic:pic>
                  <pic:nvPicPr>
                    <pic:cNvPr id="0" name="image2.png"/>
                    <pic:cNvPicPr preferRelativeResize="0"/>
                  </pic:nvPicPr>
                  <pic:blipFill>
                    <a:blip r:embed="rId13"/>
                    <a:srcRect b="0" l="0" r="0" t="19002"/>
                    <a:stretch>
                      <a:fillRect/>
                    </a:stretch>
                  </pic:blipFill>
                  <pic:spPr>
                    <a:xfrm>
                      <a:off x="0" y="0"/>
                      <a:ext cx="5943600" cy="3209451"/>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pStyle w:val="Heading2"/>
        <w:rPr>
          <w:sz w:val="22"/>
          <w:szCs w:val="22"/>
        </w:rPr>
      </w:pPr>
      <w:bookmarkStart w:colFirst="0" w:colLast="0" w:name="_heading=h.2jxsxqh" w:id="17"/>
      <w:bookmarkEnd w:id="17"/>
      <w:r w:rsidDel="00000000" w:rsidR="00000000" w:rsidRPr="00000000">
        <w:rPr>
          <w:b w:val="1"/>
          <w:sz w:val="22"/>
          <w:szCs w:val="22"/>
          <w:rtl w:val="0"/>
        </w:rPr>
        <w:t xml:space="preserve">Supplementary Fig. 7. The constitution of different sublineages for each of the four year of collection (2009 - 2012). </w:t>
      </w:r>
      <w:r w:rsidDel="00000000" w:rsidR="00000000" w:rsidRPr="00000000">
        <w:rPr>
          <w:sz w:val="22"/>
          <w:szCs w:val="22"/>
          <w:rtl w:val="0"/>
        </w:rPr>
        <w:t xml:space="preserve">Each color represents different inferred lineages. g2g-L2 (red) represents the unique clade of lineage 2 (other non-g2g L2 sublineages in dark red) identified in this study. </w:t>
      </w:r>
    </w:p>
    <w:p w:rsidR="00000000" w:rsidDel="00000000" w:rsidP="00000000" w:rsidRDefault="00000000" w:rsidRPr="00000000" w14:paraId="00000017">
      <w:pPr>
        <w:pStyle w:val="Heading2"/>
        <w:rPr>
          <w:sz w:val="22"/>
          <w:szCs w:val="22"/>
        </w:rPr>
      </w:pPr>
      <w:bookmarkStart w:colFirst="0" w:colLast="0" w:name="_heading=h.z337ya" w:id="18"/>
      <w:bookmarkEnd w:id="18"/>
      <w:r w:rsidDel="00000000" w:rsidR="00000000" w:rsidRPr="00000000">
        <w:rPr>
          <w:sz w:val="22"/>
          <w:szCs w:val="22"/>
        </w:rPr>
        <w:drawing>
          <wp:inline distB="114300" distT="114300" distL="114300" distR="114300">
            <wp:extent cx="5943600" cy="3467100"/>
            <wp:effectExtent b="0" l="0" r="0" t="0"/>
            <wp:docPr id="22" name="image13.png"/>
            <a:graphic>
              <a:graphicData uri="http://schemas.openxmlformats.org/drawingml/2006/picture">
                <pic:pic>
                  <pic:nvPicPr>
                    <pic:cNvPr id="0" name="image13.png"/>
                    <pic:cNvPicPr preferRelativeResize="0"/>
                  </pic:nvPicPr>
                  <pic:blipFill>
                    <a:blip r:embed="rId14"/>
                    <a:srcRect b="0" l="0" r="0" t="0"/>
                    <a:stretch>
                      <a:fillRect/>
                    </a:stretch>
                  </pic:blipFill>
                  <pic:spPr>
                    <a:xfrm>
                      <a:off x="0" y="0"/>
                      <a:ext cx="5943600" cy="34671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2"/>
        <w:rPr>
          <w:b w:val="1"/>
          <w:sz w:val="22"/>
          <w:szCs w:val="22"/>
        </w:rPr>
      </w:pPr>
      <w:bookmarkStart w:colFirst="0" w:colLast="0" w:name="_heading=h.3j2qqm3" w:id="19"/>
      <w:bookmarkEnd w:id="19"/>
      <w:r w:rsidDel="00000000" w:rsidR="00000000" w:rsidRPr="00000000">
        <w:rPr>
          <w:rtl w:val="0"/>
        </w:rPr>
      </w:r>
    </w:p>
    <w:p w:rsidR="00000000" w:rsidDel="00000000" w:rsidP="00000000" w:rsidRDefault="00000000" w:rsidRPr="00000000" w14:paraId="0000001A">
      <w:pPr>
        <w:pStyle w:val="Heading2"/>
        <w:rPr>
          <w:b w:val="1"/>
          <w:sz w:val="22"/>
          <w:szCs w:val="22"/>
        </w:rPr>
      </w:pPr>
      <w:bookmarkStart w:colFirst="0" w:colLast="0" w:name="_heading=h.1y810tw" w:id="20"/>
      <w:bookmarkEnd w:id="20"/>
      <w:r w:rsidDel="00000000" w:rsidR="00000000" w:rsidRPr="00000000">
        <w:rPr>
          <w:rtl w:val="0"/>
        </w:rPr>
      </w:r>
    </w:p>
    <w:p w:rsidR="00000000" w:rsidDel="00000000" w:rsidP="00000000" w:rsidRDefault="00000000" w:rsidRPr="00000000" w14:paraId="0000001B">
      <w:pPr>
        <w:pStyle w:val="Heading2"/>
        <w:rPr>
          <w:b w:val="1"/>
          <w:sz w:val="22"/>
          <w:szCs w:val="22"/>
        </w:rPr>
      </w:pPr>
      <w:bookmarkStart w:colFirst="0" w:colLast="0" w:name="_heading=h.4i7ojhp" w:id="21"/>
      <w:bookmarkEnd w:id="21"/>
      <w:r w:rsidDel="00000000" w:rsidR="00000000" w:rsidRPr="00000000">
        <w:rPr>
          <w:rtl w:val="0"/>
        </w:rPr>
      </w:r>
    </w:p>
    <w:p w:rsidR="00000000" w:rsidDel="00000000" w:rsidP="00000000" w:rsidRDefault="00000000" w:rsidRPr="00000000" w14:paraId="0000001C">
      <w:pPr>
        <w:pStyle w:val="Heading2"/>
        <w:rPr>
          <w:b w:val="1"/>
          <w:sz w:val="22"/>
          <w:szCs w:val="22"/>
        </w:rPr>
      </w:pPr>
      <w:bookmarkStart w:colFirst="0" w:colLast="0" w:name="_heading=h.2xcytpi" w:id="22"/>
      <w:bookmarkEnd w:id="22"/>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2"/>
        <w:rPr>
          <w:sz w:val="22"/>
          <w:szCs w:val="22"/>
        </w:rPr>
      </w:pPr>
      <w:bookmarkStart w:colFirst="0" w:colLast="0" w:name="_heading=h.1ci93xb" w:id="23"/>
      <w:bookmarkEnd w:id="23"/>
      <w:r w:rsidDel="00000000" w:rsidR="00000000" w:rsidRPr="00000000">
        <w:rPr>
          <w:b w:val="1"/>
          <w:sz w:val="22"/>
          <w:szCs w:val="22"/>
          <w:rtl w:val="0"/>
        </w:rPr>
        <w:t xml:space="preserve">Supplementary Fig. 8. Geographic distribution of enrolled </w:t>
      </w:r>
      <w:r w:rsidDel="00000000" w:rsidR="00000000" w:rsidRPr="00000000">
        <w:rPr>
          <w:b w:val="1"/>
          <w:i w:val="1"/>
          <w:sz w:val="22"/>
          <w:szCs w:val="22"/>
          <w:rtl w:val="0"/>
        </w:rPr>
        <w:t xml:space="preserve">Mtb</w:t>
      </w:r>
      <w:r w:rsidDel="00000000" w:rsidR="00000000" w:rsidRPr="00000000">
        <w:rPr>
          <w:b w:val="1"/>
          <w:sz w:val="22"/>
          <w:szCs w:val="22"/>
          <w:rtl w:val="0"/>
        </w:rPr>
        <w:t xml:space="preserve"> isolates. </w:t>
      </w:r>
      <w:r w:rsidDel="00000000" w:rsidR="00000000" w:rsidRPr="00000000">
        <w:rPr>
          <w:sz w:val="22"/>
          <w:szCs w:val="22"/>
          <w:rtl w:val="0"/>
        </w:rPr>
        <w:t xml:space="preserve">Each point on the map represents the clinic where the </w:t>
      </w:r>
      <w:r w:rsidDel="00000000" w:rsidR="00000000" w:rsidRPr="00000000">
        <w:rPr>
          <w:i w:val="1"/>
          <w:sz w:val="22"/>
          <w:szCs w:val="22"/>
          <w:rtl w:val="0"/>
        </w:rPr>
        <w:t xml:space="preserve">Mtb</w:t>
      </w:r>
      <w:r w:rsidDel="00000000" w:rsidR="00000000" w:rsidRPr="00000000">
        <w:rPr>
          <w:sz w:val="22"/>
          <w:szCs w:val="22"/>
          <w:rtl w:val="0"/>
        </w:rPr>
        <w:t xml:space="preserve"> sample is collected, and is colored by its inferred lineage. g2g-L2 lineages are defined by the phylogenetic marker (Position</w:t>
      </w:r>
      <w:r w:rsidDel="00000000" w:rsidR="00000000" w:rsidRPr="00000000">
        <w:rPr>
          <w:b w:val="1"/>
          <w:sz w:val="22"/>
          <w:szCs w:val="22"/>
          <w:rtl w:val="0"/>
        </w:rPr>
        <w:t xml:space="preserve"> </w:t>
      </w:r>
      <w:r w:rsidDel="00000000" w:rsidR="00000000" w:rsidRPr="00000000">
        <w:rPr>
          <w:sz w:val="22"/>
          <w:szCs w:val="22"/>
          <w:rtl w:val="0"/>
        </w:rPr>
        <w:t xml:space="preserve">271640). This map shows collected Mtb sublineages were randomly distributed geographically.</w:t>
      </w:r>
    </w:p>
    <w:p w:rsidR="00000000" w:rsidDel="00000000" w:rsidP="00000000" w:rsidRDefault="00000000" w:rsidRPr="00000000" w14:paraId="0000001F">
      <w:pPr>
        <w:jc w:val="center"/>
        <w:rPr>
          <w:b w:val="1"/>
          <w:sz w:val="22"/>
          <w:szCs w:val="22"/>
        </w:rPr>
      </w:pPr>
      <w:r w:rsidDel="00000000" w:rsidR="00000000" w:rsidRPr="00000000">
        <w:rPr/>
        <w:drawing>
          <wp:inline distB="114300" distT="114300" distL="114300" distR="114300">
            <wp:extent cx="5365627" cy="6948488"/>
            <wp:effectExtent b="0" l="0" r="0" t="0"/>
            <wp:docPr id="24" name="image15.png"/>
            <a:graphic>
              <a:graphicData uri="http://schemas.openxmlformats.org/drawingml/2006/picture">
                <pic:pic>
                  <pic:nvPicPr>
                    <pic:cNvPr id="0" name="image15.png"/>
                    <pic:cNvPicPr preferRelativeResize="0"/>
                  </pic:nvPicPr>
                  <pic:blipFill>
                    <a:blip r:embed="rId15"/>
                    <a:srcRect b="0" l="0" r="0" t="0"/>
                    <a:stretch>
                      <a:fillRect/>
                    </a:stretch>
                  </pic:blipFill>
                  <pic:spPr>
                    <a:xfrm>
                      <a:off x="0" y="0"/>
                      <a:ext cx="5365627" cy="6948488"/>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pStyle w:val="Heading2"/>
        <w:rPr>
          <w:sz w:val="22"/>
          <w:szCs w:val="22"/>
        </w:rPr>
      </w:pPr>
      <w:bookmarkStart w:colFirst="0" w:colLast="0" w:name="_heading=h.2bn6wsx" w:id="24"/>
      <w:bookmarkEnd w:id="24"/>
      <w:r w:rsidDel="00000000" w:rsidR="00000000" w:rsidRPr="00000000">
        <w:rPr>
          <w:b w:val="1"/>
          <w:sz w:val="22"/>
          <w:szCs w:val="22"/>
          <w:rtl w:val="0"/>
        </w:rPr>
        <w:t xml:space="preserve">Supplementary Fig. 9. Genetic ancestry analysis of the 1,556 Peruvian human host genomes. a</w:t>
      </w:r>
      <w:r w:rsidDel="00000000" w:rsidR="00000000" w:rsidRPr="00000000">
        <w:rPr>
          <w:sz w:val="22"/>
          <w:szCs w:val="22"/>
          <w:rtl w:val="0"/>
        </w:rPr>
        <w:t xml:space="preserve">. First and second principal components of the Peruvian genomes merged with samples included in the 1000 Genomes Project covering five global populations. </w:t>
      </w:r>
      <w:r w:rsidDel="00000000" w:rsidR="00000000" w:rsidRPr="00000000">
        <w:rPr>
          <w:b w:val="1"/>
          <w:sz w:val="22"/>
          <w:szCs w:val="22"/>
          <w:rtl w:val="0"/>
        </w:rPr>
        <w:t xml:space="preserve">b</w:t>
      </w:r>
      <w:r w:rsidDel="00000000" w:rsidR="00000000" w:rsidRPr="00000000">
        <w:rPr>
          <w:sz w:val="22"/>
          <w:szCs w:val="22"/>
          <w:rtl w:val="0"/>
        </w:rPr>
        <w:t xml:space="preserve">. ADMIXTURE plot of the Peruvian genomes and other global populations (K=5). Each individual is represented as a thin vertical bar. The colors represent the proportion of ancestry assigned to each cluster for each individual. Reference panels are from the 1000 Genomes Project. </w:t>
      </w:r>
      <w:r w:rsidDel="00000000" w:rsidR="00000000" w:rsidRPr="00000000">
        <w:rPr>
          <w:sz w:val="22"/>
          <w:szCs w:val="22"/>
          <w:highlight w:val="white"/>
          <w:rtl w:val="0"/>
        </w:rPr>
        <w:t xml:space="preserve">SAS represents South Asian; EAS represents East Asian; AFR represents African; EUR represents European; LIMA represents Peruvians collected from this cohort, from Lima, Peru. </w:t>
      </w:r>
      <w:r w:rsidDel="00000000" w:rsidR="00000000" w:rsidRPr="00000000">
        <w:rPr>
          <w:rtl w:val="0"/>
        </w:rPr>
      </w:r>
    </w:p>
    <w:p w:rsidR="00000000" w:rsidDel="00000000" w:rsidP="00000000" w:rsidRDefault="00000000" w:rsidRPr="00000000" w14:paraId="00000021">
      <w:pPr>
        <w:jc w:val="center"/>
        <w:rPr/>
      </w:pPr>
      <w:r w:rsidDel="00000000" w:rsidR="00000000" w:rsidRPr="00000000">
        <w:rPr/>
        <w:drawing>
          <wp:inline distB="114300" distT="114300" distL="114300" distR="114300">
            <wp:extent cx="4776788" cy="5983918"/>
            <wp:effectExtent b="0" l="0" r="0" t="0"/>
            <wp:docPr id="17"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4776788" cy="5983918"/>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pStyle w:val="Heading2"/>
        <w:rPr>
          <w:sz w:val="22"/>
          <w:szCs w:val="22"/>
        </w:rPr>
      </w:pPr>
      <w:bookmarkStart w:colFirst="0" w:colLast="0" w:name="_heading=h.qsh70q" w:id="25"/>
      <w:bookmarkEnd w:id="25"/>
      <w:r w:rsidDel="00000000" w:rsidR="00000000" w:rsidRPr="00000000">
        <w:rPr>
          <w:b w:val="1"/>
          <w:sz w:val="22"/>
          <w:szCs w:val="22"/>
          <w:rtl w:val="0"/>
        </w:rPr>
        <w:t xml:space="preserve">Supplementary Fig. 10. Genetic structure of Peruvian </w:t>
      </w:r>
      <w:r w:rsidDel="00000000" w:rsidR="00000000" w:rsidRPr="00000000">
        <w:rPr>
          <w:b w:val="1"/>
          <w:i w:val="1"/>
          <w:sz w:val="22"/>
          <w:szCs w:val="22"/>
          <w:rtl w:val="0"/>
        </w:rPr>
        <w:t xml:space="preserve">Mtb</w:t>
      </w:r>
      <w:r w:rsidDel="00000000" w:rsidR="00000000" w:rsidRPr="00000000">
        <w:rPr>
          <w:b w:val="1"/>
          <w:sz w:val="22"/>
          <w:szCs w:val="22"/>
          <w:rtl w:val="0"/>
        </w:rPr>
        <w:t xml:space="preserve"> isolates. a</w:t>
      </w:r>
      <w:r w:rsidDel="00000000" w:rsidR="00000000" w:rsidRPr="00000000">
        <w:rPr>
          <w:sz w:val="22"/>
          <w:szCs w:val="22"/>
          <w:rtl w:val="0"/>
        </w:rPr>
        <w:t xml:space="preserve">. A maximum likelihood phylogenetic tree of the collected 1,556 Peruvian </w:t>
      </w:r>
      <w:r w:rsidDel="00000000" w:rsidR="00000000" w:rsidRPr="00000000">
        <w:rPr>
          <w:i w:val="1"/>
          <w:sz w:val="22"/>
          <w:szCs w:val="22"/>
          <w:rtl w:val="0"/>
        </w:rPr>
        <w:t xml:space="preserve">Mtb</w:t>
      </w:r>
      <w:r w:rsidDel="00000000" w:rsidR="00000000" w:rsidRPr="00000000">
        <w:rPr>
          <w:sz w:val="22"/>
          <w:szCs w:val="22"/>
          <w:rtl w:val="0"/>
        </w:rPr>
        <w:t xml:space="preserve"> isolates. The branches of the tree were colored according to the sublineages. </w:t>
      </w:r>
      <w:r w:rsidDel="00000000" w:rsidR="00000000" w:rsidRPr="00000000">
        <w:rPr>
          <w:b w:val="1"/>
          <w:sz w:val="22"/>
          <w:szCs w:val="22"/>
          <w:rtl w:val="0"/>
        </w:rPr>
        <w:t xml:space="preserve">b</w:t>
      </w:r>
      <w:r w:rsidDel="00000000" w:rsidR="00000000" w:rsidRPr="00000000">
        <w:rPr>
          <w:sz w:val="22"/>
          <w:szCs w:val="22"/>
          <w:rtl w:val="0"/>
        </w:rPr>
        <w:t xml:space="preserve">. Pie chart shows the proportion of different sublineages collected in the study. </w:t>
      </w:r>
    </w:p>
    <w:p w:rsidR="00000000" w:rsidDel="00000000" w:rsidP="00000000" w:rsidRDefault="00000000" w:rsidRPr="00000000" w14:paraId="00000023">
      <w:pPr>
        <w:jc w:val="center"/>
        <w:rPr/>
      </w:pPr>
      <w:r w:rsidDel="00000000" w:rsidR="00000000" w:rsidRPr="00000000">
        <w:rPr/>
        <w:drawing>
          <wp:inline distB="114300" distT="114300" distL="114300" distR="114300">
            <wp:extent cx="5943600" cy="3962400"/>
            <wp:effectExtent b="0" l="0" r="0" t="0"/>
            <wp:docPr id="25"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pStyle w:val="Heading2"/>
        <w:rPr>
          <w:sz w:val="22"/>
          <w:szCs w:val="22"/>
        </w:rPr>
      </w:pPr>
      <w:bookmarkStart w:colFirst="0" w:colLast="0" w:name="_heading=h.3as4poj" w:id="26"/>
      <w:bookmarkEnd w:id="26"/>
      <w:r w:rsidDel="00000000" w:rsidR="00000000" w:rsidRPr="00000000">
        <w:rPr>
          <w:b w:val="1"/>
          <w:sz w:val="22"/>
          <w:szCs w:val="22"/>
          <w:rtl w:val="0"/>
        </w:rPr>
        <w:t xml:space="preserve">Supplementary Fig. 11. Human variant-to-</w:t>
      </w:r>
      <w:r w:rsidDel="00000000" w:rsidR="00000000" w:rsidRPr="00000000">
        <w:rPr>
          <w:b w:val="1"/>
          <w:i w:val="1"/>
          <w:sz w:val="22"/>
          <w:szCs w:val="22"/>
          <w:rtl w:val="0"/>
        </w:rPr>
        <w:t xml:space="preserve">Mtb</w:t>
      </w:r>
      <w:r w:rsidDel="00000000" w:rsidR="00000000" w:rsidRPr="00000000">
        <w:rPr>
          <w:b w:val="1"/>
          <w:sz w:val="22"/>
          <w:szCs w:val="22"/>
          <w:rtl w:val="0"/>
        </w:rPr>
        <w:t xml:space="preserve"> lineage genome-wide association study in 1,556 tuberculosis patients. </w:t>
      </w:r>
      <w:r w:rsidDel="00000000" w:rsidR="00000000" w:rsidRPr="00000000">
        <w:rPr>
          <w:sz w:val="22"/>
          <w:szCs w:val="22"/>
          <w:rtl w:val="0"/>
        </w:rPr>
        <w:t xml:space="preserve">We tested genomic interplay between </w:t>
      </w:r>
      <w:r w:rsidDel="00000000" w:rsidR="00000000" w:rsidRPr="00000000">
        <w:rPr>
          <w:i w:val="1"/>
          <w:sz w:val="22"/>
          <w:szCs w:val="22"/>
          <w:rtl w:val="0"/>
        </w:rPr>
        <w:t xml:space="preserve">Mtb</w:t>
      </w:r>
      <w:r w:rsidDel="00000000" w:rsidR="00000000" w:rsidRPr="00000000">
        <w:rPr>
          <w:sz w:val="22"/>
          <w:szCs w:val="22"/>
          <w:rtl w:val="0"/>
        </w:rPr>
        <w:t xml:space="preserve"> lineage and host variants. We performed mixed effects logistic regression assuming an additive model and correcting for host cryptic relatedness, population structure, age and sex. </w:t>
      </w:r>
      <w:r w:rsidDel="00000000" w:rsidR="00000000" w:rsidRPr="00000000">
        <w:rPr>
          <w:b w:val="1"/>
          <w:sz w:val="22"/>
          <w:szCs w:val="22"/>
          <w:rtl w:val="0"/>
        </w:rPr>
        <w:t xml:space="preserve">a</w:t>
      </w:r>
      <w:r w:rsidDel="00000000" w:rsidR="00000000" w:rsidRPr="00000000">
        <w:rPr>
          <w:sz w:val="22"/>
          <w:szCs w:val="22"/>
          <w:rtl w:val="0"/>
        </w:rPr>
        <w:t xml:space="preserve">. Manhattan plot of the GWAS analysis when treating two main </w:t>
      </w:r>
      <w:r w:rsidDel="00000000" w:rsidR="00000000" w:rsidRPr="00000000">
        <w:rPr>
          <w:i w:val="1"/>
          <w:sz w:val="22"/>
          <w:szCs w:val="22"/>
          <w:rtl w:val="0"/>
        </w:rPr>
        <w:t xml:space="preserve">Mtb</w:t>
      </w:r>
      <w:r w:rsidDel="00000000" w:rsidR="00000000" w:rsidRPr="00000000">
        <w:rPr>
          <w:sz w:val="22"/>
          <w:szCs w:val="22"/>
          <w:rtl w:val="0"/>
        </w:rPr>
        <w:t xml:space="preserve"> lineages as outcome variable (i.e., a binary trait with L2 = 1 and L4=0) prior to imputation. The x-axis denotes the human genomic positions with alternating colors for each chromosome (1-22, X). The y-axis denotes the -log</w:t>
      </w:r>
      <w:r w:rsidDel="00000000" w:rsidR="00000000" w:rsidRPr="00000000">
        <w:rPr>
          <w:sz w:val="22"/>
          <w:szCs w:val="22"/>
          <w:vertAlign w:val="subscript"/>
          <w:rtl w:val="0"/>
        </w:rPr>
        <w:t xml:space="preserve">10</w:t>
      </w:r>
      <w:r w:rsidDel="00000000" w:rsidR="00000000" w:rsidRPr="00000000">
        <w:rPr>
          <w:sz w:val="22"/>
          <w:szCs w:val="22"/>
          <w:rtl w:val="0"/>
        </w:rPr>
        <w:t xml:space="preserve">(P) value from the logistic regression. The red dotted line denotes the genome-wide significance threshold (5 x 10</w:t>
      </w:r>
      <w:r w:rsidDel="00000000" w:rsidR="00000000" w:rsidRPr="00000000">
        <w:rPr>
          <w:sz w:val="22"/>
          <w:szCs w:val="22"/>
          <w:vertAlign w:val="superscript"/>
          <w:rtl w:val="0"/>
        </w:rPr>
        <w:t xml:space="preserve">-8</w:t>
      </w:r>
      <w:r w:rsidDel="00000000" w:rsidR="00000000" w:rsidRPr="00000000">
        <w:rPr>
          <w:sz w:val="22"/>
          <w:szCs w:val="22"/>
          <w:rtl w:val="0"/>
        </w:rPr>
        <w:t xml:space="preserve">). </w:t>
      </w:r>
      <w:r w:rsidDel="00000000" w:rsidR="00000000" w:rsidRPr="00000000">
        <w:rPr>
          <w:b w:val="1"/>
          <w:sz w:val="22"/>
          <w:szCs w:val="22"/>
          <w:rtl w:val="0"/>
        </w:rPr>
        <w:t xml:space="preserve">b</w:t>
      </w:r>
      <w:r w:rsidDel="00000000" w:rsidR="00000000" w:rsidRPr="00000000">
        <w:rPr>
          <w:sz w:val="22"/>
          <w:szCs w:val="22"/>
          <w:rtl w:val="0"/>
        </w:rPr>
        <w:t xml:space="preserve">. Q-Q plot of the GWAS p-values shown in </w:t>
      </w:r>
      <w:r w:rsidDel="00000000" w:rsidR="00000000" w:rsidRPr="00000000">
        <w:rPr>
          <w:b w:val="1"/>
          <w:sz w:val="22"/>
          <w:szCs w:val="22"/>
          <w:rtl w:val="0"/>
        </w:rPr>
        <w:t xml:space="preserve">a</w:t>
      </w:r>
      <w:r w:rsidDel="00000000" w:rsidR="00000000" w:rsidRPr="00000000">
        <w:rPr>
          <w:sz w:val="22"/>
          <w:szCs w:val="22"/>
          <w:rtl w:val="0"/>
        </w:rPr>
        <w:t xml:space="preserve">. </w:t>
      </w:r>
      <w:r w:rsidDel="00000000" w:rsidR="00000000" w:rsidRPr="00000000">
        <w:rPr>
          <w:b w:val="1"/>
          <w:sz w:val="22"/>
          <w:szCs w:val="22"/>
          <w:rtl w:val="0"/>
        </w:rPr>
        <w:t xml:space="preserve">c</w:t>
      </w:r>
      <w:r w:rsidDel="00000000" w:rsidR="00000000" w:rsidRPr="00000000">
        <w:rPr>
          <w:sz w:val="22"/>
          <w:szCs w:val="22"/>
          <w:rtl w:val="0"/>
        </w:rPr>
        <w:t xml:space="preserve">. Regional plot of the MHC region after imputing using a multi-ancestry MHC reference panel. The most significant association is at an intron variant rs3130660 of </w:t>
      </w:r>
      <w:r w:rsidDel="00000000" w:rsidR="00000000" w:rsidRPr="00000000">
        <w:rPr>
          <w:i w:val="1"/>
          <w:sz w:val="22"/>
          <w:szCs w:val="22"/>
          <w:rtl w:val="0"/>
        </w:rPr>
        <w:t xml:space="preserve">FLOT1</w:t>
      </w:r>
      <w:r w:rsidDel="00000000" w:rsidR="00000000" w:rsidRPr="00000000">
        <w:rPr>
          <w:sz w:val="22"/>
          <w:szCs w:val="22"/>
          <w:rtl w:val="0"/>
        </w:rPr>
        <w:t xml:space="preserve">. Variants lying within the six classical HLA genes are highlighted in red (HLA-</w:t>
      </w:r>
      <w:r w:rsidDel="00000000" w:rsidR="00000000" w:rsidRPr="00000000">
        <w:rPr>
          <w:i w:val="1"/>
          <w:sz w:val="22"/>
          <w:szCs w:val="22"/>
          <w:rtl w:val="0"/>
        </w:rPr>
        <w:t xml:space="preserve">A</w:t>
      </w:r>
      <w:r w:rsidDel="00000000" w:rsidR="00000000" w:rsidRPr="00000000">
        <w:rPr>
          <w:sz w:val="22"/>
          <w:szCs w:val="22"/>
          <w:rtl w:val="0"/>
        </w:rPr>
        <w:t xml:space="preserve">), blue (HLA-</w:t>
      </w:r>
      <w:r w:rsidDel="00000000" w:rsidR="00000000" w:rsidRPr="00000000">
        <w:rPr>
          <w:i w:val="1"/>
          <w:sz w:val="22"/>
          <w:szCs w:val="22"/>
          <w:rtl w:val="0"/>
        </w:rPr>
        <w:t xml:space="preserve">B</w:t>
      </w:r>
      <w:r w:rsidDel="00000000" w:rsidR="00000000" w:rsidRPr="00000000">
        <w:rPr>
          <w:sz w:val="22"/>
          <w:szCs w:val="22"/>
          <w:rtl w:val="0"/>
        </w:rPr>
        <w:t xml:space="preserve">), green (HLA-</w:t>
      </w:r>
      <w:r w:rsidDel="00000000" w:rsidR="00000000" w:rsidRPr="00000000">
        <w:rPr>
          <w:i w:val="1"/>
          <w:sz w:val="22"/>
          <w:szCs w:val="22"/>
          <w:rtl w:val="0"/>
        </w:rPr>
        <w:t xml:space="preserve">C</w:t>
      </w:r>
      <w:r w:rsidDel="00000000" w:rsidR="00000000" w:rsidRPr="00000000">
        <w:rPr>
          <w:sz w:val="22"/>
          <w:szCs w:val="22"/>
          <w:rtl w:val="0"/>
        </w:rPr>
        <w:t xml:space="preserve">), purple (HLA-</w:t>
      </w:r>
      <w:r w:rsidDel="00000000" w:rsidR="00000000" w:rsidRPr="00000000">
        <w:rPr>
          <w:i w:val="1"/>
          <w:sz w:val="22"/>
          <w:szCs w:val="22"/>
          <w:rtl w:val="0"/>
        </w:rPr>
        <w:t xml:space="preserve">DQA1</w:t>
      </w:r>
      <w:r w:rsidDel="00000000" w:rsidR="00000000" w:rsidRPr="00000000">
        <w:rPr>
          <w:sz w:val="22"/>
          <w:szCs w:val="22"/>
          <w:rtl w:val="0"/>
        </w:rPr>
        <w:t xml:space="preserve">), orange (HLA-</w:t>
      </w:r>
      <w:r w:rsidDel="00000000" w:rsidR="00000000" w:rsidRPr="00000000">
        <w:rPr>
          <w:i w:val="1"/>
          <w:sz w:val="22"/>
          <w:szCs w:val="22"/>
          <w:rtl w:val="0"/>
        </w:rPr>
        <w:t xml:space="preserve">DQB1</w:t>
      </w:r>
      <w:r w:rsidDel="00000000" w:rsidR="00000000" w:rsidRPr="00000000">
        <w:rPr>
          <w:sz w:val="22"/>
          <w:szCs w:val="22"/>
          <w:rtl w:val="0"/>
        </w:rPr>
        <w:t xml:space="preserve">) and yellow (HLA-</w:t>
      </w:r>
      <w:r w:rsidDel="00000000" w:rsidR="00000000" w:rsidRPr="00000000">
        <w:rPr>
          <w:i w:val="1"/>
          <w:sz w:val="22"/>
          <w:szCs w:val="22"/>
          <w:rtl w:val="0"/>
        </w:rPr>
        <w:t xml:space="preserve">DRB1</w:t>
      </w:r>
      <w:r w:rsidDel="00000000" w:rsidR="00000000" w:rsidRPr="00000000">
        <w:rPr>
          <w:sz w:val="22"/>
          <w:szCs w:val="22"/>
          <w:rtl w:val="0"/>
        </w:rPr>
        <w:t xml:space="preserve">). All variants that are not in the classical HLA genes are in gray.</w:t>
      </w:r>
    </w:p>
    <w:p w:rsidR="00000000" w:rsidDel="00000000" w:rsidP="00000000" w:rsidRDefault="00000000" w:rsidRPr="00000000" w14:paraId="00000025">
      <w:pPr>
        <w:jc w:val="center"/>
        <w:rPr/>
      </w:pPr>
      <w:r w:rsidDel="00000000" w:rsidR="00000000" w:rsidRPr="00000000">
        <w:rPr/>
        <w:drawing>
          <wp:inline distB="114300" distT="114300" distL="114300" distR="114300">
            <wp:extent cx="5943600" cy="4953000"/>
            <wp:effectExtent b="0" l="0" r="0" t="0"/>
            <wp:docPr id="16" name="image12.png"/>
            <a:graphic>
              <a:graphicData uri="http://schemas.openxmlformats.org/drawingml/2006/picture">
                <pic:pic>
                  <pic:nvPicPr>
                    <pic:cNvPr id="0" name="image12.png"/>
                    <pic:cNvPicPr preferRelativeResize="0"/>
                  </pic:nvPicPr>
                  <pic:blipFill>
                    <a:blip r:embed="rId18"/>
                    <a:srcRect b="0" l="0" r="0" t="0"/>
                    <a:stretch>
                      <a:fillRect/>
                    </a:stretch>
                  </pic:blipFill>
                  <pic:spPr>
                    <a:xfrm>
                      <a:off x="0" y="0"/>
                      <a:ext cx="5943600" cy="49530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pStyle w:val="Heading2"/>
        <w:rPr>
          <w:b w:val="1"/>
          <w:sz w:val="22"/>
          <w:szCs w:val="22"/>
        </w:rPr>
      </w:pPr>
      <w:bookmarkStart w:colFirst="0" w:colLast="0" w:name="_heading=h.1pxezwc" w:id="27"/>
      <w:bookmarkEnd w:id="27"/>
      <w:r w:rsidDel="00000000" w:rsidR="00000000" w:rsidRPr="00000000">
        <w:rPr>
          <w:b w:val="1"/>
          <w:sz w:val="22"/>
          <w:szCs w:val="22"/>
          <w:rtl w:val="0"/>
        </w:rPr>
        <w:t xml:space="preserve">Supplementary Fig. 12. Peruvian L2 isolates and their global neighbors. </w:t>
      </w:r>
      <w:r w:rsidDel="00000000" w:rsidR="00000000" w:rsidRPr="00000000">
        <w:rPr>
          <w:sz w:val="22"/>
          <w:szCs w:val="22"/>
          <w:rtl w:val="0"/>
        </w:rPr>
        <w:t xml:space="preserve">A maximum likelihood phylogenetic tree of Peruvian L2 and 1,000 L2 isolates obtained globally (shown in gray). A total of three Peruvian L2 clades (g2g-L2 in red, clade-B in blue and clade-C in green) are marked. Other Peruvian L2 isolates that do not belong to the three marked clades are shown in pale orange.</w:t>
      </w:r>
      <w:r w:rsidDel="00000000" w:rsidR="00000000" w:rsidRPr="00000000">
        <w:rPr>
          <w:rtl w:val="0"/>
        </w:rPr>
      </w:r>
    </w:p>
    <w:p w:rsidR="00000000" w:rsidDel="00000000" w:rsidP="00000000" w:rsidRDefault="00000000" w:rsidRPr="00000000" w14:paraId="00000027">
      <w:pPr>
        <w:jc w:val="center"/>
        <w:rPr/>
      </w:pPr>
      <w:r w:rsidDel="00000000" w:rsidR="00000000" w:rsidRPr="00000000">
        <w:rPr/>
        <w:drawing>
          <wp:inline distB="114300" distT="114300" distL="114300" distR="114300">
            <wp:extent cx="5943600" cy="4953000"/>
            <wp:effectExtent b="0" l="0" r="0" t="0"/>
            <wp:docPr id="26"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5943600" cy="49530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jc w:val="center"/>
        <w:rPr/>
      </w:pPr>
      <w:r w:rsidDel="00000000" w:rsidR="00000000" w:rsidRPr="00000000">
        <w:rPr>
          <w:rtl w:val="0"/>
        </w:rPr>
      </w:r>
    </w:p>
    <w:p w:rsidR="00000000" w:rsidDel="00000000" w:rsidP="00000000" w:rsidRDefault="00000000" w:rsidRPr="00000000" w14:paraId="00000029">
      <w:pPr>
        <w:jc w:val="center"/>
        <w:rPr/>
      </w:pPr>
      <w:r w:rsidDel="00000000" w:rsidR="00000000" w:rsidRPr="00000000">
        <w:rPr>
          <w:rtl w:val="0"/>
        </w:rPr>
      </w:r>
    </w:p>
    <w:p w:rsidR="00000000" w:rsidDel="00000000" w:rsidP="00000000" w:rsidRDefault="00000000" w:rsidRPr="00000000" w14:paraId="0000002A">
      <w:pPr>
        <w:jc w:val="cente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2"/>
        <w:rPr>
          <w:sz w:val="22"/>
          <w:szCs w:val="22"/>
        </w:rPr>
      </w:pPr>
      <w:bookmarkStart w:colFirst="0" w:colLast="0" w:name="_heading=h.49x2ik5" w:id="28"/>
      <w:bookmarkEnd w:id="28"/>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2"/>
        <w:rPr>
          <w:sz w:val="22"/>
          <w:szCs w:val="22"/>
        </w:rPr>
      </w:pPr>
      <w:bookmarkStart w:colFirst="0" w:colLast="0" w:name="_heading=h.2p2csry" w:id="29"/>
      <w:bookmarkEnd w:id="29"/>
      <w:r w:rsidDel="00000000" w:rsidR="00000000" w:rsidRPr="00000000">
        <w:rPr>
          <w:b w:val="1"/>
          <w:sz w:val="22"/>
          <w:szCs w:val="22"/>
          <w:rtl w:val="0"/>
        </w:rPr>
        <w:t xml:space="preserve">Supplementary Fig. 13. Geographic distribution of Peruvain L2 </w:t>
      </w:r>
      <w:r w:rsidDel="00000000" w:rsidR="00000000" w:rsidRPr="00000000">
        <w:rPr>
          <w:b w:val="1"/>
          <w:i w:val="1"/>
          <w:sz w:val="22"/>
          <w:szCs w:val="22"/>
          <w:rtl w:val="0"/>
        </w:rPr>
        <w:t xml:space="preserve">Mtb</w:t>
      </w:r>
      <w:r w:rsidDel="00000000" w:rsidR="00000000" w:rsidRPr="00000000">
        <w:rPr>
          <w:b w:val="1"/>
          <w:sz w:val="22"/>
          <w:szCs w:val="22"/>
          <w:rtl w:val="0"/>
        </w:rPr>
        <w:t xml:space="preserve"> isolates. </w:t>
      </w:r>
      <w:r w:rsidDel="00000000" w:rsidR="00000000" w:rsidRPr="00000000">
        <w:rPr>
          <w:sz w:val="22"/>
          <w:szCs w:val="22"/>
          <w:rtl w:val="0"/>
        </w:rPr>
        <w:t xml:space="preserve">Each point on the map represents the clinic where the </w:t>
      </w:r>
      <w:r w:rsidDel="00000000" w:rsidR="00000000" w:rsidRPr="00000000">
        <w:rPr>
          <w:i w:val="1"/>
          <w:sz w:val="22"/>
          <w:szCs w:val="22"/>
          <w:rtl w:val="0"/>
        </w:rPr>
        <w:t xml:space="preserve">Mtb</w:t>
      </w:r>
      <w:r w:rsidDel="00000000" w:rsidR="00000000" w:rsidRPr="00000000">
        <w:rPr>
          <w:sz w:val="22"/>
          <w:szCs w:val="22"/>
          <w:rtl w:val="0"/>
        </w:rPr>
        <w:t xml:space="preserve"> isolate was collected, and is colored by its inferred lineage. g2g-L2 lineages are defined by the phylogenetic marker (Position</w:t>
      </w:r>
      <w:r w:rsidDel="00000000" w:rsidR="00000000" w:rsidRPr="00000000">
        <w:rPr>
          <w:b w:val="1"/>
          <w:sz w:val="22"/>
          <w:szCs w:val="22"/>
          <w:rtl w:val="0"/>
        </w:rPr>
        <w:t xml:space="preserve"> </w:t>
      </w:r>
      <w:r w:rsidDel="00000000" w:rsidR="00000000" w:rsidRPr="00000000">
        <w:rPr>
          <w:sz w:val="22"/>
          <w:szCs w:val="22"/>
          <w:rtl w:val="0"/>
        </w:rPr>
        <w:t xml:space="preserve">271640). </w:t>
      </w:r>
    </w:p>
    <w:p w:rsidR="00000000" w:rsidDel="00000000" w:rsidP="00000000" w:rsidRDefault="00000000" w:rsidRPr="00000000" w14:paraId="00000031">
      <w:pPr>
        <w:jc w:val="center"/>
        <w:rPr/>
      </w:pPr>
      <w:r w:rsidDel="00000000" w:rsidR="00000000" w:rsidRPr="00000000">
        <w:rPr/>
        <w:drawing>
          <wp:inline distB="114300" distT="114300" distL="114300" distR="114300">
            <wp:extent cx="3886200" cy="5143500"/>
            <wp:effectExtent b="0" l="0" r="0" t="0"/>
            <wp:docPr id="27" name="image3.png"/>
            <a:graphic>
              <a:graphicData uri="http://schemas.openxmlformats.org/drawingml/2006/picture">
                <pic:pic>
                  <pic:nvPicPr>
                    <pic:cNvPr id="0" name="image3.png"/>
                    <pic:cNvPicPr preferRelativeResize="0"/>
                  </pic:nvPicPr>
                  <pic:blipFill>
                    <a:blip r:embed="rId20"/>
                    <a:srcRect b="0" l="0" r="0" t="0"/>
                    <a:stretch>
                      <a:fillRect/>
                    </a:stretch>
                  </pic:blipFill>
                  <pic:spPr>
                    <a:xfrm>
                      <a:off x="0" y="0"/>
                      <a:ext cx="3886200" cy="51435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pStyle w:val="Heading2"/>
        <w:rPr>
          <w:sz w:val="22"/>
          <w:szCs w:val="22"/>
        </w:rPr>
      </w:pPr>
      <w:bookmarkStart w:colFirst="0" w:colLast="0" w:name="_heading=h.147n2zr" w:id="30"/>
      <w:bookmarkEnd w:id="30"/>
      <w:r w:rsidDel="00000000" w:rsidR="00000000" w:rsidRPr="00000000">
        <w:rPr>
          <w:b w:val="1"/>
          <w:sz w:val="22"/>
          <w:szCs w:val="22"/>
          <w:rtl w:val="0"/>
        </w:rPr>
        <w:t xml:space="preserve">Supplementary Fig. 14. High degree of correlation between biological replicates assayed via microscopy platform.</w:t>
      </w:r>
      <w:r w:rsidDel="00000000" w:rsidR="00000000" w:rsidRPr="00000000">
        <w:rPr>
          <w:sz w:val="22"/>
          <w:szCs w:val="22"/>
          <w:rtl w:val="0"/>
        </w:rPr>
        <w:t xml:space="preserve"> Independent biological replicates were assessed through the microscopy platform for each g2g-L2 and non g2g-L2 strain. For each of the seven features [cell length, median cell width, cell area, Nile Red (TRITC), NADA incorporation (FITC), CFP (F</w:t>
      </w:r>
      <w:r w:rsidDel="00000000" w:rsidR="00000000" w:rsidRPr="00000000">
        <w:rPr>
          <w:sz w:val="22"/>
          <w:szCs w:val="22"/>
          <w:vertAlign w:val="subscript"/>
          <w:rtl w:val="0"/>
        </w:rPr>
        <w:t xml:space="preserve">420</w:t>
      </w:r>
      <w:r w:rsidDel="00000000" w:rsidR="00000000" w:rsidRPr="00000000">
        <w:rPr>
          <w:sz w:val="22"/>
          <w:szCs w:val="22"/>
          <w:rtl w:val="0"/>
        </w:rPr>
        <w:t xml:space="preserve">-ox) and DNA staining (DAPI)], the Pearson correlation between replicates of each strain are shown. Each point represents a different </w:t>
      </w:r>
      <w:r w:rsidDel="00000000" w:rsidR="00000000" w:rsidRPr="00000000">
        <w:rPr>
          <w:i w:val="1"/>
          <w:sz w:val="22"/>
          <w:szCs w:val="22"/>
          <w:rtl w:val="0"/>
        </w:rPr>
        <w:t xml:space="preserve">Mtb</w:t>
      </w:r>
      <w:r w:rsidDel="00000000" w:rsidR="00000000" w:rsidRPr="00000000">
        <w:rPr>
          <w:sz w:val="22"/>
          <w:szCs w:val="22"/>
          <w:rtl w:val="0"/>
        </w:rPr>
        <w:t xml:space="preserve"> strain.</w:t>
      </w:r>
    </w:p>
    <w:p w:rsidR="00000000" w:rsidDel="00000000" w:rsidP="00000000" w:rsidRDefault="00000000" w:rsidRPr="00000000" w14:paraId="00000033">
      <w:pPr>
        <w:rPr/>
      </w:pPr>
      <w:r w:rsidDel="00000000" w:rsidR="00000000" w:rsidRPr="00000000">
        <w:rPr/>
        <w:drawing>
          <wp:inline distB="114300" distT="114300" distL="114300" distR="114300">
            <wp:extent cx="5943600" cy="3530600"/>
            <wp:effectExtent b="0" l="0" r="0" t="0"/>
            <wp:docPr id="28" name="image11.png"/>
            <a:graphic>
              <a:graphicData uri="http://schemas.openxmlformats.org/drawingml/2006/picture">
                <pic:pic>
                  <pic:nvPicPr>
                    <pic:cNvPr id="0" name="image11.png"/>
                    <pic:cNvPicPr preferRelativeResize="0"/>
                  </pic:nvPicPr>
                  <pic:blipFill>
                    <a:blip r:embed="rId21"/>
                    <a:srcRect b="0" l="0" r="0" t="0"/>
                    <a:stretch>
                      <a:fillRect/>
                    </a:stretch>
                  </pic:blipFill>
                  <pic:spPr>
                    <a:xfrm>
                      <a:off x="0" y="0"/>
                      <a:ext cx="5943600" cy="35306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2"/>
        <w:rPr>
          <w:sz w:val="22"/>
          <w:szCs w:val="22"/>
        </w:rPr>
      </w:pPr>
      <w:bookmarkStart w:colFirst="0" w:colLast="0" w:name="_heading=h.3o7alnk" w:id="31"/>
      <w:bookmarkEnd w:id="31"/>
      <w:r w:rsidDel="00000000" w:rsidR="00000000" w:rsidRPr="00000000">
        <w:rPr>
          <w:b w:val="1"/>
          <w:sz w:val="22"/>
          <w:szCs w:val="22"/>
          <w:rtl w:val="0"/>
        </w:rPr>
        <w:t xml:space="preserve">Supplementary Fig. 15. Functional annotation clustering of </w:t>
      </w:r>
      <w:r w:rsidDel="00000000" w:rsidR="00000000" w:rsidRPr="00000000">
        <w:rPr>
          <w:b w:val="1"/>
          <w:i w:val="1"/>
          <w:sz w:val="22"/>
          <w:szCs w:val="22"/>
          <w:rtl w:val="0"/>
        </w:rPr>
        <w:t xml:space="preserve">Mtb</w:t>
      </w:r>
      <w:r w:rsidDel="00000000" w:rsidR="00000000" w:rsidRPr="00000000">
        <w:rPr>
          <w:b w:val="1"/>
          <w:sz w:val="22"/>
          <w:szCs w:val="22"/>
          <w:rtl w:val="0"/>
        </w:rPr>
        <w:t xml:space="preserve"> genes with nonsynonymous mutations defining g2g-L2</w:t>
      </w:r>
      <w:r w:rsidDel="00000000" w:rsidR="00000000" w:rsidRPr="00000000">
        <w:rPr>
          <w:sz w:val="22"/>
          <w:szCs w:val="22"/>
          <w:rtl w:val="0"/>
        </w:rPr>
        <w:t xml:space="preserve"> </w:t>
      </w:r>
      <w:r w:rsidDel="00000000" w:rsidR="00000000" w:rsidRPr="00000000">
        <w:rPr>
          <w:b w:val="1"/>
          <w:sz w:val="22"/>
          <w:szCs w:val="22"/>
          <w:rtl w:val="0"/>
        </w:rPr>
        <w:t xml:space="preserve">subclade. </w:t>
      </w:r>
      <w:r w:rsidDel="00000000" w:rsidR="00000000" w:rsidRPr="00000000">
        <w:rPr>
          <w:sz w:val="22"/>
          <w:szCs w:val="22"/>
          <w:rtl w:val="0"/>
        </w:rPr>
        <w:t xml:space="preserve">Two enriched functional annotation clusters generated by DAVID (</w:t>
      </w:r>
      <w:hyperlink r:id="rId22">
        <w:r w:rsidDel="00000000" w:rsidR="00000000" w:rsidRPr="00000000">
          <w:rPr>
            <w:color w:val="1155cc"/>
            <w:sz w:val="22"/>
            <w:szCs w:val="22"/>
            <w:u w:val="single"/>
            <w:rtl w:val="0"/>
          </w:rPr>
          <w:t xml:space="preserve">https://david-d.ncifcrf.gov/</w:t>
        </w:r>
      </w:hyperlink>
      <w:r w:rsidDel="00000000" w:rsidR="00000000" w:rsidRPr="00000000">
        <w:rPr>
          <w:sz w:val="22"/>
          <w:szCs w:val="22"/>
          <w:rtl w:val="0"/>
        </w:rPr>
        <w:t xml:space="preserve">) using 48 </w:t>
      </w:r>
      <w:r w:rsidDel="00000000" w:rsidR="00000000" w:rsidRPr="00000000">
        <w:rPr>
          <w:i w:val="1"/>
          <w:sz w:val="22"/>
          <w:szCs w:val="22"/>
          <w:rtl w:val="0"/>
        </w:rPr>
        <w:t xml:space="preserve">Mtb</w:t>
      </w:r>
      <w:r w:rsidDel="00000000" w:rsidR="00000000" w:rsidRPr="00000000">
        <w:rPr>
          <w:sz w:val="22"/>
          <w:szCs w:val="22"/>
          <w:rtl w:val="0"/>
        </w:rPr>
        <w:t xml:space="preserve"> genes with nonsynonymous changes in g2g-L2 defining variants (</w:t>
      </w:r>
      <w:r w:rsidDel="00000000" w:rsidR="00000000" w:rsidRPr="00000000">
        <w:rPr>
          <w:b w:val="1"/>
          <w:sz w:val="22"/>
          <w:szCs w:val="22"/>
          <w:rtl w:val="0"/>
        </w:rPr>
        <w:t xml:space="preserve">Supplementary Table 2</w:t>
      </w:r>
      <w:r w:rsidDel="00000000" w:rsidR="00000000" w:rsidRPr="00000000">
        <w:rPr>
          <w:sz w:val="22"/>
          <w:szCs w:val="22"/>
          <w:rtl w:val="0"/>
        </w:rPr>
        <w:t xml:space="preserve">). </w:t>
      </w:r>
      <w:r w:rsidDel="00000000" w:rsidR="00000000" w:rsidRPr="00000000">
        <w:rPr>
          <w:b w:val="1"/>
          <w:sz w:val="22"/>
          <w:szCs w:val="22"/>
          <w:rtl w:val="0"/>
        </w:rPr>
        <w:t xml:space="preserve">a</w:t>
      </w:r>
      <w:r w:rsidDel="00000000" w:rsidR="00000000" w:rsidRPr="00000000">
        <w:rPr>
          <w:sz w:val="22"/>
          <w:szCs w:val="22"/>
          <w:rtl w:val="0"/>
        </w:rPr>
        <w:t xml:space="preserve"> shows g2g-L2 genes overlap with ATP binding pathways; and </w:t>
      </w:r>
      <w:r w:rsidDel="00000000" w:rsidR="00000000" w:rsidRPr="00000000">
        <w:rPr>
          <w:b w:val="1"/>
          <w:sz w:val="22"/>
          <w:szCs w:val="22"/>
          <w:rtl w:val="0"/>
        </w:rPr>
        <w:t xml:space="preserve">b</w:t>
      </w:r>
      <w:r w:rsidDel="00000000" w:rsidR="00000000" w:rsidRPr="00000000">
        <w:rPr>
          <w:sz w:val="22"/>
          <w:szCs w:val="22"/>
          <w:rtl w:val="0"/>
        </w:rPr>
        <w:t xml:space="preserve"> shows g2g-L2 genes overlap with redox-related pathways.</w:t>
      </w:r>
    </w:p>
    <w:p w:rsidR="00000000" w:rsidDel="00000000" w:rsidP="00000000" w:rsidRDefault="00000000" w:rsidRPr="00000000" w14:paraId="00000036">
      <w:pPr>
        <w:jc w:val="center"/>
        <w:rPr/>
      </w:pPr>
      <w:r w:rsidDel="00000000" w:rsidR="00000000" w:rsidRPr="00000000">
        <w:rPr>
          <w:rtl w:val="0"/>
        </w:rPr>
        <w:t xml:space="preserve">​​</w:t>
      </w:r>
      <w:r w:rsidDel="00000000" w:rsidR="00000000" w:rsidRPr="00000000">
        <w:rPr/>
        <w:drawing>
          <wp:inline distB="114300" distT="114300" distL="114300" distR="114300">
            <wp:extent cx="5223510" cy="6529388"/>
            <wp:effectExtent b="0" l="0" r="0" t="0"/>
            <wp:docPr id="30" name="image14.png"/>
            <a:graphic>
              <a:graphicData uri="http://schemas.openxmlformats.org/drawingml/2006/picture">
                <pic:pic>
                  <pic:nvPicPr>
                    <pic:cNvPr id="0" name="image14.png"/>
                    <pic:cNvPicPr preferRelativeResize="0"/>
                  </pic:nvPicPr>
                  <pic:blipFill>
                    <a:blip r:embed="rId23"/>
                    <a:srcRect b="0" l="0" r="0" t="0"/>
                    <a:stretch>
                      <a:fillRect/>
                    </a:stretch>
                  </pic:blipFill>
                  <pic:spPr>
                    <a:xfrm>
                      <a:off x="0" y="0"/>
                      <a:ext cx="5223510" cy="6529388"/>
                    </a:xfrm>
                    <a:prstGeom prst="rect"/>
                    <a:ln/>
                  </pic:spPr>
                </pic:pic>
              </a:graphicData>
            </a:graphic>
          </wp:inline>
        </w:drawing>
      </w:r>
      <w:r w:rsidDel="00000000" w:rsidR="00000000" w:rsidRPr="00000000">
        <w:rPr>
          <w:rtl w:val="0"/>
        </w:rPr>
      </w:r>
    </w:p>
    <w:sectPr>
      <w:headerReference r:id="rId24" w:type="default"/>
      <w:footerReference r:id="rId25" w:type="default"/>
      <w:footerReference r:id="rId26"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36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36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Luo, Huang, Liu et al. 2022 Supplementary Figures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Header">
    <w:name w:val="header"/>
    <w:basedOn w:val="Normal"/>
    <w:link w:val="HeaderChar"/>
    <w:uiPriority w:val="99"/>
    <w:unhideWhenUsed w:val="1"/>
    <w:rsid w:val="00AA73E2"/>
    <w:pPr>
      <w:tabs>
        <w:tab w:val="center" w:pos="4680"/>
        <w:tab w:val="right" w:pos="9360"/>
      </w:tabs>
      <w:spacing w:line="240" w:lineRule="auto"/>
    </w:pPr>
  </w:style>
  <w:style w:type="character" w:styleId="HeaderChar" w:customStyle="1">
    <w:name w:val="Header Char"/>
    <w:basedOn w:val="DefaultParagraphFont"/>
    <w:link w:val="Header"/>
    <w:uiPriority w:val="99"/>
    <w:rsid w:val="00AA73E2"/>
  </w:style>
  <w:style w:type="paragraph" w:styleId="Footer">
    <w:name w:val="footer"/>
    <w:basedOn w:val="Normal"/>
    <w:link w:val="FooterChar"/>
    <w:uiPriority w:val="99"/>
    <w:unhideWhenUsed w:val="1"/>
    <w:rsid w:val="00AA73E2"/>
    <w:pPr>
      <w:tabs>
        <w:tab w:val="center" w:pos="4680"/>
        <w:tab w:val="right" w:pos="9360"/>
      </w:tabs>
      <w:spacing w:line="240" w:lineRule="auto"/>
    </w:pPr>
  </w:style>
  <w:style w:type="character" w:styleId="FooterChar" w:customStyle="1">
    <w:name w:val="Footer Char"/>
    <w:basedOn w:val="DefaultParagraphFont"/>
    <w:link w:val="Footer"/>
    <w:uiPriority w:val="99"/>
    <w:rsid w:val="00AA73E2"/>
  </w:style>
  <w:style w:type="character" w:styleId="PageNumber">
    <w:name w:val="page number"/>
    <w:basedOn w:val="DefaultParagraphFont"/>
    <w:uiPriority w:val="99"/>
    <w:semiHidden w:val="1"/>
    <w:unhideWhenUsed w:val="1"/>
    <w:rsid w:val="00AA73E2"/>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22" Type="http://schemas.openxmlformats.org/officeDocument/2006/relationships/hyperlink" Target="https://david-d.ncifcrf.gov/" TargetMode="External"/><Relationship Id="rId21" Type="http://schemas.openxmlformats.org/officeDocument/2006/relationships/image" Target="media/image11.png"/><Relationship Id="rId24" Type="http://schemas.openxmlformats.org/officeDocument/2006/relationships/header" Target="header1.xml"/><Relationship Id="rId23" Type="http://schemas.openxmlformats.org/officeDocument/2006/relationships/image" Target="media/image1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texportal.org/" TargetMode="External"/><Relationship Id="rId26" Type="http://schemas.openxmlformats.org/officeDocument/2006/relationships/footer" Target="footer1.xml"/><Relationship Id="rId25"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10.png"/><Relationship Id="rId11" Type="http://schemas.openxmlformats.org/officeDocument/2006/relationships/image" Target="media/image8.png"/><Relationship Id="rId10" Type="http://schemas.openxmlformats.org/officeDocument/2006/relationships/image" Target="media/image7.png"/><Relationship Id="rId13" Type="http://schemas.openxmlformats.org/officeDocument/2006/relationships/image" Target="media/image2.png"/><Relationship Id="rId12" Type="http://schemas.openxmlformats.org/officeDocument/2006/relationships/image" Target="media/image5.png"/><Relationship Id="rId15" Type="http://schemas.openxmlformats.org/officeDocument/2006/relationships/image" Target="media/image15.png"/><Relationship Id="rId14" Type="http://schemas.openxmlformats.org/officeDocument/2006/relationships/image" Target="media/image13.png"/><Relationship Id="rId17" Type="http://schemas.openxmlformats.org/officeDocument/2006/relationships/image" Target="media/image9.png"/><Relationship Id="rId16" Type="http://schemas.openxmlformats.org/officeDocument/2006/relationships/image" Target="media/image6.png"/><Relationship Id="rId19" Type="http://schemas.openxmlformats.org/officeDocument/2006/relationships/image" Target="media/image4.png"/><Relationship Id="rId18" Type="http://schemas.openxmlformats.org/officeDocument/2006/relationships/image" Target="media/image12.png"/></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7MXEGFSYo3rW5M8hykdHWu2W2fw==">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2022-02-07T20:47:00Z</dcterms:created>
</cp:coreProperties>
</file>