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662D27" w14:textId="242877C2" w:rsidR="00F85068" w:rsidRDefault="00BF3398" w:rsidP="003E2E37">
      <w:pPr>
        <w:widowControl/>
        <w:spacing w:line="360" w:lineRule="auto"/>
        <w:ind w:firstLine="0"/>
        <w:rPr>
          <w:b/>
          <w:bCs/>
          <w:sz w:val="32"/>
          <w:lang w:eastAsia="zh-TW"/>
        </w:rPr>
      </w:pPr>
      <w:r w:rsidRPr="00BF3398">
        <w:rPr>
          <w:rFonts w:hint="eastAsia"/>
          <w:b/>
          <w:bCs/>
          <w:sz w:val="32"/>
          <w:lang w:eastAsia="zh-TW"/>
        </w:rPr>
        <w:t>S</w:t>
      </w:r>
      <w:r w:rsidRPr="00BF3398">
        <w:rPr>
          <w:b/>
          <w:bCs/>
          <w:sz w:val="32"/>
          <w:lang w:eastAsia="zh-TW"/>
        </w:rPr>
        <w:t>upplementary information</w:t>
      </w:r>
    </w:p>
    <w:p w14:paraId="16F25425" w14:textId="77777777" w:rsidR="00476087" w:rsidRPr="00D54596" w:rsidRDefault="00476087" w:rsidP="003E2E37">
      <w:pPr>
        <w:pStyle w:val="Paragraph"/>
        <w:spacing w:line="360" w:lineRule="auto"/>
        <w:ind w:firstLine="0"/>
        <w:rPr>
          <w:b/>
          <w:bCs/>
          <w:sz w:val="32"/>
          <w:lang w:val="en-GB"/>
        </w:rPr>
      </w:pPr>
      <w:r>
        <w:rPr>
          <w:b/>
          <w:bCs/>
          <w:sz w:val="32"/>
          <w:lang w:val="en-GB"/>
        </w:rPr>
        <w:t>Anticipating</w:t>
      </w:r>
      <w:r w:rsidRPr="001C2E02">
        <w:rPr>
          <w:b/>
          <w:bCs/>
          <w:sz w:val="32"/>
          <w:lang w:val="en-GB"/>
        </w:rPr>
        <w:t xml:space="preserve"> </w:t>
      </w:r>
      <w:r>
        <w:rPr>
          <w:b/>
          <w:bCs/>
          <w:sz w:val="32"/>
          <w:lang w:val="en-GB"/>
        </w:rPr>
        <w:t>the occurrence</w:t>
      </w:r>
      <w:r w:rsidRPr="001C2E02">
        <w:rPr>
          <w:b/>
          <w:bCs/>
          <w:sz w:val="32"/>
          <w:lang w:val="en-GB"/>
        </w:rPr>
        <w:t xml:space="preserve"> and type of critical transition</w:t>
      </w:r>
      <w:r>
        <w:rPr>
          <w:b/>
          <w:bCs/>
          <w:sz w:val="32"/>
          <w:lang w:val="en-GB"/>
        </w:rPr>
        <w:t>s</w:t>
      </w:r>
      <w:r w:rsidRPr="001C2E02">
        <w:rPr>
          <w:b/>
          <w:bCs/>
          <w:sz w:val="32"/>
          <w:lang w:val="en-GB"/>
        </w:rPr>
        <w:t xml:space="preserve"> </w:t>
      </w:r>
    </w:p>
    <w:p w14:paraId="0E33D7D2" w14:textId="77777777" w:rsidR="00FA2BEE" w:rsidRPr="00FA2BEE" w:rsidRDefault="00FA2BEE" w:rsidP="003E2E37">
      <w:pPr>
        <w:widowControl/>
        <w:spacing w:line="360" w:lineRule="auto"/>
        <w:ind w:firstLine="0"/>
      </w:pPr>
    </w:p>
    <w:p w14:paraId="5AE061BB" w14:textId="55E17224" w:rsidR="00FF5981" w:rsidRDefault="00FB1EEA" w:rsidP="003E2E37">
      <w:pPr>
        <w:widowControl/>
        <w:spacing w:line="360" w:lineRule="auto"/>
        <w:ind w:firstLine="0"/>
      </w:pPr>
      <w:r w:rsidRPr="001560B4">
        <w:t xml:space="preserve">Florian Grziwotz, Chun-Wei Chang, Vasilis Dakos, Egbert van Nes, </w:t>
      </w:r>
      <w:r w:rsidR="001F302B" w:rsidRPr="001560B4">
        <w:t xml:space="preserve">Markus Schwarzländer, Martin Hess, </w:t>
      </w:r>
      <w:r w:rsidRPr="001560B4">
        <w:t>Oliver Kamps, Isao Tokuda, Arndt Telschow, Chih</w:t>
      </w:r>
      <w:r>
        <w:t>-</w:t>
      </w:r>
      <w:r w:rsidRPr="001560B4">
        <w:t>hao Hsieh</w:t>
      </w:r>
      <w:r>
        <w:t xml:space="preserve"> </w:t>
      </w:r>
    </w:p>
    <w:p w14:paraId="634F052B" w14:textId="77777777" w:rsidR="00FF5981" w:rsidRDefault="00FF5981" w:rsidP="003E2E37">
      <w:pPr>
        <w:widowControl/>
        <w:spacing w:line="360" w:lineRule="auto"/>
        <w:ind w:firstLine="0"/>
        <w:rPr>
          <w:rFonts w:cs="Times New Roman"/>
          <w:smallCaps/>
        </w:rPr>
      </w:pPr>
    </w:p>
    <w:p w14:paraId="4C38FAE9" w14:textId="77777777" w:rsidR="00FF5981" w:rsidRPr="00D70F6A" w:rsidRDefault="00FF5981" w:rsidP="003E2E37">
      <w:pPr>
        <w:ind w:firstLine="0"/>
        <w:rPr>
          <w:b/>
        </w:rPr>
      </w:pPr>
      <w:r w:rsidRPr="00D70F6A">
        <w:rPr>
          <w:b/>
        </w:rPr>
        <w:t>This file includes:</w:t>
      </w:r>
    </w:p>
    <w:p w14:paraId="5741D7EB" w14:textId="106CBBB5" w:rsidR="00FF5981" w:rsidRDefault="00FF5981" w:rsidP="003E2E37">
      <w:r w:rsidRPr="00D70F6A">
        <w:t xml:space="preserve">Supplementary Information Text </w:t>
      </w:r>
    </w:p>
    <w:p w14:paraId="3669BBF0" w14:textId="47C036F7" w:rsidR="006F2EDE" w:rsidRDefault="006F2EDE" w:rsidP="003E2E37">
      <w:pPr>
        <w:ind w:firstLine="648"/>
        <w:rPr>
          <w:rFonts w:eastAsia="PMingLiU"/>
          <w:i/>
          <w:lang w:eastAsia="zh-TW"/>
        </w:rPr>
      </w:pPr>
      <w:r w:rsidRPr="006F2EDE">
        <w:rPr>
          <w:rFonts w:eastAsia="PMingLiU"/>
          <w:i/>
          <w:lang w:eastAsia="zh-TW"/>
        </w:rPr>
        <w:t>Additional analysis on the meta-population model using multivariate DEV</w:t>
      </w:r>
    </w:p>
    <w:p w14:paraId="34096DDC" w14:textId="0703D8E4" w:rsidR="00CD5D94" w:rsidRDefault="00160694" w:rsidP="003E2E37">
      <w:pPr>
        <w:spacing w:line="360" w:lineRule="auto"/>
        <w:ind w:firstLine="648"/>
        <w:rPr>
          <w:rFonts w:cs="Times New Roman"/>
          <w:i/>
          <w:lang w:eastAsia="zh-TW"/>
        </w:rPr>
      </w:pPr>
      <w:r w:rsidRPr="00160694">
        <w:rPr>
          <w:rFonts w:cs="Times New Roman"/>
          <w:i/>
          <w:lang w:eastAsia="zh-TW"/>
        </w:rPr>
        <w:t>Limitations of DEV method in analyzing atypical transitions</w:t>
      </w:r>
    </w:p>
    <w:p w14:paraId="55AAE11A" w14:textId="77777777" w:rsidR="00CD5D94" w:rsidRPr="00CD5D94" w:rsidRDefault="00CD5D94" w:rsidP="003E2E37">
      <w:pPr>
        <w:spacing w:line="360" w:lineRule="auto"/>
        <w:ind w:firstLine="648"/>
        <w:rPr>
          <w:rFonts w:cs="Times New Roman"/>
          <w:i/>
          <w:lang w:eastAsia="zh-TW"/>
        </w:rPr>
      </w:pPr>
    </w:p>
    <w:p w14:paraId="1405274E" w14:textId="46097E35" w:rsidR="00FF5981" w:rsidRPr="00D70F6A" w:rsidRDefault="00FF5981" w:rsidP="003E2E37">
      <w:r w:rsidRPr="00D70F6A">
        <w:t>Figures S1 to S1</w:t>
      </w:r>
      <w:r w:rsidR="00620FD3">
        <w:t>6</w:t>
      </w:r>
    </w:p>
    <w:p w14:paraId="24C19DB9" w14:textId="4B1863EA" w:rsidR="00FF5981" w:rsidRPr="00D70F6A" w:rsidRDefault="00FF5981" w:rsidP="003E2E37">
      <w:r w:rsidRPr="00D70F6A">
        <w:t>Tables S1 to S</w:t>
      </w:r>
      <w:r>
        <w:t>2</w:t>
      </w:r>
    </w:p>
    <w:p w14:paraId="6E298E6D" w14:textId="77777777" w:rsidR="00FF5981" w:rsidRPr="00D70F6A" w:rsidRDefault="00FF5981" w:rsidP="003E2E37">
      <w:pPr>
        <w:rPr>
          <w:b/>
        </w:rPr>
      </w:pPr>
      <w:r w:rsidRPr="00D70F6A">
        <w:t>SI References</w:t>
      </w:r>
    </w:p>
    <w:p w14:paraId="65A95BFC" w14:textId="38D1CA6A" w:rsidR="007F4EA1" w:rsidRDefault="007F4EA1" w:rsidP="003E2E37">
      <w:pPr>
        <w:widowControl/>
        <w:spacing w:line="360" w:lineRule="auto"/>
        <w:ind w:firstLine="0"/>
        <w:rPr>
          <w:rFonts w:cs="Times New Roman"/>
          <w:smallCaps/>
        </w:rPr>
      </w:pPr>
      <w:r>
        <w:rPr>
          <w:rFonts w:cs="Times New Roman"/>
          <w:smallCaps/>
        </w:rPr>
        <w:br w:type="page"/>
      </w:r>
    </w:p>
    <w:p w14:paraId="24E8BFF7" w14:textId="169CAA90" w:rsidR="00891AF2" w:rsidRPr="006F2EDE" w:rsidRDefault="006F2EDE" w:rsidP="003E2E37">
      <w:pPr>
        <w:widowControl/>
        <w:spacing w:line="240" w:lineRule="auto"/>
        <w:ind w:firstLine="0"/>
        <w:rPr>
          <w:b/>
        </w:rPr>
      </w:pPr>
      <w:r w:rsidRPr="006F2EDE">
        <w:rPr>
          <w:b/>
        </w:rPr>
        <w:lastRenderedPageBreak/>
        <w:t>Supplementary Information Text</w:t>
      </w:r>
    </w:p>
    <w:p w14:paraId="13482032" w14:textId="77777777" w:rsidR="006F2EDE" w:rsidRDefault="006F2EDE" w:rsidP="003E2E37">
      <w:pPr>
        <w:widowControl/>
        <w:spacing w:line="240" w:lineRule="auto"/>
        <w:ind w:firstLine="0"/>
        <w:rPr>
          <w:b/>
          <w:bCs/>
          <w:lang w:eastAsia="zh-TW"/>
        </w:rPr>
      </w:pPr>
    </w:p>
    <w:p w14:paraId="3B00D82C" w14:textId="7D420F9B" w:rsidR="00891AF2" w:rsidRPr="00891AF2" w:rsidRDefault="00891AF2" w:rsidP="003E2E37">
      <w:pPr>
        <w:pBdr>
          <w:top w:val="none" w:sz="0" w:space="0" w:color="auto"/>
          <w:left w:val="none" w:sz="0" w:space="0" w:color="auto"/>
          <w:bottom w:val="none" w:sz="0" w:space="0" w:color="auto"/>
          <w:right w:val="none" w:sz="0" w:space="0" w:color="auto"/>
          <w:between w:val="none" w:sz="0" w:space="0" w:color="auto"/>
          <w:bar w:val="none" w:sz="0" w:color="auto"/>
        </w:pBdr>
        <w:tabs>
          <w:tab w:val="left" w:pos="1276"/>
        </w:tabs>
        <w:spacing w:after="120" w:line="360" w:lineRule="auto"/>
        <w:ind w:firstLine="0"/>
        <w:rPr>
          <w:rFonts w:eastAsia="PMingLiU" w:cs="Times New Roman"/>
          <w:i/>
          <w:bdr w:val="none" w:sz="0" w:space="0" w:color="auto"/>
        </w:rPr>
      </w:pPr>
      <w:r w:rsidRPr="00891AF2">
        <w:rPr>
          <w:rFonts w:eastAsia="PMingLiU" w:cs="Times New Roman"/>
          <w:i/>
          <w:bdr w:val="none" w:sz="0" w:space="0" w:color="auto"/>
        </w:rPr>
        <w:t>Additional analysis on the</w:t>
      </w:r>
      <w:r w:rsidRPr="00891AF2">
        <w:rPr>
          <w:rFonts w:eastAsia="PMingLiU" w:cs="Times New Roman"/>
          <w:bdr w:val="none" w:sz="0" w:space="0" w:color="auto"/>
        </w:rPr>
        <w:t xml:space="preserve"> </w:t>
      </w:r>
      <w:r w:rsidRPr="00891AF2">
        <w:rPr>
          <w:rFonts w:eastAsia="PMingLiU" w:cs="Times New Roman"/>
          <w:i/>
          <w:iCs/>
          <w:bdr w:val="none" w:sz="0" w:space="0" w:color="auto"/>
        </w:rPr>
        <w:t>meta-population</w:t>
      </w:r>
      <w:r w:rsidRPr="00891AF2">
        <w:rPr>
          <w:rFonts w:eastAsia="PMingLiU" w:cs="Times New Roman"/>
          <w:bdr w:val="none" w:sz="0" w:space="0" w:color="auto"/>
        </w:rPr>
        <w:t xml:space="preserve"> </w:t>
      </w:r>
      <w:r w:rsidRPr="00891AF2">
        <w:rPr>
          <w:rFonts w:eastAsia="PMingLiU" w:cs="Times New Roman"/>
          <w:i/>
          <w:bdr w:val="none" w:sz="0" w:space="0" w:color="auto"/>
        </w:rPr>
        <w:t>model</w:t>
      </w:r>
      <w:r w:rsidR="006F2EDE">
        <w:rPr>
          <w:rFonts w:eastAsia="PMingLiU" w:cs="Times New Roman"/>
          <w:i/>
          <w:bdr w:val="none" w:sz="0" w:space="0" w:color="auto"/>
        </w:rPr>
        <w:t xml:space="preserve"> using multivariate DEV</w:t>
      </w:r>
    </w:p>
    <w:p w14:paraId="2A71F537" w14:textId="239E5AF1" w:rsidR="00891AF2" w:rsidRPr="00891AF2" w:rsidRDefault="00891AF2" w:rsidP="003E2E37">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eastAsia="PMingLiU" w:cs="Times New Roman"/>
          <w:bdr w:val="none" w:sz="0" w:space="0" w:color="auto"/>
        </w:rPr>
      </w:pPr>
      <w:r w:rsidRPr="00891AF2">
        <w:rPr>
          <w:rFonts w:eastAsia="PMingLiU" w:cs="Times New Roman"/>
          <w:bdr w:val="none" w:sz="0" w:space="0" w:color="auto"/>
        </w:rPr>
        <w:t xml:space="preserve">To evaluate the efficacy of DEV approach on </w:t>
      </w:r>
      <w:r w:rsidR="000C4066">
        <w:rPr>
          <w:rFonts w:eastAsia="PMingLiU" w:cs="Times New Roman"/>
          <w:bdr w:val="none" w:sz="0" w:space="0" w:color="auto"/>
        </w:rPr>
        <w:t xml:space="preserve">a </w:t>
      </w:r>
      <w:r w:rsidRPr="00891AF2">
        <w:rPr>
          <w:rFonts w:eastAsia="PMingLiU" w:cs="Times New Roman"/>
          <w:bdr w:val="none" w:sz="0" w:space="0" w:color="auto"/>
        </w:rPr>
        <w:t>complex model, we investigated a stochasticity-driven, patch dynamics model</w:t>
      </w:r>
      <w:r w:rsidR="003E2E37">
        <w:rPr>
          <w:rFonts w:eastAsia="PMingLiU" w:cs="Times New Roman"/>
          <w:bdr w:val="none" w:sz="0" w:space="0" w:color="auto"/>
        </w:rPr>
        <w:t xml:space="preserve"> that </w:t>
      </w:r>
      <w:r w:rsidRPr="00891AF2">
        <w:rPr>
          <w:rFonts w:eastAsia="PMingLiU" w:cs="Times New Roman"/>
          <w:bdr w:val="none" w:sz="0" w:space="0" w:color="auto"/>
        </w:rPr>
        <w:t xml:space="preserve">exhibited no early </w:t>
      </w:r>
      <w:r w:rsidR="00A605B1">
        <w:rPr>
          <w:rFonts w:eastAsia="PMingLiU" w:cs="Times New Roman"/>
          <w:bdr w:val="none" w:sz="0" w:space="0" w:color="auto"/>
        </w:rPr>
        <w:t>warning</w:t>
      </w:r>
      <w:r w:rsidR="00A605B1" w:rsidRPr="00891AF2">
        <w:rPr>
          <w:rFonts w:eastAsia="PMingLiU" w:cs="Times New Roman"/>
          <w:bdr w:val="none" w:sz="0" w:space="0" w:color="auto"/>
        </w:rPr>
        <w:t xml:space="preserve"> </w:t>
      </w:r>
      <w:r w:rsidRPr="00891AF2">
        <w:rPr>
          <w:rFonts w:eastAsia="PMingLiU" w:cs="Times New Roman"/>
          <w:bdr w:val="none" w:sz="0" w:space="0" w:color="auto"/>
        </w:rPr>
        <w:t>signal (quantified as variance) prior to critical transition</w:t>
      </w:r>
      <w:r w:rsidRPr="00891AF2">
        <w:rPr>
          <w:rFonts w:eastAsia="PMingLiU" w:cs="Times New Roman"/>
          <w:bdr w:val="none" w:sz="0" w:space="0" w:color="auto"/>
        </w:rPr>
        <w:fldChar w:fldCharType="begin"/>
      </w:r>
      <w:r>
        <w:rPr>
          <w:rFonts w:eastAsia="PMingLiU" w:cs="Times New Roman"/>
          <w:bdr w:val="none" w:sz="0" w:space="0" w:color="auto"/>
        </w:rPr>
        <w:instrText xml:space="preserve"> ADDIN EN.CITE &lt;EndNote&gt;&lt;Cite&gt;&lt;Author&gt;Hastings&lt;/Author&gt;&lt;Year&gt;2010&lt;/Year&gt;&lt;RecNum&gt;996&lt;/RecNum&gt;&lt;DisplayText&gt;&lt;style face="superscript"&gt;1&lt;/style&gt;&lt;/DisplayText&gt;&lt;record&gt;&lt;rec-number&gt;996&lt;/rec-number&gt;&lt;foreign-keys&gt;&lt;key app="EN" db-id="d2pzd5dayrt09lewpvbpefpx09vz5att9wda" timestamp="1581663469"&gt;996&lt;/key&gt;&lt;/foreign-keys&gt;&lt;ref-type name="Journal Article"&gt;17&lt;/ref-type&gt;&lt;contributors&gt;&lt;authors&gt;&lt;author&gt;Hastings, Alan&lt;/author&gt;&lt;author&gt;Wysham, Derin B.&lt;/author&gt;&lt;/authors&gt;&lt;/contributors&gt;&lt;titles&gt;&lt;title&gt;Regime shifts in ecological systems can occur with no warning&lt;/title&gt;&lt;secondary-title&gt;Ecology Letters&lt;/secondary-title&gt;&lt;/titles&gt;&lt;pages&gt;464-472&lt;/pages&gt;&lt;volume&gt;13&lt;/volume&gt;&lt;number&gt;4&lt;/number&gt;&lt;dates&gt;&lt;year&gt;2010&lt;/year&gt;&lt;/dates&gt;&lt;isbn&gt;1461-023X&lt;/isbn&gt;&lt;urls&gt;&lt;related-urls&gt;&lt;url&gt;https://onlinelibrary.wiley.com/doi/abs/10.1111/j.1461-0248.2010.01439.x&lt;/url&gt;&lt;/related-urls&gt;&lt;/urls&gt;&lt;electronic-resource-num&gt;10.1111/j.1461-0248.2010.01439.x&lt;/electronic-resource-num&gt;&lt;/record&gt;&lt;/Cite&gt;&lt;/EndNote&gt;</w:instrText>
      </w:r>
      <w:r w:rsidRPr="00891AF2">
        <w:rPr>
          <w:rFonts w:eastAsia="PMingLiU" w:cs="Times New Roman"/>
          <w:bdr w:val="none" w:sz="0" w:space="0" w:color="auto"/>
        </w:rPr>
        <w:fldChar w:fldCharType="separate"/>
      </w:r>
      <w:r w:rsidRPr="00891AF2">
        <w:rPr>
          <w:rFonts w:eastAsia="PMingLiU" w:cs="Times New Roman"/>
          <w:noProof/>
          <w:bdr w:val="none" w:sz="0" w:space="0" w:color="auto"/>
          <w:vertAlign w:val="superscript"/>
        </w:rPr>
        <w:t>1</w:t>
      </w:r>
      <w:r w:rsidRPr="00891AF2">
        <w:rPr>
          <w:rFonts w:eastAsia="PMingLiU" w:cs="Times New Roman"/>
          <w:bdr w:val="none" w:sz="0" w:space="0" w:color="auto"/>
        </w:rPr>
        <w:fldChar w:fldCharType="end"/>
      </w:r>
      <w:r w:rsidRPr="00891AF2">
        <w:rPr>
          <w:rFonts w:eastAsia="PMingLiU" w:cs="Times New Roman"/>
          <w:bdr w:val="none" w:sz="0" w:space="0" w:color="auto"/>
        </w:rPr>
        <w:t>. The meta-population model was implemented based on a set of difference equations</w:t>
      </w:r>
      <w:r w:rsidR="000C4066">
        <w:rPr>
          <w:rFonts w:eastAsia="PMingLiU" w:cs="Times New Roman"/>
          <w:bdr w:val="none" w:sz="0" w:space="0" w:color="auto"/>
        </w:rPr>
        <w:t>,</w:t>
      </w:r>
      <w:r w:rsidRPr="00891AF2">
        <w:rPr>
          <w:rFonts w:eastAsia="PMingLiU" w:cs="Times New Roman"/>
          <w:bdr w:val="none" w:sz="0" w:space="0" w:color="auto"/>
        </w:rPr>
        <w:t xml:space="preserve"> modeling the dispersal among eight connected local patches. Each difference equation </w:t>
      </w:r>
      <w:r w:rsidR="003E2E37" w:rsidRPr="00891AF2">
        <w:rPr>
          <w:rFonts w:eastAsia="PMingLiU" w:cs="Times New Roman"/>
          <w:bdr w:val="none" w:sz="0" w:space="0" w:color="auto"/>
        </w:rPr>
        <w:t>consist</w:t>
      </w:r>
      <w:r w:rsidR="003E2E37">
        <w:rPr>
          <w:rFonts w:eastAsia="PMingLiU" w:cs="Times New Roman"/>
          <w:bdr w:val="none" w:sz="0" w:space="0" w:color="auto"/>
        </w:rPr>
        <w:t>ed</w:t>
      </w:r>
      <w:r w:rsidR="003E2E37" w:rsidRPr="00891AF2">
        <w:rPr>
          <w:rFonts w:eastAsia="PMingLiU" w:cs="Times New Roman"/>
          <w:bdr w:val="none" w:sz="0" w:space="0" w:color="auto"/>
        </w:rPr>
        <w:t xml:space="preserve"> </w:t>
      </w:r>
      <w:r w:rsidRPr="00891AF2">
        <w:rPr>
          <w:rFonts w:eastAsia="PMingLiU" w:cs="Times New Roman"/>
          <w:bdr w:val="none" w:sz="0" w:space="0" w:color="auto"/>
        </w:rPr>
        <w:t xml:space="preserve">of two parts. The first part </w:t>
      </w:r>
      <w:r w:rsidR="003E2E37" w:rsidRPr="00891AF2">
        <w:rPr>
          <w:rFonts w:eastAsia="PMingLiU" w:cs="Times New Roman"/>
          <w:bdr w:val="none" w:sz="0" w:space="0" w:color="auto"/>
        </w:rPr>
        <w:t>model</w:t>
      </w:r>
      <w:r w:rsidR="003E2E37">
        <w:rPr>
          <w:rFonts w:eastAsia="PMingLiU" w:cs="Times New Roman"/>
          <w:bdr w:val="none" w:sz="0" w:space="0" w:color="auto"/>
        </w:rPr>
        <w:t>led</w:t>
      </w:r>
      <w:r w:rsidR="003E2E37" w:rsidRPr="00891AF2">
        <w:rPr>
          <w:rFonts w:eastAsia="PMingLiU" w:cs="Times New Roman"/>
          <w:bdr w:val="none" w:sz="0" w:space="0" w:color="auto"/>
        </w:rPr>
        <w:t xml:space="preserve"> </w:t>
      </w:r>
      <w:r w:rsidRPr="00891AF2">
        <w:rPr>
          <w:rFonts w:eastAsia="PMingLiU" w:cs="Times New Roman"/>
          <w:bdr w:val="none" w:sz="0" w:space="0" w:color="auto"/>
        </w:rPr>
        <w:t xml:space="preserve">the population growth, </w:t>
      </w:r>
      <w:r w:rsidR="007020FB" w:rsidRPr="007020FB">
        <w:rPr>
          <w:rFonts w:eastAsia="PMingLiU" w:cs="Times New Roman"/>
          <w:noProof/>
          <w:position w:val="-14"/>
          <w:bdr w:val="none" w:sz="0" w:space="0" w:color="auto"/>
        </w:rPr>
        <w:object w:dxaOrig="2148" w:dyaOrig="420" w14:anchorId="3AA9D5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 style="width:106.45pt;height:20.35pt;mso-width-percent:0;mso-height-percent:0;mso-width-percent:0;mso-height-percent:0" o:ole="">
            <v:imagedata r:id="rId8" o:title=""/>
          </v:shape>
          <o:OLEObject Type="Embed" ProgID="Equation.DSMT4" ShapeID="_x0000_i1027" DrawAspect="Content" ObjectID="_1707360708" r:id="rId9"/>
        </w:object>
      </w:r>
      <w:r w:rsidRPr="00891AF2">
        <w:rPr>
          <w:rFonts w:eastAsia="PMingLiU" w:cs="Times New Roman"/>
          <w:noProof/>
          <w:bdr w:val="none" w:sz="0" w:space="0" w:color="auto"/>
        </w:rPr>
        <w:t>, wherein</w:t>
      </w:r>
      <w:r w:rsidRPr="00891AF2">
        <w:rPr>
          <w:rFonts w:eastAsia="PMingLiU" w:cs="Times New Roman"/>
          <w:bdr w:val="none" w:sz="0" w:space="0" w:color="auto"/>
        </w:rPr>
        <w:t xml:space="preserve"> the growth rate </w:t>
      </w:r>
      <m:oMath>
        <m:r>
          <w:rPr>
            <w:rFonts w:ascii="Cambria Math" w:eastAsia="PMingLiU" w:hAnsi="Cambria Math" w:cs="Times New Roman"/>
            <w:bdr w:val="none" w:sz="0" w:space="0" w:color="auto"/>
          </w:rPr>
          <m:t>a</m:t>
        </m:r>
      </m:oMath>
      <w:r w:rsidRPr="00891AF2">
        <w:rPr>
          <w:rFonts w:eastAsia="PMingLiU" w:cs="Times New Roman"/>
          <w:bdr w:val="none" w:sz="0" w:space="0" w:color="auto"/>
        </w:rPr>
        <w:t xml:space="preserve"> </w:t>
      </w:r>
      <w:r w:rsidR="003E2E37">
        <w:rPr>
          <w:rFonts w:eastAsia="PMingLiU" w:cs="Times New Roman"/>
          <w:bdr w:val="none" w:sz="0" w:space="0" w:color="auto"/>
        </w:rPr>
        <w:t>wa</w:t>
      </w:r>
      <w:r w:rsidR="003E2E37" w:rsidRPr="00891AF2">
        <w:rPr>
          <w:rFonts w:eastAsia="PMingLiU" w:cs="Times New Roman"/>
          <w:bdr w:val="none" w:sz="0" w:space="0" w:color="auto"/>
        </w:rPr>
        <w:t xml:space="preserve">s </w:t>
      </w:r>
      <w:r w:rsidRPr="00891AF2">
        <w:rPr>
          <w:rFonts w:eastAsia="PMingLiU" w:cs="Times New Roman"/>
          <w:bdr w:val="none" w:sz="0" w:space="0" w:color="auto"/>
        </w:rPr>
        <w:t xml:space="preserve">a bifurcation parameter that gradually </w:t>
      </w:r>
      <w:r w:rsidR="003E2E37" w:rsidRPr="00891AF2">
        <w:rPr>
          <w:rFonts w:eastAsia="PMingLiU" w:cs="Times New Roman"/>
          <w:bdr w:val="none" w:sz="0" w:space="0" w:color="auto"/>
        </w:rPr>
        <w:t>increase</w:t>
      </w:r>
      <w:r w:rsidR="003E2E37">
        <w:rPr>
          <w:rFonts w:eastAsia="PMingLiU" w:cs="Times New Roman"/>
          <w:bdr w:val="none" w:sz="0" w:space="0" w:color="auto"/>
        </w:rPr>
        <w:t>d</w:t>
      </w:r>
      <w:r w:rsidR="003E2E37" w:rsidRPr="00891AF2">
        <w:rPr>
          <w:rFonts w:eastAsia="PMingLiU" w:cs="Times New Roman"/>
          <w:bdr w:val="none" w:sz="0" w:space="0" w:color="auto"/>
        </w:rPr>
        <w:t xml:space="preserve"> </w:t>
      </w:r>
      <w:r w:rsidRPr="00891AF2">
        <w:rPr>
          <w:rFonts w:eastAsia="PMingLiU" w:cs="Times New Roman"/>
          <w:bdr w:val="none" w:sz="0" w:space="0" w:color="auto"/>
        </w:rPr>
        <w:t xml:space="preserve">through time. In addition, </w:t>
      </w:r>
      <w:r w:rsidR="00277194">
        <w:rPr>
          <w:rFonts w:eastAsia="PMingLiU" w:cs="Times New Roman"/>
          <w:bdr w:val="none" w:sz="0" w:space="0" w:color="auto"/>
        </w:rPr>
        <w:t>a</w:t>
      </w:r>
      <w:r w:rsidR="00277194" w:rsidRPr="00891AF2">
        <w:rPr>
          <w:rFonts w:eastAsia="PMingLiU" w:cs="Times New Roman"/>
          <w:bdr w:val="none" w:sz="0" w:space="0" w:color="auto"/>
        </w:rPr>
        <w:t xml:space="preserve"> </w:t>
      </w:r>
      <w:r w:rsidRPr="00891AF2">
        <w:rPr>
          <w:rFonts w:eastAsia="PMingLiU" w:cs="Times New Roman"/>
          <w:bdr w:val="none" w:sz="0" w:space="0" w:color="auto"/>
        </w:rPr>
        <w:t xml:space="preserve">process error </w:t>
      </w:r>
      <w:r w:rsidR="00277194">
        <w:rPr>
          <w:rFonts w:eastAsia="PMingLiU" w:cs="Times New Roman"/>
          <w:bdr w:val="none" w:sz="0" w:space="0" w:color="auto"/>
        </w:rPr>
        <w:t>(</w:t>
      </w:r>
      <w:r w:rsidRPr="00891AF2">
        <w:rPr>
          <w:rFonts w:eastAsia="PMingLiU" w:cs="Times New Roman"/>
          <w:i/>
          <w:bdr w:val="none" w:sz="0" w:space="0" w:color="auto"/>
        </w:rPr>
        <w:t>z</w:t>
      </w:r>
      <w:r w:rsidRPr="00891AF2">
        <w:rPr>
          <w:rFonts w:eastAsia="PMingLiU" w:cs="Times New Roman"/>
          <w:i/>
          <w:bdr w:val="none" w:sz="0" w:space="0" w:color="auto"/>
          <w:vertAlign w:val="subscript"/>
        </w:rPr>
        <w:t>t</w:t>
      </w:r>
      <w:r w:rsidR="00277194">
        <w:rPr>
          <w:rFonts w:eastAsia="PMingLiU" w:cs="Times New Roman"/>
          <w:bdr w:val="none" w:sz="0" w:space="0" w:color="auto"/>
        </w:rPr>
        <w:t xml:space="preserve">) </w:t>
      </w:r>
      <w:r w:rsidRPr="00891AF2">
        <w:rPr>
          <w:rFonts w:eastAsia="PMingLiU" w:cs="Times New Roman"/>
          <w:bdr w:val="none" w:sz="0" w:space="0" w:color="auto"/>
        </w:rPr>
        <w:t xml:space="preserve">was added at each time step using white noise sampled from a uniform distribution between (-0.001, 0.001). The second part </w:t>
      </w:r>
      <w:r w:rsidR="003E2E37" w:rsidRPr="00891AF2">
        <w:rPr>
          <w:rFonts w:eastAsia="PMingLiU" w:cs="Times New Roman"/>
          <w:bdr w:val="none" w:sz="0" w:space="0" w:color="auto"/>
        </w:rPr>
        <w:t>depict</w:t>
      </w:r>
      <w:r w:rsidR="003E2E37">
        <w:rPr>
          <w:rFonts w:eastAsia="PMingLiU" w:cs="Times New Roman"/>
          <w:bdr w:val="none" w:sz="0" w:space="0" w:color="auto"/>
        </w:rPr>
        <w:t>ed</w:t>
      </w:r>
      <w:r w:rsidR="003E2E37" w:rsidRPr="00891AF2">
        <w:rPr>
          <w:rFonts w:eastAsia="PMingLiU" w:cs="Times New Roman"/>
          <w:bdr w:val="none" w:sz="0" w:space="0" w:color="auto"/>
        </w:rPr>
        <w:t xml:space="preserve"> </w:t>
      </w:r>
      <w:r w:rsidRPr="00891AF2">
        <w:rPr>
          <w:rFonts w:eastAsia="PMingLiU" w:cs="Times New Roman"/>
          <w:bdr w:val="none" w:sz="0" w:space="0" w:color="auto"/>
        </w:rPr>
        <w:t xml:space="preserve">the dispersal among eight patches after population growth, </w:t>
      </w:r>
      <w:r w:rsidR="007020FB" w:rsidRPr="007020FB">
        <w:rPr>
          <w:rFonts w:eastAsia="PMingLiU" w:cs="Times New Roman"/>
          <w:noProof/>
          <w:position w:val="-14"/>
          <w:bdr w:val="none" w:sz="0" w:space="0" w:color="auto"/>
        </w:rPr>
        <w:object w:dxaOrig="2028" w:dyaOrig="420" w14:anchorId="20744BB7">
          <v:shape id="_x0000_i1026" type="#_x0000_t75" alt="" style="width:101.75pt;height:20.35pt;mso-width-percent:0;mso-height-percent:0;mso-width-percent:0;mso-height-percent:0" o:ole="">
            <v:imagedata r:id="rId10" o:title=""/>
          </v:shape>
          <o:OLEObject Type="Embed" ProgID="Equation.DSMT4" ShapeID="_x0000_i1026" DrawAspect="Content" ObjectID="_1707360709" r:id="rId11"/>
        </w:object>
      </w:r>
      <w:r w:rsidRPr="00891AF2">
        <w:rPr>
          <w:rFonts w:eastAsia="PMingLiU" w:cs="Times New Roman"/>
          <w:bdr w:val="none" w:sz="0" w:space="0" w:color="auto"/>
        </w:rPr>
        <w:t xml:space="preserve">, in which the dispersal rates </w:t>
      </w:r>
      <w:r w:rsidRPr="00891AF2">
        <w:rPr>
          <w:rFonts w:eastAsia="PMingLiU" w:cs="Times New Roman"/>
          <w:i/>
          <w:bdr w:val="none" w:sz="0" w:space="0" w:color="auto"/>
        </w:rPr>
        <w:t>α</w:t>
      </w:r>
      <w:r w:rsidRPr="00891AF2">
        <w:rPr>
          <w:rFonts w:eastAsia="PMingLiU" w:cs="Times New Roman"/>
          <w:i/>
          <w:bdr w:val="none" w:sz="0" w:space="0" w:color="auto"/>
          <w:vertAlign w:val="subscript"/>
        </w:rPr>
        <w:t>ij</w:t>
      </w:r>
      <w:r w:rsidRPr="00891AF2">
        <w:rPr>
          <w:rFonts w:eastAsia="PMingLiU" w:cs="Times New Roman"/>
          <w:bdr w:val="none" w:sz="0" w:space="0" w:color="auto"/>
        </w:rPr>
        <w:t xml:space="preserve"> </w:t>
      </w:r>
      <w:r w:rsidR="003E2E37">
        <w:rPr>
          <w:rFonts w:eastAsia="PMingLiU" w:cs="Times New Roman"/>
          <w:bdr w:val="none" w:sz="0" w:space="0" w:color="auto"/>
        </w:rPr>
        <w:t>we</w:t>
      </w:r>
      <w:r w:rsidR="003E2E37" w:rsidRPr="00891AF2">
        <w:rPr>
          <w:rFonts w:eastAsia="PMingLiU" w:cs="Times New Roman"/>
          <w:bdr w:val="none" w:sz="0" w:space="0" w:color="auto"/>
        </w:rPr>
        <w:t xml:space="preserve">re </w:t>
      </w:r>
      <w:r w:rsidRPr="00891AF2">
        <w:rPr>
          <w:rFonts w:eastAsia="PMingLiU" w:cs="Times New Roman"/>
          <w:bdr w:val="none" w:sz="0" w:space="0" w:color="auto"/>
        </w:rPr>
        <w:t xml:space="preserve">uniformly distributed between (0.02, 0.03) when </w:t>
      </w:r>
      <w:r w:rsidRPr="00891AF2">
        <w:rPr>
          <w:rFonts w:eastAsia="PMingLiU" w:cs="Times New Roman"/>
          <w:i/>
          <w:bdr w:val="none" w:sz="0" w:space="0" w:color="auto"/>
        </w:rPr>
        <w:t>z</w:t>
      </w:r>
      <w:r w:rsidRPr="00891AF2">
        <w:rPr>
          <w:rFonts w:eastAsia="PMingLiU" w:cs="Times New Roman"/>
          <w:i/>
          <w:bdr w:val="none" w:sz="0" w:space="0" w:color="auto"/>
          <w:vertAlign w:val="subscript"/>
        </w:rPr>
        <w:t>t</w:t>
      </w:r>
      <w:r w:rsidRPr="00891AF2">
        <w:rPr>
          <w:rFonts w:eastAsia="PMingLiU" w:cs="Times New Roman"/>
          <w:bdr w:val="none" w:sz="0" w:space="0" w:color="auto"/>
        </w:rPr>
        <w:t xml:space="preserve">&gt;0, and distributed in (0.01, 0.02) when </w:t>
      </w:r>
      <w:r w:rsidRPr="00891AF2">
        <w:rPr>
          <w:rFonts w:eastAsia="PMingLiU" w:cs="Times New Roman"/>
          <w:i/>
          <w:bdr w:val="none" w:sz="0" w:space="0" w:color="auto"/>
        </w:rPr>
        <w:t>z</w:t>
      </w:r>
      <w:r w:rsidRPr="00891AF2">
        <w:rPr>
          <w:rFonts w:eastAsia="PMingLiU" w:cs="Times New Roman"/>
          <w:i/>
          <w:bdr w:val="none" w:sz="0" w:space="0" w:color="auto"/>
          <w:vertAlign w:val="subscript"/>
        </w:rPr>
        <w:t>t</w:t>
      </w:r>
      <w:r w:rsidRPr="00891AF2">
        <w:rPr>
          <w:rFonts w:eastAsia="PMingLiU" w:cs="Times New Roman"/>
          <w:bdr w:val="none" w:sz="0" w:space="0" w:color="auto"/>
        </w:rPr>
        <w:t xml:space="preserve">&lt;0. Based on this model, we generated </w:t>
      </w:r>
      <w:r w:rsidR="00277194">
        <w:rPr>
          <w:rFonts w:eastAsia="PMingLiU" w:cs="Times New Roman"/>
          <w:bdr w:val="none" w:sz="0" w:space="0" w:color="auto"/>
        </w:rPr>
        <w:t xml:space="preserve">a </w:t>
      </w:r>
      <w:r w:rsidRPr="00891AF2">
        <w:rPr>
          <w:rFonts w:eastAsia="PMingLiU" w:cs="Times New Roman"/>
          <w:bdr w:val="none" w:sz="0" w:space="0" w:color="auto"/>
        </w:rPr>
        <w:t>time series for each patch.</w:t>
      </w:r>
    </w:p>
    <w:p w14:paraId="70D901AA" w14:textId="595103E5" w:rsidR="00891AF2" w:rsidRPr="00891AF2" w:rsidRDefault="00891AF2" w:rsidP="003E2E37">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eastAsia="PMingLiU" w:cs="Times New Roman"/>
          <w:bdr w:val="none" w:sz="0" w:space="0" w:color="auto"/>
        </w:rPr>
      </w:pPr>
      <w:r w:rsidRPr="00891AF2">
        <w:rPr>
          <w:rFonts w:eastAsia="PMingLiU" w:cs="Times New Roman"/>
          <w:bdr w:val="none" w:sz="0" w:space="0" w:color="auto"/>
        </w:rPr>
        <w:t xml:space="preserve">We applied our DEV method to forecast the critical transition of local populations. First, we used univariate approach for each patch time series (as explained in the section of DEV </w:t>
      </w:r>
      <w:r w:rsidR="00A11C21">
        <w:rPr>
          <w:rFonts w:eastAsia="PMingLiU" w:cs="Times New Roman"/>
          <w:bdr w:val="none" w:sz="0" w:space="0" w:color="auto"/>
        </w:rPr>
        <w:t>a</w:t>
      </w:r>
      <w:r w:rsidRPr="00891AF2">
        <w:rPr>
          <w:rFonts w:eastAsia="PMingLiU" w:cs="Times New Roman"/>
          <w:bdr w:val="none" w:sz="0" w:space="0" w:color="auto"/>
        </w:rPr>
        <w:t>nalysis). Then, we also used multivariate approach</w:t>
      </w:r>
      <w:r w:rsidRPr="00891AF2">
        <w:rPr>
          <w:rFonts w:eastAsia="PMingLiU" w:cs="Times New Roman"/>
          <w:bdr w:val="none" w:sz="0" w:space="0" w:color="auto"/>
        </w:rPr>
        <w:fldChar w:fldCharType="begin"/>
      </w:r>
      <w:r>
        <w:rPr>
          <w:rFonts w:eastAsia="PMingLiU" w:cs="Times New Roman"/>
          <w:bdr w:val="none" w:sz="0" w:space="0" w:color="auto"/>
        </w:rPr>
        <w:instrText xml:space="preserve"> ADDIN EN.CITE &lt;EndNote&gt;&lt;Cite&gt;&lt;Author&gt;Deyle&lt;/Author&gt;&lt;Year&gt;2016&lt;/Year&gt;&lt;RecNum&gt;9453&lt;/RecNum&gt;&lt;DisplayText&gt;&lt;style face="superscript"&gt;2&lt;/style&gt;&lt;/DisplayText&gt;&lt;record&gt;&lt;rec-number&gt;9453&lt;/rec-number&gt;&lt;foreign-keys&gt;&lt;key app="EN" db-id="9vxrfz59r9sztmepvf6va0v2d9wtpzrd9x2f" timestamp="1452759891"&gt;9453&lt;/key&gt;&lt;/foreign-keys&gt;&lt;ref-type name="Journal Article"&gt;17&lt;/ref-type&gt;&lt;contributors&gt;&lt;authors&gt;&lt;author&gt;Deyle, Ethan R.&lt;/author&gt;&lt;author&gt;May, Robert M.&lt;/author&gt;&lt;author&gt;Munch, Stephan B.&lt;/author&gt;&lt;author&gt;Sugihara, George&lt;/author&gt;&lt;/authors&gt;&lt;/contributors&gt;&lt;titles&gt;&lt;title&gt;Tracking and forecasting ecosystem interactions in real time&lt;/title&gt;&lt;secondary-title&gt;Proceedings of the Royal Society of London B: Biological Sciences&lt;/secondary-title&gt;&lt;/titles&gt;&lt;periodical&gt;&lt;full-title&gt;Proceedings of the Royal Society of London B: Biological Sciences&lt;/full-title&gt;&lt;abbr-1&gt;Proc. R. Soc. Lond. B. Biol. Sci.&lt;/abbr-1&gt;&lt;/periodical&gt;&lt;pages&gt;20152258&lt;/pages&gt;&lt;volume&gt;283&lt;/volume&gt;&lt;number&gt;1822&lt;/number&gt;&lt;dates&gt;&lt;year&gt;2016&lt;/year&gt;&lt;/dates&gt;&lt;work-type&gt;10.1098/rspb.2015.2258&lt;/work-type&gt;&lt;urls&gt;&lt;related-urls&gt;&lt;url&gt;http://rspb.royalsocietypublishing.org/content/283/1822/20152258.abstract&lt;/url&gt;&lt;/related-urls&gt;&lt;/urls&gt;&lt;/record&gt;&lt;/Cite&gt;&lt;/EndNote&gt;</w:instrText>
      </w:r>
      <w:r w:rsidRPr="00891AF2">
        <w:rPr>
          <w:rFonts w:eastAsia="PMingLiU" w:cs="Times New Roman"/>
          <w:bdr w:val="none" w:sz="0" w:space="0" w:color="auto"/>
        </w:rPr>
        <w:fldChar w:fldCharType="separate"/>
      </w:r>
      <w:r w:rsidRPr="00891AF2">
        <w:rPr>
          <w:rFonts w:eastAsia="PMingLiU" w:cs="Times New Roman"/>
          <w:noProof/>
          <w:bdr w:val="none" w:sz="0" w:space="0" w:color="auto"/>
          <w:vertAlign w:val="superscript"/>
        </w:rPr>
        <w:t>2</w:t>
      </w:r>
      <w:r w:rsidRPr="00891AF2">
        <w:rPr>
          <w:rFonts w:eastAsia="PMingLiU" w:cs="Times New Roman"/>
          <w:bdr w:val="none" w:sz="0" w:space="0" w:color="auto"/>
        </w:rPr>
        <w:fldChar w:fldCharType="end"/>
      </w:r>
      <w:r w:rsidRPr="00891AF2">
        <w:rPr>
          <w:rFonts w:eastAsia="PMingLiU" w:cs="Times New Roman"/>
          <w:bdr w:val="none" w:sz="0" w:space="0" w:color="auto"/>
        </w:rPr>
        <w:t xml:space="preserve"> to combine information from the eight patches. That is, instead of taking lags to reconstruct the attractor, we used the time series of all patches to parameterize the Jacobian:</w:t>
      </w:r>
    </w:p>
    <w:p w14:paraId="5021C9EC" w14:textId="77777777" w:rsidR="00891AF2" w:rsidRPr="00891AF2" w:rsidRDefault="007020FB" w:rsidP="003E2E37">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eastAsia="PMingLiU" w:cs="Times New Roman"/>
          <w:bdr w:val="none" w:sz="0" w:space="0" w:color="auto"/>
        </w:rPr>
      </w:pPr>
      <w:r w:rsidRPr="007020FB">
        <w:rPr>
          <w:rFonts w:eastAsia="PMingLiU" w:cs="Times New Roman"/>
          <w:noProof/>
          <w:position w:val="-70"/>
          <w:bdr w:val="none" w:sz="0" w:space="0" w:color="auto"/>
        </w:rPr>
        <w:object w:dxaOrig="4704" w:dyaOrig="1536" w14:anchorId="28896BFF">
          <v:shape id="_x0000_i1025" type="#_x0000_t75" alt="" style="width:235.3pt;height:77.2pt;mso-width-percent:0;mso-height-percent:0;mso-width-percent:0;mso-height-percent:0" o:ole="">
            <v:imagedata r:id="rId12" o:title=""/>
          </v:shape>
          <o:OLEObject Type="Embed" ProgID="Equation.DSMT4" ShapeID="_x0000_i1025" DrawAspect="Content" ObjectID="_1707360710" r:id="rId13"/>
        </w:object>
      </w:r>
    </w:p>
    <w:p w14:paraId="3B4C439E" w14:textId="359D8110" w:rsidR="00891AF2" w:rsidRDefault="00891AF2" w:rsidP="003E2E37">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eastAsia="PMingLiU" w:cs="Times New Roman"/>
          <w:bdr w:val="none" w:sz="0" w:space="0" w:color="auto"/>
        </w:rPr>
      </w:pPr>
      <w:r w:rsidRPr="00891AF2">
        <w:rPr>
          <w:rFonts w:eastAsia="PMingLiU" w:cs="Times New Roman"/>
          <w:bdr w:val="none" w:sz="0" w:space="0" w:color="auto"/>
        </w:rPr>
        <w:t xml:space="preserve">Here, the </w:t>
      </w:r>
      <w:r w:rsidRPr="00891AF2">
        <w:rPr>
          <w:rFonts w:eastAsia="PMingLiU" w:cs="Times New Roman"/>
          <w:i/>
          <w:bdr w:val="none" w:sz="0" w:space="0" w:color="auto"/>
        </w:rPr>
        <w:t>i</w:t>
      </w:r>
      <w:r w:rsidRPr="00891AF2">
        <w:rPr>
          <w:rFonts w:eastAsia="PMingLiU" w:cs="Times New Roman"/>
          <w:bdr w:val="none" w:sz="0" w:space="0" w:color="auto"/>
        </w:rPr>
        <w:t xml:space="preserve">-th column of the Jacobian </w:t>
      </w:r>
      <w:r w:rsidR="003E2E37" w:rsidRPr="00891AF2">
        <w:rPr>
          <w:rFonts w:eastAsia="PMingLiU" w:cs="Times New Roman"/>
          <w:bdr w:val="none" w:sz="0" w:space="0" w:color="auto"/>
        </w:rPr>
        <w:t>consist</w:t>
      </w:r>
      <w:r w:rsidR="003E2E37">
        <w:rPr>
          <w:rFonts w:eastAsia="PMingLiU" w:cs="Times New Roman"/>
          <w:bdr w:val="none" w:sz="0" w:space="0" w:color="auto"/>
        </w:rPr>
        <w:t>ed</w:t>
      </w:r>
      <w:r w:rsidR="003E2E37" w:rsidRPr="00891AF2">
        <w:rPr>
          <w:rFonts w:eastAsia="PMingLiU" w:cs="Times New Roman"/>
          <w:bdr w:val="none" w:sz="0" w:space="0" w:color="auto"/>
        </w:rPr>
        <w:t xml:space="preserve"> </w:t>
      </w:r>
      <w:r w:rsidRPr="00891AF2">
        <w:rPr>
          <w:rFonts w:eastAsia="PMingLiU" w:cs="Times New Roman"/>
          <w:bdr w:val="none" w:sz="0" w:space="0" w:color="auto"/>
        </w:rPr>
        <w:t xml:space="preserve">of the coefficients from the multivariate S-map of patch </w:t>
      </w:r>
      <m:oMath>
        <m:sSub>
          <m:sSubPr>
            <m:ctrlPr>
              <w:rPr>
                <w:rFonts w:ascii="Cambria Math" w:eastAsia="PMingLiU" w:hAnsi="Cambria Math"/>
                <w:i/>
                <w:bdr w:val="none" w:sz="0" w:space="0" w:color="auto"/>
              </w:rPr>
            </m:ctrlPr>
          </m:sSubPr>
          <m:e>
            <m:r>
              <w:rPr>
                <w:rFonts w:ascii="Cambria Math" w:eastAsia="PMingLiU" w:hAnsi="Cambria Math" w:cs="Times New Roman"/>
                <w:bdr w:val="none" w:sz="0" w:space="0" w:color="auto"/>
              </w:rPr>
              <m:t>N</m:t>
            </m:r>
          </m:e>
          <m:sub>
            <m:r>
              <w:rPr>
                <w:rFonts w:ascii="Cambria Math" w:eastAsia="PMingLiU" w:hAnsi="Cambria Math" w:cs="Times New Roman"/>
                <w:bdr w:val="none" w:sz="0" w:space="0" w:color="auto"/>
              </w:rPr>
              <m:t>i</m:t>
            </m:r>
          </m:sub>
        </m:sSub>
      </m:oMath>
      <w:r w:rsidRPr="00891AF2">
        <w:rPr>
          <w:rFonts w:eastAsia="PMingLiU" w:cs="Times New Roman"/>
          <w:bdr w:val="none" w:sz="0" w:space="0" w:color="auto"/>
        </w:rPr>
        <w:t>. Afterwards, DEV was derived by calculating the eigen-values of the parameterized matrix. Here, when calculating the S-map coefficients (i.e.</w:t>
      </w:r>
      <w:r w:rsidR="00870AA8">
        <w:rPr>
          <w:rFonts w:eastAsia="PMingLiU" w:cs="Times New Roman"/>
          <w:bdr w:val="none" w:sz="0" w:space="0" w:color="auto"/>
        </w:rPr>
        <w:t>,</w:t>
      </w:r>
      <w:r w:rsidRPr="00891AF2">
        <w:rPr>
          <w:rFonts w:eastAsia="PMingLiU" w:cs="Times New Roman"/>
          <w:bdr w:val="none" w:sz="0" w:space="0" w:color="auto"/>
        </w:rPr>
        <w:t xml:space="preserve"> the Jacobian), we used the moving window approach (see Fig. S2). This step </w:t>
      </w:r>
      <w:r w:rsidR="00277194">
        <w:rPr>
          <w:rFonts w:eastAsia="PMingLiU" w:cs="Times New Roman"/>
          <w:bdr w:val="none" w:sz="0" w:space="0" w:color="auto"/>
        </w:rPr>
        <w:t>wa</w:t>
      </w:r>
      <w:r w:rsidR="00277194" w:rsidRPr="00891AF2">
        <w:rPr>
          <w:rFonts w:eastAsia="PMingLiU" w:cs="Times New Roman"/>
          <w:bdr w:val="none" w:sz="0" w:space="0" w:color="auto"/>
        </w:rPr>
        <w:t xml:space="preserve">s </w:t>
      </w:r>
      <w:r w:rsidRPr="00891AF2">
        <w:rPr>
          <w:rFonts w:eastAsia="PMingLiU" w:cs="Times New Roman"/>
          <w:bdr w:val="none" w:sz="0" w:space="0" w:color="auto"/>
        </w:rPr>
        <w:t xml:space="preserve">critically different from Ushio </w:t>
      </w:r>
      <w:r w:rsidRPr="00891AF2">
        <w:rPr>
          <w:rFonts w:eastAsia="PMingLiU" w:cs="Times New Roman"/>
          <w:i/>
          <w:bdr w:val="none" w:sz="0" w:space="0" w:color="auto"/>
        </w:rPr>
        <w:t>et al.</w:t>
      </w:r>
      <w:r w:rsidRPr="00891AF2">
        <w:rPr>
          <w:rFonts w:eastAsia="PMingLiU" w:cs="Times New Roman"/>
          <w:bdr w:val="none" w:sz="0" w:space="0" w:color="auto"/>
        </w:rPr>
        <w:t>’s method</w:t>
      </w:r>
      <w:r w:rsidRPr="00891AF2">
        <w:rPr>
          <w:rFonts w:eastAsia="PMingLiU" w:cs="Times New Roman"/>
          <w:bdr w:val="none" w:sz="0" w:space="0" w:color="auto"/>
        </w:rPr>
        <w:fldChar w:fldCharType="begin"/>
      </w:r>
      <w:r>
        <w:rPr>
          <w:rFonts w:eastAsia="PMingLiU" w:cs="Times New Roman"/>
          <w:bdr w:val="none" w:sz="0" w:space="0" w:color="auto"/>
        </w:rPr>
        <w:instrText xml:space="preserve"> ADDIN EN.CITE &lt;EndNote&gt;&lt;Cite&gt;&lt;Author&gt;Ushio&lt;/Author&gt;&lt;Year&gt;2018&lt;/Year&gt;&lt;RecNum&gt;10212&lt;/RecNum&gt;&lt;DisplayText&gt;&lt;style face="superscript"&gt;3&lt;/style&gt;&lt;/DisplayText&gt;&lt;record&gt;&lt;rec-number&gt;10212&lt;/rec-number&gt;&lt;foreign-keys&gt;&lt;key app="EN" db-id="9vxrfz59r9sztmepvf6va0v2d9wtpzrd9x2f" timestamp="1519095368"&gt;10212&lt;/key&gt;&lt;/foreign-keys&gt;&lt;ref-type name="Journal Article"&gt;17&lt;/ref-type&gt;&lt;contributors&gt;&lt;authors&gt;&lt;author&gt;Ushio, Masayuki&lt;/author&gt;&lt;author&gt;Hsieh, Chih-hao&lt;/author&gt;&lt;author&gt;Masuda, Reiji&lt;/author&gt;&lt;author&gt;Deyle, Ethan R.&lt;/author&gt;&lt;author&gt;Ye, Hao&lt;/author&gt;&lt;author&gt;Chang, Chun-Wei&lt;/author&gt;&lt;author&gt;Sugihara, George&lt;/author&gt;&lt;author&gt;Kondoh, Michio&lt;/author&gt;&lt;/authors&gt;&lt;/contributors&gt;&lt;titles&gt;&lt;title&gt;Fluctuating interaction network and time-varying stability of a natural fish community&lt;/title&gt;&lt;secondary-title&gt;Nature&lt;/secondary-title&gt;&lt;/titles&gt;&lt;periodical&gt;&lt;full-title&gt;Nature&lt;/full-title&gt;&lt;abbr-1&gt;Nature&lt;/abbr-1&gt;&lt;abbr-2&gt;0028-0836&lt;/abbr-2&gt;&lt;/periodical&gt;&lt;pages&gt;360-363&lt;/pages&gt;&lt;volume&gt;554&lt;/volume&gt;&lt;dates&gt;&lt;year&gt;2018&lt;/year&gt;&lt;pub-dates&gt;&lt;date&gt;02/07/online&lt;/date&gt;&lt;/pub-dates&gt;&lt;/dates&gt;&lt;publisher&gt;Macmillan Publishers Limited, part of Springer Nature. All rights reserved.&lt;/publisher&gt;&lt;urls&gt;&lt;related-urls&gt;&lt;url&gt;http://dx.doi.org/10.1038/nature25504&lt;/url&gt;&lt;/related-urls&gt;&lt;/urls&gt;&lt;electronic-resource-num&gt;10.1038/nature25504&amp;#xD;https://www.nature.com/articles/nature25504#supplementary-information&lt;/electronic-resource-num&gt;&lt;/record&gt;&lt;/Cite&gt;&lt;/EndNote&gt;</w:instrText>
      </w:r>
      <w:r w:rsidRPr="00891AF2">
        <w:rPr>
          <w:rFonts w:eastAsia="PMingLiU" w:cs="Times New Roman"/>
          <w:bdr w:val="none" w:sz="0" w:space="0" w:color="auto"/>
        </w:rPr>
        <w:fldChar w:fldCharType="separate"/>
      </w:r>
      <w:r w:rsidRPr="00891AF2">
        <w:rPr>
          <w:rFonts w:eastAsia="PMingLiU" w:cs="Times New Roman"/>
          <w:noProof/>
          <w:bdr w:val="none" w:sz="0" w:space="0" w:color="auto"/>
          <w:vertAlign w:val="superscript"/>
        </w:rPr>
        <w:t>3</w:t>
      </w:r>
      <w:r w:rsidRPr="00891AF2">
        <w:rPr>
          <w:rFonts w:eastAsia="PMingLiU" w:cs="Times New Roman"/>
          <w:bdr w:val="none" w:sz="0" w:space="0" w:color="auto"/>
        </w:rPr>
        <w:fldChar w:fldCharType="end"/>
      </w:r>
      <w:r w:rsidRPr="00891AF2">
        <w:rPr>
          <w:rFonts w:eastAsia="PMingLiU" w:cs="Times New Roman"/>
          <w:bdr w:val="none" w:sz="0" w:space="0" w:color="auto"/>
        </w:rPr>
        <w:t xml:space="preserve"> that carries out the S-map analysis using the whole time series data at once (no moving time window). The advantage of using moving window is that we acknowledge</w:t>
      </w:r>
      <w:r w:rsidR="00277194">
        <w:rPr>
          <w:rFonts w:eastAsia="PMingLiU" w:cs="Times New Roman"/>
          <w:bdr w:val="none" w:sz="0" w:space="0" w:color="auto"/>
        </w:rPr>
        <w:t>d</w:t>
      </w:r>
      <w:r w:rsidRPr="00891AF2">
        <w:rPr>
          <w:rFonts w:eastAsia="PMingLiU" w:cs="Times New Roman"/>
          <w:bdr w:val="none" w:sz="0" w:space="0" w:color="auto"/>
        </w:rPr>
        <w:t xml:space="preserve"> that the system dynamic </w:t>
      </w:r>
      <w:r w:rsidR="00277194" w:rsidRPr="00891AF2">
        <w:rPr>
          <w:rFonts w:eastAsia="PMingLiU" w:cs="Times New Roman"/>
          <w:bdr w:val="none" w:sz="0" w:space="0" w:color="auto"/>
        </w:rPr>
        <w:t>change</w:t>
      </w:r>
      <w:r w:rsidR="00277194">
        <w:rPr>
          <w:rFonts w:eastAsia="PMingLiU" w:cs="Times New Roman"/>
          <w:bdr w:val="none" w:sz="0" w:space="0" w:color="auto"/>
        </w:rPr>
        <w:t>d</w:t>
      </w:r>
      <w:r w:rsidR="00277194" w:rsidRPr="00891AF2">
        <w:rPr>
          <w:rFonts w:eastAsia="PMingLiU" w:cs="Times New Roman"/>
          <w:bdr w:val="none" w:sz="0" w:space="0" w:color="auto"/>
        </w:rPr>
        <w:t xml:space="preserve"> </w:t>
      </w:r>
      <w:r w:rsidRPr="00891AF2">
        <w:rPr>
          <w:rFonts w:eastAsia="PMingLiU" w:cs="Times New Roman"/>
          <w:bdr w:val="none" w:sz="0" w:space="0" w:color="auto"/>
        </w:rPr>
        <w:t xml:space="preserve">with time </w:t>
      </w:r>
      <w:r w:rsidRPr="00891AF2">
        <w:rPr>
          <w:rFonts w:eastAsia="PMingLiU" w:cs="Times New Roman"/>
          <w:bdr w:val="none" w:sz="0" w:space="0" w:color="auto"/>
        </w:rPr>
        <w:lastRenderedPageBreak/>
        <w:t>(Fig. S14).</w:t>
      </w:r>
    </w:p>
    <w:p w14:paraId="05EEA732" w14:textId="2452C657" w:rsidR="00CD5D94" w:rsidRPr="00CD5D94" w:rsidRDefault="002305D3" w:rsidP="003E2E37">
      <w:pPr>
        <w:spacing w:line="360" w:lineRule="auto"/>
        <w:ind w:firstLine="0"/>
        <w:rPr>
          <w:rFonts w:cs="Times New Roman"/>
          <w:i/>
          <w:lang w:eastAsia="zh-TW"/>
        </w:rPr>
      </w:pPr>
      <w:bookmarkStart w:id="0" w:name="_Hlk75441029"/>
      <w:r>
        <w:rPr>
          <w:rFonts w:cs="Times New Roman"/>
          <w:i/>
          <w:lang w:eastAsia="zh-TW"/>
        </w:rPr>
        <w:t>L</w:t>
      </w:r>
      <w:r w:rsidR="00CD5D94" w:rsidRPr="00EB2F1D">
        <w:rPr>
          <w:rFonts w:cs="Times New Roman"/>
          <w:i/>
          <w:lang w:eastAsia="zh-TW"/>
        </w:rPr>
        <w:t xml:space="preserve">imitations </w:t>
      </w:r>
      <w:r>
        <w:rPr>
          <w:rFonts w:cs="Times New Roman"/>
          <w:i/>
          <w:lang w:eastAsia="zh-TW"/>
        </w:rPr>
        <w:t>of</w:t>
      </w:r>
      <w:r w:rsidR="00CD5D94" w:rsidRPr="00EB2F1D">
        <w:rPr>
          <w:rFonts w:cs="Times New Roman"/>
          <w:i/>
          <w:lang w:eastAsia="zh-TW"/>
        </w:rPr>
        <w:t xml:space="preserve"> </w:t>
      </w:r>
      <w:bookmarkEnd w:id="0"/>
      <w:r w:rsidR="00CD5D94">
        <w:rPr>
          <w:rFonts w:cs="Times New Roman"/>
          <w:i/>
          <w:lang w:eastAsia="zh-TW"/>
        </w:rPr>
        <w:t>DEV method</w:t>
      </w:r>
      <w:r>
        <w:rPr>
          <w:rFonts w:cs="Times New Roman"/>
          <w:i/>
          <w:lang w:eastAsia="zh-TW"/>
        </w:rPr>
        <w:t xml:space="preserve"> in analyzing </w:t>
      </w:r>
      <w:r w:rsidR="00160694">
        <w:rPr>
          <w:rFonts w:cs="Times New Roman"/>
          <w:i/>
          <w:lang w:eastAsia="zh-TW"/>
        </w:rPr>
        <w:t>a</w:t>
      </w:r>
      <w:r w:rsidR="00160694" w:rsidRPr="00160694">
        <w:rPr>
          <w:rFonts w:cs="Times New Roman"/>
          <w:i/>
          <w:lang w:eastAsia="zh-TW"/>
        </w:rPr>
        <w:t>typical</w:t>
      </w:r>
      <w:r w:rsidR="00160694">
        <w:rPr>
          <w:rFonts w:cs="Times New Roman"/>
          <w:i/>
          <w:lang w:eastAsia="zh-TW"/>
        </w:rPr>
        <w:t xml:space="preserve"> transitions </w:t>
      </w:r>
    </w:p>
    <w:p w14:paraId="5F5D79A2" w14:textId="0F52111C" w:rsidR="00CD5D94" w:rsidRDefault="00277194" w:rsidP="003E2E37">
      <w:pPr>
        <w:spacing w:line="360" w:lineRule="auto"/>
        <w:ind w:firstLine="482"/>
        <w:rPr>
          <w:iCs/>
          <w:lang w:eastAsia="zh-TW"/>
        </w:rPr>
      </w:pPr>
      <w:r>
        <w:rPr>
          <w:iCs/>
          <w:lang w:eastAsia="zh-TW"/>
        </w:rPr>
        <w:t xml:space="preserve">Although </w:t>
      </w:r>
      <w:r w:rsidR="00CD5D94">
        <w:rPr>
          <w:iCs/>
          <w:lang w:eastAsia="zh-TW"/>
        </w:rPr>
        <w:t xml:space="preserve">we have demonstrated efficacy of the DEV approach proposed in this study, some caveats and limitation warrant discussion. The DEV approach cannot detect some abrupt transitions without crossing a bifurcation point (e.g., </w:t>
      </w:r>
      <w:r w:rsidR="00CD5D94" w:rsidRPr="00BA1A1A">
        <w:rPr>
          <w:iCs/>
          <w:lang w:eastAsia="zh-TW"/>
        </w:rPr>
        <w:t>strong stepwise change in driver</w:t>
      </w:r>
      <w:r w:rsidR="00CD5D94">
        <w:rPr>
          <w:iCs/>
          <w:lang w:eastAsia="zh-TW"/>
        </w:rPr>
        <w:fldChar w:fldCharType="begin">
          <w:fldData xml:space="preserve">PEVuZE5vdGU+PENpdGU+PEF1dGhvcj5EYWtvczwvQXV0aG9yPjxZZWFyPjIwMTU8L1llYXI+PFJl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==
</w:fldData>
        </w:fldChar>
      </w:r>
      <w:r w:rsidR="00CD5D94">
        <w:rPr>
          <w:iCs/>
          <w:lang w:eastAsia="zh-TW"/>
        </w:rPr>
        <w:instrText xml:space="preserve"> ADDIN EN.CITE </w:instrText>
      </w:r>
      <w:r w:rsidR="00CD5D94">
        <w:rPr>
          <w:iCs/>
          <w:lang w:eastAsia="zh-TW"/>
        </w:rPr>
        <w:fldChar w:fldCharType="begin">
          <w:fldData xml:space="preserve">PEVuZE5vdGU+PENpdGU+PEF1dGhvcj5EYWtvczwvQXV0aG9yPjxZZWFyPjIwMTU8L1llYXI+PFJl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==
</w:fldData>
        </w:fldChar>
      </w:r>
      <w:r w:rsidR="00CD5D94">
        <w:rPr>
          <w:iCs/>
          <w:lang w:eastAsia="zh-TW"/>
        </w:rPr>
        <w:instrText xml:space="preserve"> ADDIN EN.CITE.DATA </w:instrText>
      </w:r>
      <w:r w:rsidR="00CD5D94">
        <w:rPr>
          <w:iCs/>
          <w:lang w:eastAsia="zh-TW"/>
        </w:rPr>
      </w:r>
      <w:r w:rsidR="00CD5D94">
        <w:rPr>
          <w:iCs/>
          <w:lang w:eastAsia="zh-TW"/>
        </w:rPr>
        <w:fldChar w:fldCharType="end"/>
      </w:r>
      <w:r w:rsidR="00CD5D94">
        <w:rPr>
          <w:iCs/>
          <w:lang w:eastAsia="zh-TW"/>
        </w:rPr>
      </w:r>
      <w:r w:rsidR="00CD5D94">
        <w:rPr>
          <w:iCs/>
          <w:lang w:eastAsia="zh-TW"/>
        </w:rPr>
        <w:fldChar w:fldCharType="separate"/>
      </w:r>
      <w:r w:rsidR="00CD5D94" w:rsidRPr="00CD5D94">
        <w:rPr>
          <w:iCs/>
          <w:noProof/>
          <w:vertAlign w:val="superscript"/>
          <w:lang w:eastAsia="zh-TW"/>
        </w:rPr>
        <w:t>4</w:t>
      </w:r>
      <w:r w:rsidR="00CD5D94">
        <w:rPr>
          <w:iCs/>
          <w:lang w:eastAsia="zh-TW"/>
        </w:rPr>
        <w:fldChar w:fldCharType="end"/>
      </w:r>
      <w:r w:rsidR="00CD5D94">
        <w:rPr>
          <w:iCs/>
          <w:lang w:eastAsia="zh-TW"/>
        </w:rPr>
        <w:t>). The identification of bifurcation using the DEV approach relies on examining the dominant eigen-value near the tipping point, at which bifurcation parameters reached the threshold |DEV|. Owing to the limited data of moving time window, the estimated DEV may fail to</w:t>
      </w:r>
      <w:r w:rsidR="00CD5D94">
        <w:rPr>
          <w:iCs/>
        </w:rPr>
        <w:t xml:space="preserve"> reach the threshold indicating transition occurrence</w:t>
      </w:r>
      <w:r w:rsidR="00CD5D94">
        <w:rPr>
          <w:iCs/>
          <w:lang w:eastAsia="zh-TW"/>
        </w:rPr>
        <w:t>. To avoid this problem, we suggest applying the DEV approach following the regular contexts as applying generic EWS</w:t>
      </w:r>
      <w:r w:rsidR="00CD5D94">
        <w:rPr>
          <w:iCs/>
          <w:lang w:eastAsia="zh-TW"/>
        </w:rPr>
        <w:fldChar w:fldCharType="begin">
          <w:fldData xml:space="preserve">PEVuZE5vdGU+PENpdGU+PEF1dGhvcj5EYWtvczwvQXV0aG9yPjxZZWFyPjIwMTU8L1llYXI+PFJl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==
</w:fldData>
        </w:fldChar>
      </w:r>
      <w:r w:rsidR="00CD5D94">
        <w:rPr>
          <w:iCs/>
          <w:lang w:eastAsia="zh-TW"/>
        </w:rPr>
        <w:instrText xml:space="preserve"> ADDIN EN.CITE </w:instrText>
      </w:r>
      <w:r w:rsidR="00CD5D94">
        <w:rPr>
          <w:iCs/>
          <w:lang w:eastAsia="zh-TW"/>
        </w:rPr>
        <w:fldChar w:fldCharType="begin">
          <w:fldData xml:space="preserve">PEVuZE5vdGU+PENpdGU+PEF1dGhvcj5EYWtvczwvQXV0aG9yPjxZZWFyPjIwMTU8L1llYXI+PFJl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==
</w:fldData>
        </w:fldChar>
      </w:r>
      <w:r w:rsidR="00CD5D94">
        <w:rPr>
          <w:iCs/>
          <w:lang w:eastAsia="zh-TW"/>
        </w:rPr>
        <w:instrText xml:space="preserve"> ADDIN EN.CITE.DATA </w:instrText>
      </w:r>
      <w:r w:rsidR="00CD5D94">
        <w:rPr>
          <w:iCs/>
          <w:lang w:eastAsia="zh-TW"/>
        </w:rPr>
      </w:r>
      <w:r w:rsidR="00CD5D94">
        <w:rPr>
          <w:iCs/>
          <w:lang w:eastAsia="zh-TW"/>
        </w:rPr>
        <w:fldChar w:fldCharType="end"/>
      </w:r>
      <w:r w:rsidR="00CD5D94">
        <w:rPr>
          <w:iCs/>
          <w:lang w:eastAsia="zh-TW"/>
        </w:rPr>
      </w:r>
      <w:r w:rsidR="00CD5D94">
        <w:rPr>
          <w:iCs/>
          <w:lang w:eastAsia="zh-TW"/>
        </w:rPr>
        <w:fldChar w:fldCharType="separate"/>
      </w:r>
      <w:r w:rsidR="00CD5D94" w:rsidRPr="00CD5D94">
        <w:rPr>
          <w:iCs/>
          <w:noProof/>
          <w:vertAlign w:val="superscript"/>
          <w:lang w:eastAsia="zh-TW"/>
        </w:rPr>
        <w:t>4</w:t>
      </w:r>
      <w:r w:rsidR="00CD5D94">
        <w:rPr>
          <w:iCs/>
          <w:lang w:eastAsia="zh-TW"/>
        </w:rPr>
        <w:fldChar w:fldCharType="end"/>
      </w:r>
      <w:r w:rsidR="00CD5D94">
        <w:rPr>
          <w:iCs/>
          <w:lang w:eastAsia="zh-TW"/>
        </w:rPr>
        <w:t>.</w:t>
      </w:r>
      <w:r w:rsidR="00CD5D94" w:rsidRPr="003C3522">
        <w:rPr>
          <w:iCs/>
          <w:lang w:eastAsia="zh-TW"/>
        </w:rPr>
        <w:t xml:space="preserve"> </w:t>
      </w:r>
      <w:r w:rsidR="00CD5D94">
        <w:rPr>
          <w:iCs/>
          <w:lang w:eastAsia="zh-TW"/>
        </w:rPr>
        <w:t>Moreover, application of DEV analysis shall also avoid the conditions that abrupt shifts of system states were not caused by bifurcation but by nonlinear responses of system states to changed drivers (e.g., Fig. 1b in a previous review</w:t>
      </w:r>
      <w:r w:rsidR="00CD5D94">
        <w:rPr>
          <w:iCs/>
          <w:lang w:eastAsia="zh-TW"/>
        </w:rPr>
        <w:fldChar w:fldCharType="begin"/>
      </w:r>
      <w:r w:rsidR="00CD5D94">
        <w:rPr>
          <w:iCs/>
          <w:lang w:eastAsia="zh-TW"/>
        </w:rPr>
        <w:instrText xml:space="preserve"> ADDIN EN.CITE &lt;EndNote&gt;&lt;Cite&gt;&lt;Author&gt;Scheffer&lt;/Author&gt;&lt;Year&gt;2001&lt;/Year&gt;&lt;RecNum&gt;773&lt;/RecNum&gt;&lt;DisplayText&gt;&lt;style face="superscript"&gt;5&lt;/style&gt;&lt;/DisplayText&gt;&lt;record&gt;&lt;rec-number&gt;773&lt;/rec-number&gt;&lt;foreign-keys&gt;&lt;key app="EN" db-id="d2pzd5dayrt09lewpvbpefpx09vz5att9wda" timestamp="1433402874"&gt;773&lt;/key&gt;&lt;/foreign-keys&gt;&lt;ref-type name="Journal Article"&gt;17&lt;/ref-type&gt;&lt;contributors&gt;&lt;authors&gt;&lt;author&gt;Scheffer, Marten&lt;/author&gt;&lt;author&gt;Carpenter, Steve&lt;/author&gt;&lt;author&gt;Foley, Jonathan A.&lt;/author&gt;&lt;author&gt;Folke, Carl&lt;/author&gt;&lt;author&gt;Walker, Brian&lt;/author&gt;&lt;/authors&gt;&lt;/contributors&gt;&lt;titles&gt;&lt;title&gt;Catastrophic shifts in ecosystems&lt;/title&gt;&lt;secondary-title&gt;Nature&lt;/secondary-title&gt;&lt;/titles&gt;&lt;periodical&gt;&lt;full-title&gt;Nature&lt;/full-title&gt;&lt;abbr-1&gt;Nature&lt;/abbr-1&gt;&lt;abbr-2&gt;Nature&lt;/abbr-2&gt;&lt;/periodical&gt;&lt;pages&gt;591-596&lt;/pages&gt;&lt;volume&gt;413&lt;/volume&gt;&lt;number&gt;6856&lt;/number&gt;&lt;dates&gt;&lt;year&gt;2001&lt;/year&gt;&lt;pub-dates&gt;&lt;date&gt;10/11/print&lt;/date&gt;&lt;/pub-dates&gt;&lt;/dates&gt;&lt;isbn&gt;0028-0836&lt;/isbn&gt;&lt;work-type&gt;10.1038/35098000&lt;/work-type&gt;&lt;urls&gt;&lt;related-urls&gt;&lt;url&gt;http://dx.doi.org/10.1038/35098000&lt;/url&gt;&lt;/related-urls&gt;&lt;/urls&gt;&lt;/record&gt;&lt;/Cite&gt;&lt;/EndNote&gt;</w:instrText>
      </w:r>
      <w:r w:rsidR="00CD5D94">
        <w:rPr>
          <w:iCs/>
          <w:lang w:eastAsia="zh-TW"/>
        </w:rPr>
        <w:fldChar w:fldCharType="separate"/>
      </w:r>
      <w:r w:rsidR="00CD5D94" w:rsidRPr="00CD5D94">
        <w:rPr>
          <w:iCs/>
          <w:noProof/>
          <w:vertAlign w:val="superscript"/>
          <w:lang w:eastAsia="zh-TW"/>
        </w:rPr>
        <w:t>5</w:t>
      </w:r>
      <w:r w:rsidR="00CD5D94">
        <w:rPr>
          <w:iCs/>
          <w:lang w:eastAsia="zh-TW"/>
        </w:rPr>
        <w:fldChar w:fldCharType="end"/>
      </w:r>
      <w:r w:rsidR="00CD5D94">
        <w:rPr>
          <w:iCs/>
          <w:lang w:eastAsia="zh-TW"/>
        </w:rPr>
        <w:t>) or processes dominated by noise</w:t>
      </w:r>
      <w:r w:rsidR="00CD5D94">
        <w:rPr>
          <w:iCs/>
          <w:lang w:eastAsia="zh-TW"/>
        </w:rPr>
        <w:fldChar w:fldCharType="begin"/>
      </w:r>
      <w:r w:rsidR="00CD5D94">
        <w:rPr>
          <w:iCs/>
          <w:lang w:eastAsia="zh-TW"/>
        </w:rPr>
        <w:instrText xml:space="preserve"> ADDIN EN.CITE &lt;EndNote&gt;&lt;Cite&gt;&lt;Author&gt;Hsieh&lt;/Author&gt;&lt;Year&gt;2005&lt;/Year&gt;&lt;RecNum&gt;451&lt;/RecNum&gt;&lt;DisplayText&gt;&lt;style face="superscript"&gt;6&lt;/style&gt;&lt;/DisplayText&gt;&lt;record&gt;&lt;rec-number&gt;451&lt;/rec-number&gt;&lt;foreign-keys&gt;&lt;key app="EN" db-id="d2pzd5dayrt09lewpvbpefpx09vz5att9wda" timestamp="1383016676"&gt;451&lt;/key&gt;&lt;/foreign-keys&gt;&lt;ref-type name="Journal Article"&gt;17&lt;/ref-type&gt;&lt;contributors&gt;&lt;authors&gt;&lt;author&gt;Hsieh, Chih-hao&lt;/author&gt;&lt;author&gt;Glaser, Sarah M.&lt;/author&gt;&lt;author&gt;Lucas, Andrew J.&lt;/author&gt;&lt;author&gt;Sugihara, George&lt;/author&gt;&lt;/authors&gt;&lt;/contributors&gt;&lt;titles&gt;&lt;title&gt;Distinguishing random environmental fluctuations from ecological catastrophes for the North Pacific Ocean&lt;/title&gt;&lt;secondary-title&gt;Nature&lt;/secondary-title&gt;&lt;/titles&gt;&lt;periodical&gt;&lt;full-title&gt;Nature&lt;/full-title&gt;&lt;abbr-1&gt;Nature&lt;/abbr-1&gt;&lt;abbr-2&gt;Nature&lt;/abbr-2&gt;&lt;/periodical&gt;&lt;pages&gt;336-340&lt;/pages&gt;&lt;volume&gt;435&lt;/volume&gt;&lt;number&gt;7040&lt;/number&gt;&lt;dates&gt;&lt;year&gt;2005&lt;/year&gt;&lt;/dates&gt;&lt;publisher&gt;Macmillian Magazines Ltd.&lt;/publisher&gt;&lt;isbn&gt;0028-0836&lt;/isbn&gt;&lt;work-type&gt;10.1038/nature03553&lt;/work-type&gt;&lt;urls&gt;&lt;related-urls&gt;&lt;url&gt;http://dx.doi.org/10.1038/nature03553&lt;/url&gt;&lt;/related-urls&gt;&lt;/urls&gt;&lt;electronic-resource-num&gt;http://www.nature.com/nature/journal/v435/n7040/suppinfo/nature03553_S1.html&lt;/electronic-resource-num&gt;&lt;/record&gt;&lt;/Cite&gt;&lt;/EndNote&gt;</w:instrText>
      </w:r>
      <w:r w:rsidR="00CD5D94">
        <w:rPr>
          <w:iCs/>
          <w:lang w:eastAsia="zh-TW"/>
        </w:rPr>
        <w:fldChar w:fldCharType="separate"/>
      </w:r>
      <w:r w:rsidR="00CD5D94" w:rsidRPr="00CD5D94">
        <w:rPr>
          <w:iCs/>
          <w:noProof/>
          <w:vertAlign w:val="superscript"/>
          <w:lang w:eastAsia="zh-TW"/>
        </w:rPr>
        <w:t>6</w:t>
      </w:r>
      <w:r w:rsidR="00CD5D94">
        <w:rPr>
          <w:iCs/>
          <w:lang w:eastAsia="zh-TW"/>
        </w:rPr>
        <w:fldChar w:fldCharType="end"/>
      </w:r>
      <w:r w:rsidR="00CD5D94">
        <w:rPr>
          <w:iCs/>
          <w:lang w:eastAsia="zh-TW"/>
        </w:rPr>
        <w:t xml:space="preserve">. In these situations, we expect DEV showing no early warning signal even if an obvious regime shift can be observed in time series. It is also noteworthy that we assumed </w:t>
      </w:r>
      <w:r w:rsidR="005C7B34">
        <w:rPr>
          <w:iCs/>
          <w:lang w:eastAsia="zh-TW"/>
        </w:rPr>
        <w:t xml:space="preserve">a </w:t>
      </w:r>
      <w:r w:rsidR="00CD5D94">
        <w:rPr>
          <w:iCs/>
          <w:lang w:eastAsia="zh-TW"/>
        </w:rPr>
        <w:t xml:space="preserve">linear change in the bifurcation parameters (or drivers). Based on this assumption, the timing for transition might be determined based on linear extrapolation before </w:t>
      </w:r>
      <w:r>
        <w:rPr>
          <w:iCs/>
          <w:lang w:eastAsia="zh-TW"/>
        </w:rPr>
        <w:t xml:space="preserve">a </w:t>
      </w:r>
      <w:r w:rsidR="00CD5D94">
        <w:rPr>
          <w:iCs/>
          <w:lang w:eastAsia="zh-TW"/>
        </w:rPr>
        <w:t xml:space="preserve">transition </w:t>
      </w:r>
      <w:r>
        <w:rPr>
          <w:iCs/>
          <w:lang w:eastAsia="zh-TW"/>
        </w:rPr>
        <w:t>occurs</w:t>
      </w:r>
      <w:r w:rsidR="00CD5D94">
        <w:rPr>
          <w:iCs/>
          <w:lang w:eastAsia="zh-TW"/>
        </w:rPr>
        <w:t>. However,</w:t>
      </w:r>
      <w:r w:rsidR="00CD5D94" w:rsidRPr="00D87EFA">
        <w:rPr>
          <w:iCs/>
          <w:lang w:eastAsia="zh-TW"/>
        </w:rPr>
        <w:t xml:space="preserve"> </w:t>
      </w:r>
      <w:r w:rsidR="00CD5D94">
        <w:rPr>
          <w:iCs/>
          <w:lang w:eastAsia="zh-TW"/>
        </w:rPr>
        <w:t>in real-world situations, the driver for critical transition and thus the DEV might not approach linearly to the tipping point. Thus, exactly determining the timing of critical transition needs further investigations. Nevertheless, our DEV method based on bifurcation theory still established a quantitative condition indicating the occurrence of critical transition</w:t>
      </w:r>
      <w:r w:rsidR="002305D3">
        <w:rPr>
          <w:iCs/>
          <w:lang w:eastAsia="zh-TW"/>
        </w:rPr>
        <w:t>, wherein</w:t>
      </w:r>
      <w:r w:rsidR="00CD5D94">
        <w:rPr>
          <w:iCs/>
          <w:lang w:eastAsia="zh-TW"/>
        </w:rPr>
        <w:t xml:space="preserve"> </w:t>
      </w:r>
      <w:r w:rsidR="002305D3">
        <w:rPr>
          <w:iCs/>
          <w:lang w:eastAsia="zh-TW"/>
        </w:rPr>
        <w:t xml:space="preserve">the </w:t>
      </w:r>
      <w:r w:rsidR="00CD5D94">
        <w:rPr>
          <w:iCs/>
          <w:lang w:eastAsia="zh-TW"/>
        </w:rPr>
        <w:t xml:space="preserve">theoretical threshold of DEV was exactly reached in the models (Fig. 1) and almost reached throughout empirical examples (Fig. 2). </w:t>
      </w:r>
    </w:p>
    <w:p w14:paraId="3E21F62E" w14:textId="00C8961A" w:rsidR="00CD5D94" w:rsidRDefault="00CD5D94" w:rsidP="003E2E37">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eastAsia="PMingLiU" w:cs="Times New Roman"/>
          <w:bdr w:val="none" w:sz="0" w:space="0" w:color="auto"/>
        </w:rPr>
      </w:pPr>
    </w:p>
    <w:p w14:paraId="2A33070A" w14:textId="74E30176" w:rsidR="00CD5D94" w:rsidRDefault="00CD5D94" w:rsidP="003E2E37">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eastAsia="PMingLiU" w:cs="Times New Roman"/>
          <w:bdr w:val="none" w:sz="0" w:space="0" w:color="auto"/>
        </w:rPr>
      </w:pPr>
    </w:p>
    <w:p w14:paraId="43BBFC2F" w14:textId="3D244E36" w:rsidR="00CD5D94" w:rsidRDefault="00CD5D94" w:rsidP="003E2E37">
      <w:pPr>
        <w:widowControl/>
        <w:spacing w:line="240" w:lineRule="auto"/>
        <w:ind w:firstLine="0"/>
        <w:rPr>
          <w:rFonts w:eastAsia="PMingLiU" w:cs="Times New Roman"/>
          <w:bdr w:val="none" w:sz="0" w:space="0" w:color="auto"/>
        </w:rPr>
      </w:pPr>
      <w:r>
        <w:rPr>
          <w:rFonts w:eastAsia="PMingLiU" w:cs="Times New Roman"/>
          <w:bdr w:val="none" w:sz="0" w:space="0" w:color="auto"/>
        </w:rPr>
        <w:br w:type="page"/>
      </w:r>
    </w:p>
    <w:p w14:paraId="34D93207" w14:textId="77777777" w:rsidR="00CD5D94" w:rsidRPr="00891AF2" w:rsidRDefault="00CD5D94" w:rsidP="003E2E37">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eastAsia="PMingLiU" w:cs="Times New Roman"/>
          <w:bdr w:val="none" w:sz="0" w:space="0" w:color="auto"/>
        </w:rPr>
      </w:pPr>
    </w:p>
    <w:p w14:paraId="155A24B4" w14:textId="77777777" w:rsidR="001A3F3F" w:rsidRDefault="001A3F3F" w:rsidP="003E2E37">
      <w:pPr>
        <w:spacing w:line="360" w:lineRule="auto"/>
        <w:ind w:firstLine="0"/>
        <w:contextualSpacing/>
        <w:mirrorIndents/>
        <w:rPr>
          <w:rFonts w:cs="Times New Roman"/>
          <w:bCs/>
        </w:rPr>
      </w:pPr>
      <w:r>
        <w:rPr>
          <w:rFonts w:cs="Times New Roman"/>
          <w:bCs/>
          <w:noProof/>
        </w:rPr>
        <w:drawing>
          <wp:inline distT="0" distB="0" distL="0" distR="0" wp14:anchorId="0793E0AC" wp14:editId="4F1EC9ED">
            <wp:extent cx="5490210" cy="6100445"/>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imulations_ar_sd.tiff"/>
                    <pic:cNvPicPr/>
                  </pic:nvPicPr>
                  <pic:blipFill>
                    <a:blip r:embed="rId14">
                      <a:extLst>
                        <a:ext uri="{28A0092B-C50C-407E-A947-70E740481C1C}">
                          <a14:useLocalDpi xmlns:a14="http://schemas.microsoft.com/office/drawing/2010/main" val="0"/>
                        </a:ext>
                      </a:extLst>
                    </a:blip>
                    <a:stretch>
                      <a:fillRect/>
                    </a:stretch>
                  </pic:blipFill>
                  <pic:spPr>
                    <a:xfrm>
                      <a:off x="0" y="0"/>
                      <a:ext cx="5490210" cy="6100445"/>
                    </a:xfrm>
                    <a:prstGeom prst="rect">
                      <a:avLst/>
                    </a:prstGeom>
                  </pic:spPr>
                </pic:pic>
              </a:graphicData>
            </a:graphic>
          </wp:inline>
        </w:drawing>
      </w:r>
    </w:p>
    <w:p w14:paraId="3E3EBADF" w14:textId="3C7198E1" w:rsidR="001A3F3F" w:rsidRPr="00CD5D94" w:rsidRDefault="001A3F3F" w:rsidP="003E2E37">
      <w:pPr>
        <w:spacing w:line="360" w:lineRule="auto"/>
        <w:ind w:firstLine="0"/>
        <w:contextualSpacing/>
        <w:mirrorIndents/>
        <w:rPr>
          <w:rFonts w:cs="Times New Roman"/>
          <w:bCs/>
        </w:rPr>
      </w:pPr>
      <w:r w:rsidRPr="00794F9B">
        <w:rPr>
          <w:rFonts w:cs="Times New Roman"/>
          <w:b/>
          <w:bCs/>
        </w:rPr>
        <w:t>Figure S</w:t>
      </w:r>
      <w:r w:rsidR="00C436CD">
        <w:rPr>
          <w:rFonts w:cs="Times New Roman"/>
          <w:b/>
          <w:bCs/>
        </w:rPr>
        <w:t>1</w:t>
      </w:r>
      <w:r w:rsidR="00A87D42">
        <w:rPr>
          <w:rFonts w:cs="Times New Roman"/>
          <w:b/>
          <w:bCs/>
        </w:rPr>
        <w:t>.</w:t>
      </w:r>
      <w:r w:rsidRPr="00794F9B">
        <w:rPr>
          <w:rFonts w:cs="Times New Roman"/>
          <w:b/>
          <w:bCs/>
        </w:rPr>
        <w:t xml:space="preserve"> Demonstration of </w:t>
      </w:r>
      <w:r>
        <w:rPr>
          <w:rFonts w:cs="Times New Roman"/>
          <w:b/>
          <w:bCs/>
        </w:rPr>
        <w:t xml:space="preserve">common </w:t>
      </w:r>
      <w:r w:rsidRPr="006451E5">
        <w:rPr>
          <w:rFonts w:cs="Times New Roman"/>
          <w:b/>
          <w:bCs/>
        </w:rPr>
        <w:t>resilience indicators, autocorrelation and variance</w:t>
      </w:r>
      <w:r>
        <w:rPr>
          <w:rFonts w:cs="Times New Roman"/>
          <w:b/>
          <w:bCs/>
        </w:rPr>
        <w:t xml:space="preserve"> </w:t>
      </w:r>
      <w:r w:rsidR="00C436CD">
        <w:rPr>
          <w:rFonts w:cs="Times New Roman"/>
          <w:b/>
          <w:bCs/>
        </w:rPr>
        <w:t>using three types of bifurcation model examples:</w:t>
      </w:r>
      <w:r>
        <w:rPr>
          <w:rFonts w:cs="Times New Roman"/>
          <w:b/>
          <w:bCs/>
        </w:rPr>
        <w:t xml:space="preserve"> Noy-Meir model</w:t>
      </w:r>
      <w:r w:rsidR="00970DF6">
        <w:rPr>
          <w:rFonts w:cs="Times New Roman"/>
          <w:b/>
          <w:bCs/>
        </w:rPr>
        <w:t xml:space="preserve"> (a &amp; b)</w:t>
      </w:r>
      <w:r>
        <w:rPr>
          <w:rFonts w:cs="Times New Roman"/>
          <w:b/>
          <w:bCs/>
        </w:rPr>
        <w:t xml:space="preserve">, Henon map </w:t>
      </w:r>
      <w:r w:rsidR="00970DF6">
        <w:rPr>
          <w:rFonts w:cs="Times New Roman"/>
          <w:b/>
          <w:bCs/>
        </w:rPr>
        <w:t xml:space="preserve">(c &amp; d) </w:t>
      </w:r>
      <w:r>
        <w:rPr>
          <w:rFonts w:cs="Times New Roman"/>
          <w:b/>
          <w:bCs/>
        </w:rPr>
        <w:t>and Rosenzweig-MacArthur model</w:t>
      </w:r>
      <w:r w:rsidR="00970DF6">
        <w:rPr>
          <w:rFonts w:cs="Times New Roman"/>
          <w:b/>
          <w:bCs/>
        </w:rPr>
        <w:t xml:space="preserve"> (e &amp; f)</w:t>
      </w:r>
      <w:r w:rsidRPr="00794F9B">
        <w:rPr>
          <w:rFonts w:cs="Times New Roman"/>
          <w:b/>
          <w:bCs/>
        </w:rPr>
        <w:t>.</w:t>
      </w:r>
      <w:r w:rsidR="00B557E5">
        <w:rPr>
          <w:rFonts w:cs="Times New Roman"/>
          <w:b/>
          <w:bCs/>
        </w:rPr>
        <w:t xml:space="preserve"> </w:t>
      </w:r>
      <w:r w:rsidR="00B557E5" w:rsidRPr="00CD5D94">
        <w:rPr>
          <w:rFonts w:cs="Times New Roman"/>
          <w:bCs/>
        </w:rPr>
        <w:t>The model implementation is explained in Methods.</w:t>
      </w:r>
    </w:p>
    <w:p w14:paraId="0FF0BC73" w14:textId="77777777" w:rsidR="001A3F3F" w:rsidRDefault="001A3F3F" w:rsidP="003E2E37">
      <w:pPr>
        <w:rPr>
          <w:rFonts w:cstheme="majorBidi"/>
          <w:color w:val="auto"/>
          <w:kern w:val="0"/>
          <w:sz w:val="22"/>
          <w:szCs w:val="22"/>
        </w:rPr>
      </w:pPr>
    </w:p>
    <w:p w14:paraId="2A5D82F4" w14:textId="20DEC779" w:rsidR="001A3F3F" w:rsidRDefault="001A3F3F" w:rsidP="003E2E37">
      <w:pPr>
        <w:rPr>
          <w:rFonts w:cstheme="majorBidi"/>
          <w:color w:val="auto"/>
          <w:kern w:val="0"/>
          <w:sz w:val="22"/>
          <w:szCs w:val="22"/>
        </w:rPr>
      </w:pPr>
    </w:p>
    <w:p w14:paraId="0554BBD0" w14:textId="77777777" w:rsidR="003852EC" w:rsidRDefault="003852EC" w:rsidP="003E2E37">
      <w:pPr>
        <w:widowControl/>
        <w:spacing w:line="360" w:lineRule="auto"/>
        <w:ind w:firstLine="0"/>
        <w:rPr>
          <w:rFonts w:cs="Times New Roman"/>
          <w:b/>
        </w:rPr>
      </w:pPr>
    </w:p>
    <w:p w14:paraId="340DFD5B" w14:textId="42EB5324" w:rsidR="003852EC" w:rsidRDefault="000660D0" w:rsidP="003E2E37">
      <w:pPr>
        <w:widowControl/>
        <w:spacing w:line="360" w:lineRule="auto"/>
        <w:ind w:firstLine="0"/>
        <w:rPr>
          <w:rFonts w:cs="Times New Roman"/>
          <w:b/>
        </w:rPr>
      </w:pPr>
      <w:r>
        <w:rPr>
          <w:rFonts w:cs="Times New Roman"/>
          <w:b/>
          <w:noProof/>
        </w:rPr>
        <w:drawing>
          <wp:inline distT="0" distB="0" distL="0" distR="0" wp14:anchorId="58E15BBA" wp14:editId="6E5A359C">
            <wp:extent cx="5490210" cy="180403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90210" cy="1804035"/>
                    </a:xfrm>
                    <a:prstGeom prst="rect">
                      <a:avLst/>
                    </a:prstGeom>
                  </pic:spPr>
                </pic:pic>
              </a:graphicData>
            </a:graphic>
          </wp:inline>
        </w:drawing>
      </w:r>
    </w:p>
    <w:p w14:paraId="5E69877A" w14:textId="279A08D3" w:rsidR="00216732" w:rsidRDefault="00216732" w:rsidP="003E2E37">
      <w:pPr>
        <w:widowControl/>
        <w:spacing w:line="360" w:lineRule="auto"/>
        <w:ind w:firstLine="0"/>
        <w:rPr>
          <w:rFonts w:cs="Times New Roman"/>
          <w:b/>
        </w:rPr>
      </w:pPr>
      <w:r w:rsidRPr="00D8684F">
        <w:rPr>
          <w:rFonts w:cs="Times New Roman"/>
          <w:b/>
        </w:rPr>
        <w:t xml:space="preserve">Figure </w:t>
      </w:r>
      <w:r>
        <w:rPr>
          <w:rFonts w:cs="Times New Roman"/>
          <w:b/>
        </w:rPr>
        <w:t>S2</w:t>
      </w:r>
      <w:r w:rsidR="00A87D42">
        <w:rPr>
          <w:rFonts w:cs="Times New Roman"/>
          <w:b/>
        </w:rPr>
        <w:t>.</w:t>
      </w:r>
      <w:r w:rsidRPr="00D8684F">
        <w:rPr>
          <w:rFonts w:cs="Times New Roman"/>
          <w:b/>
        </w:rPr>
        <w:t xml:space="preserve"> Schematic illustrating procedures to estimate the time-varying dominant </w:t>
      </w:r>
      <w:r>
        <w:rPr>
          <w:rFonts w:cs="Times New Roman"/>
          <w:b/>
        </w:rPr>
        <w:t>eigen-value</w:t>
      </w:r>
      <w:r w:rsidRPr="00D8684F">
        <w:rPr>
          <w:rFonts w:cs="Times New Roman"/>
          <w:b/>
        </w:rPr>
        <w:t xml:space="preserve">s that anticipate critical transition and classify types of bifurcation. </w:t>
      </w:r>
      <w:r w:rsidRPr="00D8684F">
        <w:rPr>
          <w:rFonts w:cs="Times New Roman"/>
        </w:rPr>
        <w:t>See Box 1 for the theory</w:t>
      </w:r>
      <w:r>
        <w:rPr>
          <w:rFonts w:cs="Times New Roman"/>
        </w:rPr>
        <w:t>,</w:t>
      </w:r>
      <w:r w:rsidRPr="00D8684F">
        <w:rPr>
          <w:rFonts w:cs="Times New Roman"/>
        </w:rPr>
        <w:t xml:space="preserve"> and Methods for details of computation.</w:t>
      </w:r>
      <w:r>
        <w:rPr>
          <w:rFonts w:cs="Times New Roman"/>
        </w:rPr>
        <w:t xml:space="preserve"> To determine the optimal window size for computation, we screened </w:t>
      </w:r>
      <w:r w:rsidR="00350E21">
        <w:rPr>
          <w:rFonts w:cs="Times New Roman"/>
        </w:rPr>
        <w:t xml:space="preserve">various </w:t>
      </w:r>
      <w:r>
        <w:rPr>
          <w:rFonts w:cs="Times New Roman"/>
        </w:rPr>
        <w:t>window size</w:t>
      </w:r>
      <w:r w:rsidR="005471FC">
        <w:rPr>
          <w:rFonts w:cs="Times New Roman"/>
        </w:rPr>
        <w:t>s</w:t>
      </w:r>
      <w:r>
        <w:rPr>
          <w:rFonts w:cs="Times New Roman"/>
        </w:rPr>
        <w:t xml:space="preserve">. </w:t>
      </w:r>
      <w:r>
        <w:rPr>
          <w:rFonts w:cs="Times New Roman"/>
          <w:bCs/>
        </w:rPr>
        <w:t>For each</w:t>
      </w:r>
      <w:r w:rsidR="00AB08E1">
        <w:rPr>
          <w:rFonts w:cs="Times New Roman"/>
          <w:bCs/>
        </w:rPr>
        <w:t>,</w:t>
      </w:r>
      <w:r>
        <w:rPr>
          <w:rFonts w:cs="Times New Roman"/>
          <w:bCs/>
        </w:rPr>
        <w:t xml:space="preserve"> </w:t>
      </w:r>
      <w:r w:rsidRPr="0061533E">
        <w:rPr>
          <w:rFonts w:cs="Times New Roman"/>
        </w:rPr>
        <w:t xml:space="preserve">we evaluated S-map </w:t>
      </w:r>
      <w:r>
        <w:rPr>
          <w:rFonts w:cs="Times New Roman"/>
        </w:rPr>
        <w:t xml:space="preserve">skill (predictability, </w:t>
      </w:r>
      <m:oMath>
        <m:r>
          <w:rPr>
            <w:rFonts w:ascii="Cambria Math" w:hAnsi="Cambria Math" w:cs="Times New Roman"/>
          </w:rPr>
          <m:t>ρ</m:t>
        </m:r>
      </m:oMath>
      <w:r>
        <w:rPr>
          <w:rFonts w:cs="Times New Roman"/>
        </w:rPr>
        <w:t xml:space="preserve">) </w:t>
      </w:r>
      <w:r w:rsidRPr="0061533E">
        <w:rPr>
          <w:rFonts w:cs="Times New Roman"/>
        </w:rPr>
        <w:t xml:space="preserve">for various </w:t>
      </w:r>
      <w:r w:rsidR="005A47F8">
        <w:rPr>
          <w:rFonts w:cs="Times New Roman"/>
        </w:rPr>
        <w:t xml:space="preserve">combinations of </w:t>
      </w:r>
      <w:r w:rsidRPr="0061533E">
        <w:rPr>
          <w:rFonts w:cs="Times New Roman"/>
        </w:rPr>
        <w:t xml:space="preserve">embedding dimensions </w:t>
      </w:r>
      <w:r w:rsidRPr="0061533E">
        <w:rPr>
          <w:rFonts w:cs="Times New Roman"/>
          <w:i/>
        </w:rPr>
        <w:t>E</w:t>
      </w:r>
      <w:r w:rsidRPr="0061533E">
        <w:rPr>
          <w:rFonts w:cs="Times New Roman"/>
        </w:rPr>
        <w:t xml:space="preserve"> (1 to 12) and time lags </w:t>
      </w:r>
      <m:oMath>
        <m:r>
          <w:rPr>
            <w:rFonts w:ascii="Cambria Math" w:hAnsi="Cambria Math" w:cs="Times New Roman"/>
          </w:rPr>
          <m:t>τ</m:t>
        </m:r>
      </m:oMath>
      <w:r w:rsidRPr="0061533E">
        <w:rPr>
          <w:rFonts w:cs="Times New Roman"/>
        </w:rPr>
        <w:t xml:space="preserve"> (1 to 12)</w:t>
      </w:r>
      <w:r w:rsidR="00AB08E1">
        <w:rPr>
          <w:rFonts w:cs="Times New Roman"/>
        </w:rPr>
        <w:t xml:space="preserve"> and obtained the </w:t>
      </w:r>
      <w:r w:rsidR="00AB08E1" w:rsidRPr="007C54E4">
        <w:rPr>
          <w:rFonts w:cs="Times New Roman"/>
          <w:bCs/>
        </w:rPr>
        <w:t xml:space="preserve">highest </w:t>
      </w:r>
      <m:oMath>
        <m:r>
          <w:rPr>
            <w:rFonts w:ascii="Cambria Math" w:hAnsi="Cambria Math" w:cs="Times New Roman"/>
          </w:rPr>
          <m:t>ρ</m:t>
        </m:r>
      </m:oMath>
      <w:r w:rsidR="00AB08E1" w:rsidRPr="007C54E4">
        <w:rPr>
          <w:rFonts w:cs="Times New Roman"/>
          <w:bCs/>
        </w:rPr>
        <w:t xml:space="preserve"> (</w:t>
      </w:r>
      <m:oMath>
        <m:sSub>
          <m:sSubPr>
            <m:ctrlPr>
              <w:rPr>
                <w:rFonts w:ascii="Cambria Math" w:hAnsi="Cambria Math" w:cs="Times New Roman"/>
                <w:bCs/>
                <w:i/>
              </w:rPr>
            </m:ctrlPr>
          </m:sSubPr>
          <m:e>
            <m:r>
              <w:rPr>
                <w:rFonts w:ascii="Cambria Math" w:hAnsi="Cambria Math" w:cs="Times New Roman"/>
              </w:rPr>
              <m:t>ρ</m:t>
            </m:r>
          </m:e>
          <m:sub>
            <m:r>
              <w:rPr>
                <w:rFonts w:ascii="Cambria Math" w:hAnsi="Cambria Math" w:cs="Times New Roman"/>
              </w:rPr>
              <m:t>max</m:t>
            </m:r>
          </m:sub>
        </m:sSub>
      </m:oMath>
      <w:r w:rsidR="00AB08E1" w:rsidRPr="007C54E4">
        <w:rPr>
          <w:rFonts w:cs="Times New Roman"/>
          <w:bCs/>
        </w:rPr>
        <w:t>)</w:t>
      </w:r>
      <w:r>
        <w:rPr>
          <w:rFonts w:cs="Times New Roman"/>
          <w:bCs/>
        </w:rPr>
        <w:t xml:space="preserve">. </w:t>
      </w:r>
      <w:r w:rsidR="005A47F8">
        <w:rPr>
          <w:rFonts w:cs="Times New Roman"/>
          <w:bCs/>
        </w:rPr>
        <w:t>The optimal window size (</w:t>
      </w:r>
      <w:r w:rsidR="005A47F8" w:rsidRPr="00E62EBD">
        <w:rPr>
          <w:rFonts w:cs="Times New Roman"/>
          <w:bCs/>
          <w:i/>
          <w:iCs/>
        </w:rPr>
        <w:t>w</w:t>
      </w:r>
      <w:r w:rsidR="005A47F8">
        <w:rPr>
          <w:rFonts w:cs="Times New Roman"/>
          <w:bCs/>
        </w:rPr>
        <w:t xml:space="preserve">) close to the plateau </w:t>
      </w:r>
      <w:r w:rsidR="00350E21">
        <w:rPr>
          <w:rFonts w:cs="Times New Roman"/>
          <w:bCs/>
        </w:rPr>
        <w:t>wa</w:t>
      </w:r>
      <w:r w:rsidR="005A47F8">
        <w:rPr>
          <w:rFonts w:cs="Times New Roman"/>
          <w:bCs/>
        </w:rPr>
        <w:t>s determined visually</w:t>
      </w:r>
      <w:r w:rsidR="00B52ADC">
        <w:rPr>
          <w:rFonts w:cs="Times New Roman"/>
          <w:bCs/>
        </w:rPr>
        <w:t xml:space="preserve"> (</w:t>
      </w:r>
      <w:r w:rsidR="00B52ADC" w:rsidRPr="00CD5E10">
        <w:rPr>
          <w:rFonts w:cs="Times New Roman"/>
          <w:bCs/>
        </w:rPr>
        <w:t>a</w:t>
      </w:r>
      <w:r w:rsidR="00B52ADC">
        <w:rPr>
          <w:rFonts w:cs="Times New Roman"/>
          <w:bCs/>
        </w:rPr>
        <w:t>)</w:t>
      </w:r>
      <w:r w:rsidR="005A47F8">
        <w:rPr>
          <w:rFonts w:cs="Times New Roman"/>
          <w:bCs/>
        </w:rPr>
        <w:t xml:space="preserve">, beyond which increasing the window size lead to very minor improvement of predictability. </w:t>
      </w:r>
      <w:r w:rsidR="00EB39C1">
        <w:rPr>
          <w:rFonts w:cs="Times New Roman"/>
          <w:bCs/>
        </w:rPr>
        <w:t xml:space="preserve">The best </w:t>
      </w:r>
      <w:r w:rsidR="00EB39C1" w:rsidRPr="00E62EBD">
        <w:rPr>
          <w:rFonts w:cs="Times New Roman"/>
          <w:bCs/>
          <w:i/>
          <w:iCs/>
        </w:rPr>
        <w:t>E</w:t>
      </w:r>
      <w:r w:rsidR="00EB39C1">
        <w:rPr>
          <w:rFonts w:cs="Times New Roman"/>
          <w:bCs/>
        </w:rPr>
        <w:t xml:space="preserve"> and </w:t>
      </w:r>
      <m:oMath>
        <m:r>
          <w:rPr>
            <w:rFonts w:ascii="Cambria Math" w:hAnsi="Cambria Math" w:cs="Times New Roman"/>
          </w:rPr>
          <m:t>τ</m:t>
        </m:r>
      </m:oMath>
      <w:r w:rsidR="00EB39C1">
        <w:rPr>
          <w:rFonts w:cs="Times New Roman"/>
        </w:rPr>
        <w:t xml:space="preserve"> </w:t>
      </w:r>
      <w:r w:rsidR="00EB39C1">
        <w:t xml:space="preserve">associated with the optimal window size resulting in best </w:t>
      </w:r>
      <m:oMath>
        <m:r>
          <w:rPr>
            <w:rFonts w:ascii="Cambria Math" w:hAnsi="Cambria Math" w:cs="Times New Roman"/>
          </w:rPr>
          <m:t>ρ</m:t>
        </m:r>
      </m:oMath>
      <w:r w:rsidR="00071162">
        <w:t xml:space="preserve"> </w:t>
      </w:r>
      <w:r w:rsidR="00350E21">
        <w:t xml:space="preserve">were </w:t>
      </w:r>
      <w:r w:rsidR="00EB39C1">
        <w:t>used throughout the analysis. We then slid the window forward in time</w:t>
      </w:r>
      <w:r w:rsidR="00B52ADC">
        <w:t xml:space="preserve"> (</w:t>
      </w:r>
      <w:r w:rsidR="00B52ADC" w:rsidRPr="00CD5E10">
        <w:t>b</w:t>
      </w:r>
      <w:r w:rsidR="00B52ADC">
        <w:t>)</w:t>
      </w:r>
      <w:r w:rsidR="00EB39C1">
        <w:t>, and calculate</w:t>
      </w:r>
      <w:r w:rsidR="00350E21">
        <w:t>d</w:t>
      </w:r>
      <w:r w:rsidR="00EB39C1">
        <w:t xml:space="preserve"> and visualize</w:t>
      </w:r>
      <w:r w:rsidR="00350E21">
        <w:t>d</w:t>
      </w:r>
      <w:r w:rsidR="00EB39C1">
        <w:t xml:space="preserve"> DEV</w:t>
      </w:r>
      <w:r w:rsidR="00B52ADC">
        <w:t xml:space="preserve"> (</w:t>
      </w:r>
      <w:r w:rsidR="00B52ADC" w:rsidRPr="00CD5E10">
        <w:t>c</w:t>
      </w:r>
      <w:r w:rsidR="00B52ADC" w:rsidRPr="00B35EC3">
        <w:t xml:space="preserve"> &amp; </w:t>
      </w:r>
      <w:r w:rsidR="00B52ADC" w:rsidRPr="00CD5E10">
        <w:t>d</w:t>
      </w:r>
      <w:r w:rsidR="00B52ADC">
        <w:t>)</w:t>
      </w:r>
      <w:r w:rsidR="00EB39C1">
        <w:t>.</w:t>
      </w:r>
      <w:r w:rsidR="00AB2BEA">
        <w:t xml:space="preserve"> Then, sensitivity analysis for </w:t>
      </w:r>
      <w:r w:rsidR="00350E21">
        <w:t xml:space="preserve">various </w:t>
      </w:r>
      <w:r w:rsidR="00AB2BEA" w:rsidRPr="0061533E">
        <w:rPr>
          <w:rFonts w:cs="Times New Roman"/>
          <w:i/>
        </w:rPr>
        <w:t>E</w:t>
      </w:r>
      <w:r w:rsidR="00AB2BEA">
        <w:rPr>
          <w:rFonts w:cs="Times New Roman"/>
          <w:i/>
        </w:rPr>
        <w:t xml:space="preserve">, </w:t>
      </w:r>
      <m:oMath>
        <m:r>
          <w:rPr>
            <w:rFonts w:ascii="Cambria Math" w:hAnsi="Cambria Math" w:cs="Times New Roman"/>
          </w:rPr>
          <m:t>τ</m:t>
        </m:r>
      </m:oMath>
      <w:r w:rsidR="00AB2BEA">
        <w:rPr>
          <w:rFonts w:cs="Times New Roman"/>
          <w:i/>
        </w:rPr>
        <w:t xml:space="preserve">, </w:t>
      </w:r>
      <w:r w:rsidR="00AB2BEA" w:rsidRPr="00E62EBD">
        <w:rPr>
          <w:rFonts w:cs="Times New Roman"/>
          <w:iCs/>
        </w:rPr>
        <w:t>and</w:t>
      </w:r>
      <w:r w:rsidR="00AB2BEA">
        <w:rPr>
          <w:rFonts w:cs="Times New Roman"/>
          <w:i/>
        </w:rPr>
        <w:t xml:space="preserve"> w </w:t>
      </w:r>
      <w:r w:rsidR="00AB2BEA" w:rsidRPr="00E62EBD">
        <w:rPr>
          <w:rFonts w:cs="Times New Roman"/>
          <w:iCs/>
        </w:rPr>
        <w:t>should be</w:t>
      </w:r>
      <w:r w:rsidR="00AB2BEA">
        <w:rPr>
          <w:rFonts w:cs="Times New Roman"/>
          <w:iCs/>
        </w:rPr>
        <w:t xml:space="preserve"> </w:t>
      </w:r>
      <w:r w:rsidR="00350E21">
        <w:rPr>
          <w:rFonts w:cs="Times New Roman"/>
          <w:iCs/>
        </w:rPr>
        <w:t xml:space="preserve">conducted </w:t>
      </w:r>
      <w:r w:rsidR="00AB2BEA">
        <w:rPr>
          <w:rFonts w:cs="Times New Roman"/>
          <w:iCs/>
        </w:rPr>
        <w:t xml:space="preserve">to ensure </w:t>
      </w:r>
      <w:r w:rsidR="00350E21">
        <w:rPr>
          <w:rFonts w:cs="Times New Roman"/>
          <w:iCs/>
        </w:rPr>
        <w:t xml:space="preserve">that results are </w:t>
      </w:r>
      <w:r w:rsidR="00AB2BEA">
        <w:rPr>
          <w:rFonts w:cs="Times New Roman"/>
          <w:iCs/>
        </w:rPr>
        <w:t>robust.</w:t>
      </w:r>
    </w:p>
    <w:p w14:paraId="60CFFF44" w14:textId="77777777" w:rsidR="00216732" w:rsidRDefault="00216732" w:rsidP="003E2E37">
      <w:pPr>
        <w:widowControl/>
        <w:spacing w:line="360" w:lineRule="auto"/>
        <w:ind w:firstLine="0"/>
        <w:rPr>
          <w:rFonts w:cs="Times New Roman"/>
          <w:b/>
        </w:rPr>
      </w:pPr>
    </w:p>
    <w:p w14:paraId="0BE4C733" w14:textId="77777777" w:rsidR="00794F9B" w:rsidRDefault="00794F9B" w:rsidP="003E2E37">
      <w:pPr>
        <w:widowControl/>
        <w:spacing w:line="240" w:lineRule="auto"/>
        <w:ind w:firstLine="0"/>
        <w:rPr>
          <w:rFonts w:cs="Times New Roman"/>
          <w:bCs/>
        </w:rPr>
      </w:pPr>
      <w:r>
        <w:rPr>
          <w:rFonts w:cs="Times New Roman"/>
          <w:bCs/>
        </w:rPr>
        <w:br w:type="page"/>
      </w:r>
    </w:p>
    <w:p w14:paraId="11535058" w14:textId="4F28DE95" w:rsidR="00C00916" w:rsidRPr="00BF3398" w:rsidRDefault="00D31C7F" w:rsidP="003E2E37">
      <w:pPr>
        <w:spacing w:line="360" w:lineRule="auto"/>
        <w:ind w:firstLine="0"/>
        <w:contextualSpacing/>
        <w:mirrorIndents/>
        <w:rPr>
          <w:rFonts w:cs="Times New Roman"/>
        </w:rPr>
      </w:pPr>
      <w:r>
        <w:rPr>
          <w:rFonts w:cs="Times New Roman"/>
          <w:noProof/>
        </w:rPr>
        <w:lastRenderedPageBreak/>
        <w:drawing>
          <wp:inline distT="0" distB="0" distL="0" distR="0" wp14:anchorId="2B27323C" wp14:editId="3A0F1351">
            <wp:extent cx="5490210" cy="1464310"/>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oy_meir_ode.tif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90210" cy="1464310"/>
                    </a:xfrm>
                    <a:prstGeom prst="rect">
                      <a:avLst/>
                    </a:prstGeom>
                  </pic:spPr>
                </pic:pic>
              </a:graphicData>
            </a:graphic>
          </wp:inline>
        </w:drawing>
      </w:r>
    </w:p>
    <w:p w14:paraId="489AF519" w14:textId="70486A14" w:rsidR="007842E0" w:rsidRPr="00CD5E10" w:rsidRDefault="00C00916" w:rsidP="003E2E37">
      <w:pPr>
        <w:pStyle w:val="CommentText"/>
        <w:ind w:firstLine="0"/>
        <w:rPr>
          <w:rFonts w:cs="Times New Roman"/>
          <w:bCs/>
          <w:sz w:val="24"/>
          <w:szCs w:val="24"/>
        </w:rPr>
      </w:pPr>
      <w:r w:rsidRPr="00CD5E10">
        <w:rPr>
          <w:rFonts w:cs="Times New Roman"/>
          <w:b/>
          <w:sz w:val="24"/>
          <w:szCs w:val="24"/>
        </w:rPr>
        <w:t>Figure S</w:t>
      </w:r>
      <w:r w:rsidR="00EF2902" w:rsidRPr="00CD5E10">
        <w:rPr>
          <w:rFonts w:cs="Times New Roman"/>
          <w:b/>
          <w:sz w:val="24"/>
          <w:szCs w:val="24"/>
        </w:rPr>
        <w:t>3</w:t>
      </w:r>
      <w:r w:rsidR="00A87D42" w:rsidRPr="00CD5E10">
        <w:rPr>
          <w:rFonts w:cs="Times New Roman"/>
          <w:b/>
          <w:sz w:val="24"/>
          <w:szCs w:val="24"/>
        </w:rPr>
        <w:t>.</w:t>
      </w:r>
      <w:r w:rsidRPr="00CD5E10">
        <w:rPr>
          <w:rFonts w:cs="Times New Roman"/>
          <w:b/>
          <w:sz w:val="24"/>
          <w:szCs w:val="24"/>
        </w:rPr>
        <w:t xml:space="preserve"> Demonstration of efficacy of the DEV as early warning signal for the continuous Noy-Meir model (ordinary differential equation). </w:t>
      </w:r>
      <w:r w:rsidRPr="00CD5E10">
        <w:rPr>
          <w:rFonts w:cs="Times New Roman"/>
          <w:bCs/>
          <w:sz w:val="24"/>
          <w:szCs w:val="24"/>
        </w:rPr>
        <w:t>(a) Exemplary time series of the continuous Noy-Meir model. (b) Time series of |DEV| for the model. The continuous Noy-Meir model displays the pattern that |DEV| increases over time and reaches 1 at the bifurcation point. (c) DEV of the model in the complex plane. The DEV move</w:t>
      </w:r>
      <w:r w:rsidR="00B82605" w:rsidRPr="00CD5E10">
        <w:rPr>
          <w:rFonts w:cs="Times New Roman"/>
          <w:bCs/>
          <w:sz w:val="24"/>
          <w:szCs w:val="24"/>
        </w:rPr>
        <w:t>s</w:t>
      </w:r>
      <w:r w:rsidRPr="00CD5E10">
        <w:rPr>
          <w:rFonts w:cs="Times New Roman"/>
          <w:bCs/>
          <w:sz w:val="24"/>
          <w:szCs w:val="24"/>
        </w:rPr>
        <w:t xml:space="preserve"> from interior of the unit circle toward the border through time, signaling critical transition. Results of the continuous model behave</w:t>
      </w:r>
      <w:r w:rsidR="00277194">
        <w:rPr>
          <w:rFonts w:cs="Times New Roman"/>
          <w:bCs/>
          <w:sz w:val="24"/>
          <w:szCs w:val="24"/>
        </w:rPr>
        <w:t>d</w:t>
      </w:r>
      <w:r w:rsidRPr="00CD5E10">
        <w:rPr>
          <w:rFonts w:cs="Times New Roman"/>
          <w:bCs/>
          <w:sz w:val="24"/>
          <w:szCs w:val="24"/>
        </w:rPr>
        <w:t xml:space="preserve"> consistently as the discrete model.</w:t>
      </w:r>
      <w:r w:rsidR="00BE7E7B" w:rsidRPr="00CD5E10">
        <w:rPr>
          <w:rFonts w:cs="Times New Roman"/>
          <w:bCs/>
          <w:sz w:val="24"/>
          <w:szCs w:val="24"/>
        </w:rPr>
        <w:t xml:space="preserve"> The color gradients from light to dark present time progression from initial time to the time right before critical transitions.</w:t>
      </w:r>
      <w:r w:rsidR="007842E0" w:rsidRPr="00CD5E10">
        <w:rPr>
          <w:rFonts w:cs="Times New Roman"/>
          <w:bCs/>
          <w:sz w:val="24"/>
          <w:szCs w:val="24"/>
        </w:rPr>
        <w:t xml:space="preserve"> </w:t>
      </w:r>
      <w:r w:rsidR="002072A0">
        <w:rPr>
          <w:rFonts w:cs="Times New Roman"/>
          <w:bCs/>
          <w:sz w:val="24"/>
          <w:szCs w:val="24"/>
        </w:rPr>
        <w:t>The c</w:t>
      </w:r>
      <w:r w:rsidR="007842E0" w:rsidRPr="00CD5E10">
        <w:rPr>
          <w:rFonts w:cs="Times New Roman"/>
          <w:bCs/>
          <w:sz w:val="24"/>
          <w:szCs w:val="24"/>
        </w:rPr>
        <w:t xml:space="preserve">ontinuous-time model </w:t>
      </w:r>
      <w:r w:rsidR="003178AC">
        <w:rPr>
          <w:rFonts w:cs="Times New Roman"/>
          <w:bCs/>
          <w:sz w:val="24"/>
          <w:szCs w:val="24"/>
        </w:rPr>
        <w:t>is</w:t>
      </w:r>
      <w:r w:rsidR="007842E0" w:rsidRPr="00CD5E10">
        <w:rPr>
          <w:rFonts w:cs="Times New Roman"/>
          <w:bCs/>
          <w:sz w:val="24"/>
          <w:szCs w:val="24"/>
        </w:rPr>
        <w:t xml:space="preserve"> </w:t>
      </w:r>
      <w:r w:rsidR="002072A0">
        <w:rPr>
          <w:rFonts w:cs="Times New Roman"/>
          <w:bCs/>
          <w:sz w:val="24"/>
          <w:szCs w:val="24"/>
        </w:rPr>
        <w:t>solved</w:t>
      </w:r>
      <w:r w:rsidR="007842E0" w:rsidRPr="00CD5E10">
        <w:rPr>
          <w:rFonts w:cs="Times New Roman"/>
          <w:bCs/>
          <w:sz w:val="24"/>
          <w:szCs w:val="24"/>
        </w:rPr>
        <w:t xml:space="preserve"> numerically </w:t>
      </w:r>
      <w:r w:rsidR="002072A0">
        <w:rPr>
          <w:rFonts w:cs="Times New Roman"/>
          <w:bCs/>
          <w:sz w:val="24"/>
          <w:szCs w:val="24"/>
        </w:rPr>
        <w:t xml:space="preserve">using the </w:t>
      </w:r>
      <w:r w:rsidR="007842E0" w:rsidRPr="00CD5E10">
        <w:rPr>
          <w:rFonts w:cs="Times New Roman"/>
          <w:bCs/>
          <w:sz w:val="24"/>
          <w:szCs w:val="24"/>
        </w:rPr>
        <w:t>Runge-Kutta-method</w:t>
      </w:r>
      <w:r w:rsidR="003178AC">
        <w:rPr>
          <w:rFonts w:cs="Times New Roman"/>
          <w:bCs/>
          <w:sz w:val="24"/>
          <w:szCs w:val="24"/>
        </w:rPr>
        <w:t>,</w:t>
      </w:r>
      <w:r w:rsidR="002072A0">
        <w:rPr>
          <w:rFonts w:cs="Times New Roman"/>
          <w:bCs/>
          <w:sz w:val="24"/>
          <w:szCs w:val="24"/>
        </w:rPr>
        <w:t xml:space="preserve"> and thus</w:t>
      </w:r>
      <w:r w:rsidR="007842E0" w:rsidRPr="00CD5E10">
        <w:rPr>
          <w:rFonts w:cs="Times New Roman"/>
          <w:bCs/>
          <w:sz w:val="24"/>
          <w:szCs w:val="24"/>
        </w:rPr>
        <w:t xml:space="preserve"> the resulting time series is discrete</w:t>
      </w:r>
      <w:r w:rsidR="002072A0">
        <w:rPr>
          <w:rFonts w:cs="Times New Roman"/>
          <w:bCs/>
          <w:sz w:val="24"/>
          <w:szCs w:val="24"/>
        </w:rPr>
        <w:t xml:space="preserve"> (even with very small integration time step).</w:t>
      </w:r>
    </w:p>
    <w:p w14:paraId="201E5F4C" w14:textId="7BB9AD19" w:rsidR="00110152" w:rsidRPr="00CD5E10" w:rsidRDefault="00110152" w:rsidP="003E2E37">
      <w:pPr>
        <w:spacing w:line="360" w:lineRule="auto"/>
        <w:ind w:firstLine="0"/>
        <w:contextualSpacing/>
        <w:mirrorIndents/>
        <w:rPr>
          <w:rFonts w:cs="Times New Roman"/>
          <w:b/>
        </w:rPr>
      </w:pPr>
    </w:p>
    <w:p w14:paraId="0CF0C741" w14:textId="77777777" w:rsidR="00110152" w:rsidRDefault="00110152" w:rsidP="003E2E37">
      <w:pPr>
        <w:widowControl/>
        <w:spacing w:line="240" w:lineRule="auto"/>
        <w:ind w:firstLine="0"/>
        <w:rPr>
          <w:rFonts w:cs="Times New Roman"/>
          <w:bCs/>
        </w:rPr>
      </w:pPr>
      <w:r>
        <w:rPr>
          <w:rFonts w:cs="Times New Roman"/>
          <w:bCs/>
        </w:rPr>
        <w:br w:type="page"/>
      </w:r>
    </w:p>
    <w:p w14:paraId="77B19E94" w14:textId="08E08540" w:rsidR="00BF3398" w:rsidRPr="00BF3398" w:rsidRDefault="00B536E6" w:rsidP="003E2E37">
      <w:pPr>
        <w:spacing w:line="360" w:lineRule="auto"/>
        <w:ind w:firstLine="0"/>
        <w:contextualSpacing/>
        <w:mirrorIndents/>
        <w:rPr>
          <w:rFonts w:cs="Times New Roman"/>
        </w:rPr>
      </w:pPr>
      <w:r>
        <w:rPr>
          <w:noProof/>
        </w:rPr>
        <w:lastRenderedPageBreak/>
        <w:drawing>
          <wp:inline distT="0" distB="0" distL="0" distR="0" wp14:anchorId="34572C6B" wp14:editId="5E21DEF6">
            <wp:extent cx="4069251" cy="3240000"/>
            <wp:effectExtent l="0" t="0" r="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69251" cy="3240000"/>
                    </a:xfrm>
                    <a:prstGeom prst="rect">
                      <a:avLst/>
                    </a:prstGeom>
                    <a:noFill/>
                    <a:ln>
                      <a:noFill/>
                    </a:ln>
                  </pic:spPr>
                </pic:pic>
              </a:graphicData>
            </a:graphic>
          </wp:inline>
        </w:drawing>
      </w:r>
    </w:p>
    <w:p w14:paraId="741D8880" w14:textId="1051C9B7" w:rsidR="00BF3398" w:rsidRPr="00BF3398" w:rsidRDefault="00BF3398" w:rsidP="003E2E37">
      <w:pPr>
        <w:spacing w:line="360" w:lineRule="auto"/>
        <w:ind w:firstLine="0"/>
        <w:contextualSpacing/>
        <w:mirrorIndents/>
        <w:rPr>
          <w:rFonts w:cs="Times New Roman"/>
        </w:rPr>
      </w:pPr>
      <w:r w:rsidRPr="00BF3398">
        <w:rPr>
          <w:rFonts w:cs="Times New Roman"/>
          <w:b/>
        </w:rPr>
        <w:t>Figure S</w:t>
      </w:r>
      <w:r w:rsidR="00EF2902">
        <w:rPr>
          <w:rFonts w:cs="Times New Roman"/>
          <w:b/>
        </w:rPr>
        <w:t>4</w:t>
      </w:r>
      <w:r w:rsidRPr="00BF3398">
        <w:rPr>
          <w:rFonts w:cs="Times New Roman"/>
          <w:b/>
        </w:rPr>
        <w:t xml:space="preserve">. DEV as quantitative and qualitative early warning signal in the presence of noise in comparison to variance and AR1 for Noy-Meir model. </w:t>
      </w:r>
      <w:r w:rsidRPr="00BF3398">
        <w:rPr>
          <w:rFonts w:cs="Times New Roman"/>
        </w:rPr>
        <w:t xml:space="preserve">(a) DEV prior to the bifurcation point as a function of process noise and observation error. |DEV| reaches values close to 1 prior to bifurcation if noise levels are low or intermediate. As the true dominant </w:t>
      </w:r>
      <w:r w:rsidR="00072440">
        <w:rPr>
          <w:rFonts w:cs="Times New Roman"/>
        </w:rPr>
        <w:t>eigen-value</w:t>
      </w:r>
      <w:r w:rsidRPr="00BF3398">
        <w:rPr>
          <w:rFonts w:cs="Times New Roman"/>
        </w:rPr>
        <w:t xml:space="preserve"> is 1 at the bifurcation point, the</w:t>
      </w:r>
      <w:r w:rsidR="008A625A">
        <w:rPr>
          <w:rFonts w:cs="Times New Roman"/>
        </w:rPr>
        <w:t>se</w:t>
      </w:r>
      <w:r w:rsidRPr="00BF3398">
        <w:rPr>
          <w:rFonts w:cs="Times New Roman"/>
        </w:rPr>
        <w:t xml:space="preserve"> results indicate</w:t>
      </w:r>
      <w:r w:rsidR="008A625A">
        <w:rPr>
          <w:rFonts w:cs="Times New Roman"/>
        </w:rPr>
        <w:t>d</w:t>
      </w:r>
      <w:r w:rsidRPr="00BF3398">
        <w:rPr>
          <w:rFonts w:cs="Times New Roman"/>
        </w:rPr>
        <w:t xml:space="preserve"> that |DEV| is a </w:t>
      </w:r>
      <w:r w:rsidRPr="00BF3398">
        <w:rPr>
          <w:rFonts w:cs="Times New Roman"/>
          <w:i/>
        </w:rPr>
        <w:t>quantitative</w:t>
      </w:r>
      <w:r w:rsidRPr="00BF3398">
        <w:rPr>
          <w:rFonts w:cs="Times New Roman"/>
        </w:rPr>
        <w:t xml:space="preserve"> early warning signal </w:t>
      </w:r>
      <w:r w:rsidR="00D12A1F">
        <w:rPr>
          <w:rFonts w:cs="Times New Roman"/>
        </w:rPr>
        <w:t>under</w:t>
      </w:r>
      <w:r w:rsidR="00D12A1F" w:rsidRPr="00BF3398">
        <w:rPr>
          <w:rFonts w:cs="Times New Roman"/>
        </w:rPr>
        <w:t xml:space="preserve"> </w:t>
      </w:r>
      <w:r w:rsidRPr="00BF3398">
        <w:rPr>
          <w:rFonts w:cs="Times New Roman"/>
        </w:rPr>
        <w:t xml:space="preserve">low to intermediate levels of noise. The quantitative predictability </w:t>
      </w:r>
      <w:r w:rsidR="008A625A">
        <w:rPr>
          <w:rFonts w:cs="Times New Roman"/>
        </w:rPr>
        <w:t>wa</w:t>
      </w:r>
      <w:r w:rsidR="008A625A" w:rsidRPr="00BF3398">
        <w:rPr>
          <w:rFonts w:cs="Times New Roman"/>
        </w:rPr>
        <w:t xml:space="preserve">s </w:t>
      </w:r>
      <w:r w:rsidRPr="00BF3398">
        <w:rPr>
          <w:rFonts w:cs="Times New Roman"/>
        </w:rPr>
        <w:t>lost for high noise levels. (b) Difference in the |DEV| (∆|DEV|=|DEV|</w:t>
      </w:r>
      <w:r w:rsidRPr="00BF3398">
        <w:rPr>
          <w:rFonts w:cs="Times New Roman"/>
          <w:vertAlign w:val="subscript"/>
        </w:rPr>
        <w:t>@bifurcation</w:t>
      </w:r>
      <w:r w:rsidRPr="00BF3398">
        <w:rPr>
          <w:rFonts w:cs="Times New Roman"/>
        </w:rPr>
        <w:t>-|DEV|</w:t>
      </w:r>
      <w:r w:rsidRPr="00BF3398">
        <w:rPr>
          <w:rFonts w:cs="Times New Roman"/>
          <w:vertAlign w:val="subscript"/>
        </w:rPr>
        <w:t>@beginning of time series</w:t>
      </w:r>
      <w:r w:rsidRPr="00BF3398">
        <w:rPr>
          <w:rFonts w:cs="Times New Roman"/>
        </w:rPr>
        <w:t xml:space="preserve">) is positive for all analyzed noise combinations. Consistent with the expectation that dominant </w:t>
      </w:r>
      <w:r w:rsidR="00072440">
        <w:rPr>
          <w:rFonts w:cs="Times New Roman"/>
        </w:rPr>
        <w:t>eigen-value</w:t>
      </w:r>
      <w:r w:rsidRPr="00BF3398">
        <w:rPr>
          <w:rFonts w:cs="Times New Roman"/>
        </w:rPr>
        <w:t xml:space="preserve"> </w:t>
      </w:r>
      <w:r w:rsidR="008A625A" w:rsidRPr="00BF3398">
        <w:rPr>
          <w:rFonts w:cs="Times New Roman"/>
        </w:rPr>
        <w:t>increase</w:t>
      </w:r>
      <w:r w:rsidR="008A625A">
        <w:rPr>
          <w:rFonts w:cs="Times New Roman"/>
        </w:rPr>
        <w:t>d</w:t>
      </w:r>
      <w:r w:rsidR="008A625A" w:rsidRPr="00BF3398">
        <w:rPr>
          <w:rFonts w:cs="Times New Roman"/>
        </w:rPr>
        <w:t xml:space="preserve"> </w:t>
      </w:r>
      <w:r w:rsidRPr="00BF3398">
        <w:rPr>
          <w:rFonts w:cs="Times New Roman"/>
        </w:rPr>
        <w:t>prior to bifurcation, results indicate</w:t>
      </w:r>
      <w:r w:rsidR="008A625A">
        <w:rPr>
          <w:rFonts w:cs="Times New Roman"/>
        </w:rPr>
        <w:t>d</w:t>
      </w:r>
      <w:r w:rsidRPr="00BF3398">
        <w:rPr>
          <w:rFonts w:cs="Times New Roman"/>
        </w:rPr>
        <w:t xml:space="preserve"> that DEV is a robust </w:t>
      </w:r>
      <w:r w:rsidRPr="00BF3398">
        <w:rPr>
          <w:rFonts w:cs="Times New Roman"/>
          <w:i/>
        </w:rPr>
        <w:t>qualitative</w:t>
      </w:r>
      <w:r w:rsidRPr="00BF3398">
        <w:rPr>
          <w:rFonts w:cs="Times New Roman"/>
        </w:rPr>
        <w:t xml:space="preserve"> early warning signal that makes correct qualitative predictions even </w:t>
      </w:r>
      <w:r w:rsidR="00D12A1F">
        <w:rPr>
          <w:rFonts w:cs="Times New Roman"/>
        </w:rPr>
        <w:t>under</w:t>
      </w:r>
      <w:r w:rsidR="00D12A1F" w:rsidRPr="00BF3398">
        <w:rPr>
          <w:rFonts w:cs="Times New Roman"/>
        </w:rPr>
        <w:t xml:space="preserve"> </w:t>
      </w:r>
      <w:r w:rsidRPr="00BF3398">
        <w:rPr>
          <w:rFonts w:cs="Times New Roman"/>
        </w:rPr>
        <w:t>high levels of noise. (c-d) Autoregression as early warning signal. Difference in the AR1 (∆AR1=AR1</w:t>
      </w:r>
      <w:r w:rsidRPr="00BF3398">
        <w:rPr>
          <w:rFonts w:cs="Times New Roman"/>
          <w:vertAlign w:val="subscript"/>
        </w:rPr>
        <w:t>@bifurcation</w:t>
      </w:r>
      <w:r w:rsidRPr="00BF3398">
        <w:rPr>
          <w:rFonts w:cs="Times New Roman"/>
        </w:rPr>
        <w:t>-AR1</w:t>
      </w:r>
      <w:r w:rsidRPr="00BF3398">
        <w:rPr>
          <w:rFonts w:cs="Times New Roman"/>
          <w:vertAlign w:val="subscript"/>
        </w:rPr>
        <w:t>@beginning of time series</w:t>
      </w:r>
      <w:r w:rsidRPr="00BF3398">
        <w:rPr>
          <w:rFonts w:cs="Times New Roman"/>
        </w:rPr>
        <w:t xml:space="preserve">) </w:t>
      </w:r>
      <w:r w:rsidR="008A625A">
        <w:rPr>
          <w:rFonts w:cs="Times New Roman"/>
        </w:rPr>
        <w:t>wa</w:t>
      </w:r>
      <w:r w:rsidR="008A625A" w:rsidRPr="00BF3398">
        <w:rPr>
          <w:rFonts w:cs="Times New Roman"/>
        </w:rPr>
        <w:t xml:space="preserve">s </w:t>
      </w:r>
      <w:r w:rsidRPr="00BF3398">
        <w:rPr>
          <w:rFonts w:cs="Times New Roman"/>
        </w:rPr>
        <w:t>positive for all analyzed noise combinations. The</w:t>
      </w:r>
      <w:r w:rsidR="008A625A">
        <w:rPr>
          <w:rFonts w:cs="Times New Roman"/>
        </w:rPr>
        <w:t xml:space="preserve">refore, </w:t>
      </w:r>
      <w:r w:rsidRPr="00BF3398">
        <w:rPr>
          <w:rFonts w:cs="Times New Roman"/>
        </w:rPr>
        <w:t xml:space="preserve">AR1 is a robust early warning signal that makes correct predictions even </w:t>
      </w:r>
      <w:r w:rsidR="00B32071">
        <w:rPr>
          <w:rFonts w:cs="Times New Roman"/>
        </w:rPr>
        <w:t>under</w:t>
      </w:r>
      <w:r w:rsidR="00B32071" w:rsidRPr="00BF3398">
        <w:rPr>
          <w:rFonts w:cs="Times New Roman"/>
        </w:rPr>
        <w:t xml:space="preserve"> </w:t>
      </w:r>
      <w:r w:rsidRPr="00BF3398">
        <w:rPr>
          <w:rFonts w:cs="Times New Roman"/>
        </w:rPr>
        <w:t>high levels of noise. (e-f) Variance as early warning signal. Difference in the SD (∆SD|=SD</w:t>
      </w:r>
      <w:r w:rsidRPr="00BF3398">
        <w:rPr>
          <w:rFonts w:cs="Times New Roman"/>
          <w:vertAlign w:val="subscript"/>
        </w:rPr>
        <w:t>@bifurcation</w:t>
      </w:r>
      <w:r w:rsidRPr="00BF3398">
        <w:rPr>
          <w:rFonts w:cs="Times New Roman"/>
        </w:rPr>
        <w:t>-SD</w:t>
      </w:r>
      <w:r w:rsidRPr="00BF3398">
        <w:rPr>
          <w:rFonts w:cs="Times New Roman"/>
          <w:vertAlign w:val="subscript"/>
        </w:rPr>
        <w:t>@beginning of time series</w:t>
      </w:r>
      <w:r w:rsidRPr="00BF3398">
        <w:rPr>
          <w:rFonts w:cs="Times New Roman"/>
        </w:rPr>
        <w:t xml:space="preserve">) is 0 or negative; that is, when approaching bifurcation, SD actually declined. These results suggested that SD is not a robust early warning signal </w:t>
      </w:r>
      <w:r w:rsidR="00B32071">
        <w:rPr>
          <w:rFonts w:cs="Times New Roman"/>
        </w:rPr>
        <w:t>under</w:t>
      </w:r>
      <w:r w:rsidR="00B32071" w:rsidRPr="00BF3398">
        <w:rPr>
          <w:rFonts w:cs="Times New Roman"/>
        </w:rPr>
        <w:t xml:space="preserve"> </w:t>
      </w:r>
      <w:r w:rsidRPr="00BF3398">
        <w:rPr>
          <w:rFonts w:cs="Times New Roman"/>
        </w:rPr>
        <w:t>noisy data sets.</w:t>
      </w:r>
      <w:r w:rsidRPr="00BF3398">
        <w:rPr>
          <w:rFonts w:cs="Times New Roman"/>
        </w:rPr>
        <w:br w:type="page"/>
      </w:r>
    </w:p>
    <w:p w14:paraId="292A0092" w14:textId="5D32E56A" w:rsidR="00BF3398" w:rsidRPr="00BF3398" w:rsidRDefault="002B0B07" w:rsidP="003E2E37">
      <w:pPr>
        <w:spacing w:line="360" w:lineRule="auto"/>
        <w:ind w:firstLine="0"/>
        <w:contextualSpacing/>
        <w:mirrorIndents/>
        <w:rPr>
          <w:rFonts w:cs="Times New Roman"/>
        </w:rPr>
      </w:pPr>
      <w:r>
        <w:rPr>
          <w:noProof/>
        </w:rPr>
        <w:lastRenderedPageBreak/>
        <w:drawing>
          <wp:inline distT="0" distB="0" distL="0" distR="0" wp14:anchorId="398EC008" wp14:editId="5535EB0A">
            <wp:extent cx="3846804" cy="3240000"/>
            <wp:effectExtent l="0" t="0" r="1905"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46804" cy="3240000"/>
                    </a:xfrm>
                    <a:prstGeom prst="rect">
                      <a:avLst/>
                    </a:prstGeom>
                    <a:noFill/>
                    <a:ln>
                      <a:noFill/>
                    </a:ln>
                  </pic:spPr>
                </pic:pic>
              </a:graphicData>
            </a:graphic>
          </wp:inline>
        </w:drawing>
      </w:r>
    </w:p>
    <w:p w14:paraId="4B649A82" w14:textId="7838B28F" w:rsidR="00BF3398" w:rsidRPr="00BF3398" w:rsidRDefault="00BF3398" w:rsidP="003E2E37">
      <w:pPr>
        <w:spacing w:line="360" w:lineRule="auto"/>
        <w:ind w:firstLine="0"/>
        <w:contextualSpacing/>
        <w:mirrorIndents/>
        <w:rPr>
          <w:rFonts w:cs="Times New Roman"/>
        </w:rPr>
      </w:pPr>
      <w:r w:rsidRPr="00BF3398">
        <w:rPr>
          <w:rFonts w:cs="Times New Roman"/>
          <w:b/>
        </w:rPr>
        <w:t>Figure S</w:t>
      </w:r>
      <w:r w:rsidR="00EF2902">
        <w:rPr>
          <w:rFonts w:cs="Times New Roman"/>
          <w:b/>
        </w:rPr>
        <w:t>5</w:t>
      </w:r>
      <w:r w:rsidR="00A87D42">
        <w:rPr>
          <w:rFonts w:cs="Times New Roman"/>
          <w:b/>
        </w:rPr>
        <w:t>.</w:t>
      </w:r>
      <w:r w:rsidRPr="00BF3398">
        <w:rPr>
          <w:rFonts w:cs="Times New Roman"/>
          <w:b/>
        </w:rPr>
        <w:t xml:space="preserve"> DEV as quantitative and qualitative early warning signal in the presence of noise in comparison to variance and AR1 for Henon map.</w:t>
      </w:r>
      <w:r w:rsidRPr="00BF3398">
        <w:rPr>
          <w:rFonts w:cs="Times New Roman"/>
        </w:rPr>
        <w:t xml:space="preserve"> (a) DEV prior to the bifurcation point as a function of process noise and observation error. |DEV| </w:t>
      </w:r>
      <w:r w:rsidR="008A625A" w:rsidRPr="00BF3398">
        <w:rPr>
          <w:rFonts w:cs="Times New Roman"/>
        </w:rPr>
        <w:t>reache</w:t>
      </w:r>
      <w:r w:rsidR="008A625A">
        <w:rPr>
          <w:rFonts w:cs="Times New Roman"/>
        </w:rPr>
        <w:t>d</w:t>
      </w:r>
      <w:r w:rsidR="008A625A" w:rsidRPr="00BF3398">
        <w:rPr>
          <w:rFonts w:cs="Times New Roman"/>
        </w:rPr>
        <w:t xml:space="preserve"> </w:t>
      </w:r>
      <w:r w:rsidRPr="00BF3398">
        <w:rPr>
          <w:rFonts w:cs="Times New Roman"/>
        </w:rPr>
        <w:t xml:space="preserve">values close to 1 prior to bifurcation if noise levels </w:t>
      </w:r>
      <w:r w:rsidR="008A625A">
        <w:rPr>
          <w:rFonts w:cs="Times New Roman"/>
        </w:rPr>
        <w:t>we</w:t>
      </w:r>
      <w:r w:rsidR="008A625A" w:rsidRPr="00BF3398">
        <w:rPr>
          <w:rFonts w:cs="Times New Roman"/>
        </w:rPr>
        <w:t xml:space="preserve">re </w:t>
      </w:r>
      <w:r w:rsidRPr="00BF3398">
        <w:rPr>
          <w:rFonts w:cs="Times New Roman"/>
        </w:rPr>
        <w:t xml:space="preserve">low or intermediate. As the true dominant </w:t>
      </w:r>
      <w:r w:rsidR="00072440">
        <w:rPr>
          <w:rFonts w:cs="Times New Roman"/>
        </w:rPr>
        <w:t>eigen-value</w:t>
      </w:r>
      <w:r w:rsidRPr="00BF3398">
        <w:rPr>
          <w:rFonts w:cs="Times New Roman"/>
        </w:rPr>
        <w:t xml:space="preserve"> is 1 at the bifurcation point, results indicate</w:t>
      </w:r>
      <w:r w:rsidR="008A625A">
        <w:rPr>
          <w:rFonts w:cs="Times New Roman"/>
        </w:rPr>
        <w:t>d</w:t>
      </w:r>
      <w:r w:rsidRPr="00BF3398">
        <w:rPr>
          <w:rFonts w:cs="Times New Roman"/>
        </w:rPr>
        <w:t xml:space="preserve"> that DEV is a </w:t>
      </w:r>
      <w:r w:rsidRPr="00BF3398">
        <w:rPr>
          <w:rFonts w:cs="Times New Roman"/>
          <w:i/>
        </w:rPr>
        <w:t>quantitative</w:t>
      </w:r>
      <w:r w:rsidRPr="00BF3398">
        <w:rPr>
          <w:rFonts w:cs="Times New Roman"/>
        </w:rPr>
        <w:t xml:space="preserve"> early warning signal </w:t>
      </w:r>
      <w:r w:rsidR="00151FF3">
        <w:rPr>
          <w:rFonts w:cs="Times New Roman"/>
        </w:rPr>
        <w:t>under</w:t>
      </w:r>
      <w:r w:rsidR="00151FF3" w:rsidRPr="00BF3398">
        <w:rPr>
          <w:rFonts w:cs="Times New Roman"/>
        </w:rPr>
        <w:t xml:space="preserve"> </w:t>
      </w:r>
      <w:r w:rsidRPr="00BF3398">
        <w:rPr>
          <w:rFonts w:cs="Times New Roman"/>
        </w:rPr>
        <w:t xml:space="preserve">low to intermediate levels of noise. </w:t>
      </w:r>
      <w:r w:rsidR="008A625A">
        <w:rPr>
          <w:rFonts w:cs="Times New Roman"/>
        </w:rPr>
        <w:t>However,</w:t>
      </w:r>
      <w:r w:rsidR="008A625A" w:rsidRPr="00BF3398">
        <w:rPr>
          <w:rFonts w:cs="Times New Roman"/>
        </w:rPr>
        <w:t xml:space="preserve"> </w:t>
      </w:r>
      <w:r w:rsidRPr="00BF3398">
        <w:rPr>
          <w:rFonts w:cs="Times New Roman"/>
        </w:rPr>
        <w:t xml:space="preserve">quantitative predictability </w:t>
      </w:r>
      <w:r w:rsidR="008A625A">
        <w:rPr>
          <w:rFonts w:cs="Times New Roman"/>
        </w:rPr>
        <w:t>wa</w:t>
      </w:r>
      <w:r w:rsidR="008A625A" w:rsidRPr="00BF3398">
        <w:rPr>
          <w:rFonts w:cs="Times New Roman"/>
        </w:rPr>
        <w:t xml:space="preserve">s </w:t>
      </w:r>
      <w:r w:rsidRPr="00BF3398">
        <w:rPr>
          <w:rFonts w:cs="Times New Roman"/>
        </w:rPr>
        <w:t>lost for high noise levels. (b) Difference in the |DEV| (∆|DEV|=|DEV|</w:t>
      </w:r>
      <w:r w:rsidRPr="00BF3398">
        <w:rPr>
          <w:rFonts w:cs="Times New Roman"/>
          <w:vertAlign w:val="subscript"/>
        </w:rPr>
        <w:t>@bifurcation</w:t>
      </w:r>
      <w:r w:rsidRPr="00BF3398">
        <w:rPr>
          <w:rFonts w:cs="Times New Roman"/>
        </w:rPr>
        <w:t>-|DEV|</w:t>
      </w:r>
      <w:r w:rsidRPr="00BF3398">
        <w:rPr>
          <w:rFonts w:cs="Times New Roman"/>
          <w:vertAlign w:val="subscript"/>
        </w:rPr>
        <w:t>@beginning of time series</w:t>
      </w:r>
      <w:r w:rsidRPr="00BF3398">
        <w:rPr>
          <w:rFonts w:cs="Times New Roman"/>
        </w:rPr>
        <w:t xml:space="preserve">) </w:t>
      </w:r>
      <w:r w:rsidR="008A625A">
        <w:rPr>
          <w:rFonts w:cs="Times New Roman"/>
        </w:rPr>
        <w:t>wa</w:t>
      </w:r>
      <w:r w:rsidR="008A625A" w:rsidRPr="00BF3398">
        <w:rPr>
          <w:rFonts w:cs="Times New Roman"/>
        </w:rPr>
        <w:t xml:space="preserve">s </w:t>
      </w:r>
      <w:r w:rsidRPr="00BF3398">
        <w:rPr>
          <w:rFonts w:cs="Times New Roman"/>
        </w:rPr>
        <w:t xml:space="preserve">positive for all analyzed noise combinations. Consistent with the expectation that dominant </w:t>
      </w:r>
      <w:r w:rsidR="00072440">
        <w:rPr>
          <w:rFonts w:cs="Times New Roman"/>
        </w:rPr>
        <w:t>eigen-value</w:t>
      </w:r>
      <w:r w:rsidRPr="00BF3398">
        <w:rPr>
          <w:rFonts w:cs="Times New Roman"/>
        </w:rPr>
        <w:t xml:space="preserve"> increases prior to the bifurcation, results indicate</w:t>
      </w:r>
      <w:r w:rsidR="008A625A">
        <w:rPr>
          <w:rFonts w:cs="Times New Roman"/>
        </w:rPr>
        <w:t>d</w:t>
      </w:r>
      <w:r w:rsidRPr="00BF3398">
        <w:rPr>
          <w:rFonts w:cs="Times New Roman"/>
        </w:rPr>
        <w:t xml:space="preserve"> that |DEV| is a robust </w:t>
      </w:r>
      <w:r w:rsidRPr="00BF3398">
        <w:rPr>
          <w:rFonts w:cs="Times New Roman"/>
          <w:i/>
        </w:rPr>
        <w:t>qualitative</w:t>
      </w:r>
      <w:r w:rsidRPr="00BF3398">
        <w:rPr>
          <w:rFonts w:cs="Times New Roman"/>
        </w:rPr>
        <w:t xml:space="preserve"> early warning signal that makes correct qualitative predictions even </w:t>
      </w:r>
      <w:r w:rsidR="00724BE9">
        <w:rPr>
          <w:rFonts w:cs="Times New Roman"/>
        </w:rPr>
        <w:t>under</w:t>
      </w:r>
      <w:r w:rsidR="00724BE9" w:rsidRPr="00BF3398">
        <w:rPr>
          <w:rFonts w:cs="Times New Roman"/>
        </w:rPr>
        <w:t xml:space="preserve"> </w:t>
      </w:r>
      <w:r w:rsidRPr="00BF3398">
        <w:rPr>
          <w:rFonts w:cs="Times New Roman"/>
        </w:rPr>
        <w:t>high levels of noise. (c-d) Autoregression as early warning signal. Difference in the AR1 (∆AR1=AR1</w:t>
      </w:r>
      <w:r w:rsidRPr="00BF3398">
        <w:rPr>
          <w:rFonts w:cs="Times New Roman"/>
          <w:vertAlign w:val="subscript"/>
        </w:rPr>
        <w:t>@bifurcation</w:t>
      </w:r>
      <w:r w:rsidRPr="00BF3398">
        <w:rPr>
          <w:rFonts w:cs="Times New Roman"/>
        </w:rPr>
        <w:t>-AR1</w:t>
      </w:r>
      <w:r w:rsidRPr="00BF3398">
        <w:rPr>
          <w:rFonts w:cs="Times New Roman"/>
          <w:vertAlign w:val="subscript"/>
        </w:rPr>
        <w:t>@beginning of time series</w:t>
      </w:r>
      <w:r w:rsidRPr="00BF3398">
        <w:rPr>
          <w:rFonts w:cs="Times New Roman"/>
        </w:rPr>
        <w:t xml:space="preserve">) </w:t>
      </w:r>
      <w:r w:rsidR="008A625A">
        <w:rPr>
          <w:rFonts w:cs="Times New Roman"/>
        </w:rPr>
        <w:t>wa</w:t>
      </w:r>
      <w:r w:rsidR="008A625A" w:rsidRPr="00BF3398">
        <w:rPr>
          <w:rFonts w:cs="Times New Roman"/>
        </w:rPr>
        <w:t xml:space="preserve">s </w:t>
      </w:r>
      <w:r w:rsidRPr="00BF3398">
        <w:rPr>
          <w:rFonts w:cs="Times New Roman"/>
        </w:rPr>
        <w:t>positive for all analyzed noise combinations. The results indicate</w:t>
      </w:r>
      <w:r w:rsidR="008A625A">
        <w:rPr>
          <w:rFonts w:cs="Times New Roman"/>
        </w:rPr>
        <w:t>d</w:t>
      </w:r>
      <w:r w:rsidRPr="00BF3398">
        <w:rPr>
          <w:rFonts w:cs="Times New Roman"/>
        </w:rPr>
        <w:t xml:space="preserve"> that AR1 is a robust early warning signal that makes correct predictions even </w:t>
      </w:r>
      <w:r w:rsidR="00724BE9">
        <w:rPr>
          <w:rFonts w:cs="Times New Roman"/>
        </w:rPr>
        <w:t>under</w:t>
      </w:r>
      <w:r w:rsidR="00724BE9" w:rsidRPr="00BF3398">
        <w:rPr>
          <w:rFonts w:cs="Times New Roman"/>
        </w:rPr>
        <w:t xml:space="preserve"> </w:t>
      </w:r>
      <w:r w:rsidRPr="00BF3398">
        <w:rPr>
          <w:rFonts w:cs="Times New Roman"/>
        </w:rPr>
        <w:t>high levels of noise. (e-f) Variance as early warning signal. Difference in the SD (∆SD|=SD</w:t>
      </w:r>
      <w:r w:rsidRPr="00BF3398">
        <w:rPr>
          <w:rFonts w:cs="Times New Roman"/>
          <w:vertAlign w:val="subscript"/>
        </w:rPr>
        <w:t>@bifurcation</w:t>
      </w:r>
      <w:r w:rsidRPr="00BF3398">
        <w:rPr>
          <w:rFonts w:cs="Times New Roman"/>
        </w:rPr>
        <w:t>-SD</w:t>
      </w:r>
      <w:r w:rsidRPr="00BF3398">
        <w:rPr>
          <w:rFonts w:cs="Times New Roman"/>
          <w:vertAlign w:val="subscript"/>
        </w:rPr>
        <w:t>@beginning of time series</w:t>
      </w:r>
      <w:r w:rsidRPr="00BF3398">
        <w:rPr>
          <w:rFonts w:cs="Times New Roman"/>
        </w:rPr>
        <w:t xml:space="preserve">) </w:t>
      </w:r>
      <w:r w:rsidR="008A625A">
        <w:rPr>
          <w:rFonts w:cs="Times New Roman"/>
        </w:rPr>
        <w:t>wa</w:t>
      </w:r>
      <w:r w:rsidR="008A625A" w:rsidRPr="00BF3398">
        <w:rPr>
          <w:rFonts w:cs="Times New Roman"/>
        </w:rPr>
        <w:t xml:space="preserve">s </w:t>
      </w:r>
      <w:r w:rsidRPr="00BF3398">
        <w:rPr>
          <w:rFonts w:cs="Times New Roman"/>
        </w:rPr>
        <w:t>positive for all analyzed noise combinations. The results indicate</w:t>
      </w:r>
      <w:r w:rsidR="008A625A">
        <w:rPr>
          <w:rFonts w:cs="Times New Roman"/>
        </w:rPr>
        <w:t>d</w:t>
      </w:r>
      <w:r w:rsidRPr="00BF3398">
        <w:rPr>
          <w:rFonts w:cs="Times New Roman"/>
        </w:rPr>
        <w:t xml:space="preserve"> that SD is a robust early warning signal that </w:t>
      </w:r>
      <w:r w:rsidR="00277194" w:rsidRPr="00BF3398">
        <w:rPr>
          <w:rFonts w:cs="Times New Roman"/>
        </w:rPr>
        <w:t>ma</w:t>
      </w:r>
      <w:r w:rsidR="00277194">
        <w:rPr>
          <w:rFonts w:cs="Times New Roman"/>
        </w:rPr>
        <w:t>de</w:t>
      </w:r>
      <w:r w:rsidR="00277194" w:rsidRPr="00BF3398">
        <w:rPr>
          <w:rFonts w:cs="Times New Roman"/>
        </w:rPr>
        <w:t xml:space="preserve"> </w:t>
      </w:r>
      <w:r w:rsidRPr="00BF3398">
        <w:rPr>
          <w:rFonts w:cs="Times New Roman"/>
        </w:rPr>
        <w:t xml:space="preserve">correct predictions even </w:t>
      </w:r>
      <w:r w:rsidR="00724BE9">
        <w:rPr>
          <w:rFonts w:cs="Times New Roman"/>
        </w:rPr>
        <w:t>under</w:t>
      </w:r>
      <w:r w:rsidR="00724BE9" w:rsidRPr="00BF3398">
        <w:rPr>
          <w:rFonts w:cs="Times New Roman"/>
        </w:rPr>
        <w:t xml:space="preserve"> </w:t>
      </w:r>
      <w:r w:rsidRPr="00BF3398">
        <w:rPr>
          <w:rFonts w:cs="Times New Roman"/>
        </w:rPr>
        <w:t>high levels of noise.</w:t>
      </w:r>
      <w:r w:rsidRPr="00BF3398">
        <w:rPr>
          <w:rFonts w:cs="Times New Roman"/>
        </w:rPr>
        <w:br w:type="page"/>
      </w:r>
    </w:p>
    <w:p w14:paraId="5758FE64" w14:textId="1BC36A56" w:rsidR="00BF3398" w:rsidRPr="00BF3398" w:rsidRDefault="002B0B07" w:rsidP="003E2E37">
      <w:pPr>
        <w:spacing w:line="360" w:lineRule="auto"/>
        <w:ind w:firstLine="0"/>
        <w:contextualSpacing/>
        <w:mirrorIndents/>
        <w:rPr>
          <w:rFonts w:cs="Times New Roman"/>
          <w:b/>
        </w:rPr>
      </w:pPr>
      <w:r>
        <w:rPr>
          <w:rFonts w:cs="Times New Roman"/>
          <w:b/>
          <w:noProof/>
        </w:rPr>
        <w:lastRenderedPageBreak/>
        <w:drawing>
          <wp:inline distT="0" distB="0" distL="0" distR="0" wp14:anchorId="4CFFA7FE" wp14:editId="536C043C">
            <wp:extent cx="3823986" cy="3240000"/>
            <wp:effectExtent l="0" t="0" r="0"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23986" cy="3240000"/>
                    </a:xfrm>
                    <a:prstGeom prst="rect">
                      <a:avLst/>
                    </a:prstGeom>
                    <a:noFill/>
                    <a:ln>
                      <a:noFill/>
                    </a:ln>
                  </pic:spPr>
                </pic:pic>
              </a:graphicData>
            </a:graphic>
          </wp:inline>
        </w:drawing>
      </w:r>
    </w:p>
    <w:p w14:paraId="43CDF5A1" w14:textId="6CFA6E32" w:rsidR="004D2602" w:rsidRDefault="00BF3398" w:rsidP="003E2E37">
      <w:pPr>
        <w:spacing w:line="360" w:lineRule="auto"/>
        <w:ind w:firstLine="0"/>
        <w:contextualSpacing/>
        <w:mirrorIndents/>
        <w:rPr>
          <w:rFonts w:cs="Times New Roman"/>
        </w:rPr>
      </w:pPr>
      <w:r w:rsidRPr="00BF3398">
        <w:rPr>
          <w:rFonts w:cs="Times New Roman"/>
          <w:b/>
        </w:rPr>
        <w:t>Figure S</w:t>
      </w:r>
      <w:r w:rsidR="00086600">
        <w:rPr>
          <w:rFonts w:cs="Times New Roman"/>
          <w:b/>
        </w:rPr>
        <w:t>6</w:t>
      </w:r>
      <w:r w:rsidR="00A87D42">
        <w:rPr>
          <w:rFonts w:cs="Times New Roman"/>
          <w:b/>
        </w:rPr>
        <w:t>.</w:t>
      </w:r>
      <w:r w:rsidRPr="00BF3398">
        <w:rPr>
          <w:rFonts w:cs="Times New Roman"/>
          <w:b/>
        </w:rPr>
        <w:t xml:space="preserve"> DEV as quantitative and qualitative early warning signal in the presence of noise in comparison to variance and AR1 for Rosenzweig-MacArthur model.</w:t>
      </w:r>
      <w:r w:rsidRPr="00BF3398">
        <w:rPr>
          <w:rFonts w:cs="Times New Roman"/>
        </w:rPr>
        <w:t xml:space="preserve"> (a) DEV prior to the bifurcation point as a function of process noise and observation error. |DEV| </w:t>
      </w:r>
      <w:r w:rsidR="00206052" w:rsidRPr="00BF3398">
        <w:rPr>
          <w:rFonts w:cs="Times New Roman"/>
        </w:rPr>
        <w:t>reache</w:t>
      </w:r>
      <w:r w:rsidR="00206052">
        <w:rPr>
          <w:rFonts w:cs="Times New Roman"/>
        </w:rPr>
        <w:t>d</w:t>
      </w:r>
      <w:r w:rsidR="00206052" w:rsidRPr="00BF3398">
        <w:rPr>
          <w:rFonts w:cs="Times New Roman"/>
        </w:rPr>
        <w:t xml:space="preserve"> </w:t>
      </w:r>
      <w:r w:rsidRPr="00BF3398">
        <w:rPr>
          <w:rFonts w:cs="Times New Roman"/>
        </w:rPr>
        <w:t xml:space="preserve">values close to 1 prior to bifurcation if noise levels </w:t>
      </w:r>
      <w:r w:rsidR="00206052">
        <w:rPr>
          <w:rFonts w:cs="Times New Roman"/>
        </w:rPr>
        <w:t>we</w:t>
      </w:r>
      <w:r w:rsidR="00206052" w:rsidRPr="00BF3398">
        <w:rPr>
          <w:rFonts w:cs="Times New Roman"/>
        </w:rPr>
        <w:t xml:space="preserve">re </w:t>
      </w:r>
      <w:r w:rsidRPr="00BF3398">
        <w:rPr>
          <w:rFonts w:cs="Times New Roman"/>
        </w:rPr>
        <w:t xml:space="preserve">low or intermediate. As the true dominant </w:t>
      </w:r>
      <w:r w:rsidR="00072440">
        <w:rPr>
          <w:rFonts w:cs="Times New Roman"/>
        </w:rPr>
        <w:t>eigen-value</w:t>
      </w:r>
      <w:r w:rsidRPr="00BF3398">
        <w:rPr>
          <w:rFonts w:cs="Times New Roman"/>
        </w:rPr>
        <w:t xml:space="preserve"> is 1 at the bifurcation point, the results indicate</w:t>
      </w:r>
      <w:r w:rsidR="00206052">
        <w:rPr>
          <w:rFonts w:cs="Times New Roman"/>
        </w:rPr>
        <w:t>d</w:t>
      </w:r>
      <w:r w:rsidRPr="00BF3398">
        <w:rPr>
          <w:rFonts w:cs="Times New Roman"/>
        </w:rPr>
        <w:t xml:space="preserve"> that DEV is a </w:t>
      </w:r>
      <w:r w:rsidRPr="00BF3398">
        <w:rPr>
          <w:rFonts w:cs="Times New Roman"/>
          <w:i/>
        </w:rPr>
        <w:t>quantitative</w:t>
      </w:r>
      <w:r w:rsidRPr="00BF3398">
        <w:rPr>
          <w:rFonts w:cs="Times New Roman"/>
        </w:rPr>
        <w:t xml:space="preserve"> early warning signal </w:t>
      </w:r>
      <w:r w:rsidR="00372A26">
        <w:rPr>
          <w:rFonts w:cs="Times New Roman"/>
        </w:rPr>
        <w:t>under</w:t>
      </w:r>
      <w:r w:rsidR="00372A26" w:rsidRPr="00BF3398">
        <w:rPr>
          <w:rFonts w:cs="Times New Roman"/>
        </w:rPr>
        <w:t xml:space="preserve"> </w:t>
      </w:r>
      <w:r w:rsidRPr="00BF3398">
        <w:rPr>
          <w:rFonts w:cs="Times New Roman"/>
        </w:rPr>
        <w:t xml:space="preserve">low to intermediate levels of noise. </w:t>
      </w:r>
      <w:r w:rsidR="00206052">
        <w:rPr>
          <w:rFonts w:cs="Times New Roman"/>
        </w:rPr>
        <w:t>Q</w:t>
      </w:r>
      <w:r w:rsidRPr="00BF3398">
        <w:rPr>
          <w:rFonts w:cs="Times New Roman"/>
        </w:rPr>
        <w:t xml:space="preserve">uantitative predictability </w:t>
      </w:r>
      <w:r w:rsidR="00206052">
        <w:rPr>
          <w:rFonts w:cs="Times New Roman"/>
        </w:rPr>
        <w:t>wa</w:t>
      </w:r>
      <w:r w:rsidR="00206052" w:rsidRPr="00BF3398">
        <w:rPr>
          <w:rFonts w:cs="Times New Roman"/>
        </w:rPr>
        <w:t xml:space="preserve">s </w:t>
      </w:r>
      <w:r w:rsidRPr="00BF3398">
        <w:rPr>
          <w:rFonts w:cs="Times New Roman"/>
        </w:rPr>
        <w:t>lost for high noise levels. (b) Difference in the |DEV| (∆|DEV|=|DEV|</w:t>
      </w:r>
      <w:r w:rsidRPr="00BF3398">
        <w:rPr>
          <w:rFonts w:cs="Times New Roman"/>
          <w:vertAlign w:val="subscript"/>
        </w:rPr>
        <w:t>@bifurcation</w:t>
      </w:r>
      <w:r w:rsidRPr="00BF3398">
        <w:rPr>
          <w:rFonts w:cs="Times New Roman"/>
        </w:rPr>
        <w:t>-|DEV|</w:t>
      </w:r>
      <w:r w:rsidRPr="00BF3398">
        <w:rPr>
          <w:rFonts w:cs="Times New Roman"/>
          <w:vertAlign w:val="subscript"/>
        </w:rPr>
        <w:t>@beginning of time series</w:t>
      </w:r>
      <w:r w:rsidRPr="00BF3398">
        <w:rPr>
          <w:rFonts w:cs="Times New Roman"/>
        </w:rPr>
        <w:t xml:space="preserve">) </w:t>
      </w:r>
      <w:r w:rsidR="00206052">
        <w:rPr>
          <w:rFonts w:cs="Times New Roman"/>
        </w:rPr>
        <w:t>wa</w:t>
      </w:r>
      <w:r w:rsidR="00206052" w:rsidRPr="00BF3398">
        <w:rPr>
          <w:rFonts w:cs="Times New Roman"/>
        </w:rPr>
        <w:t xml:space="preserve">s </w:t>
      </w:r>
      <w:r w:rsidRPr="00BF3398">
        <w:rPr>
          <w:rFonts w:cs="Times New Roman"/>
        </w:rPr>
        <w:t xml:space="preserve">positive for all analyzed noise combinations. Consistent with the expectation that dominant </w:t>
      </w:r>
      <w:r w:rsidR="00072440">
        <w:rPr>
          <w:rFonts w:cs="Times New Roman"/>
        </w:rPr>
        <w:t>eigen-value</w:t>
      </w:r>
      <w:r w:rsidRPr="00BF3398">
        <w:rPr>
          <w:rFonts w:cs="Times New Roman"/>
        </w:rPr>
        <w:t xml:space="preserve"> increases prior to the bifurcation, the results indicate that |DEV| is a robust </w:t>
      </w:r>
      <w:r w:rsidRPr="00BF3398">
        <w:rPr>
          <w:rFonts w:cs="Times New Roman"/>
          <w:i/>
        </w:rPr>
        <w:t>qualitative</w:t>
      </w:r>
      <w:r w:rsidRPr="00BF3398">
        <w:rPr>
          <w:rFonts w:cs="Times New Roman"/>
        </w:rPr>
        <w:t xml:space="preserve"> early warning signal that makes correct qualitative predictions even </w:t>
      </w:r>
      <w:r w:rsidR="00372A26">
        <w:rPr>
          <w:rFonts w:cs="Times New Roman"/>
        </w:rPr>
        <w:t>under</w:t>
      </w:r>
      <w:r w:rsidR="00372A26" w:rsidRPr="00BF3398">
        <w:rPr>
          <w:rFonts w:cs="Times New Roman"/>
        </w:rPr>
        <w:t xml:space="preserve"> </w:t>
      </w:r>
      <w:r w:rsidRPr="00BF3398">
        <w:rPr>
          <w:rFonts w:cs="Times New Roman"/>
        </w:rPr>
        <w:t>high levels of noise. (c-d) Analysis of autoregression as early warning signal. Difference in the AR1 (∆AR1=AR1</w:t>
      </w:r>
      <w:r w:rsidRPr="00BF3398">
        <w:rPr>
          <w:rFonts w:cs="Times New Roman"/>
          <w:vertAlign w:val="subscript"/>
        </w:rPr>
        <w:t>@bifurcation</w:t>
      </w:r>
      <w:r w:rsidRPr="00BF3398">
        <w:rPr>
          <w:rFonts w:cs="Times New Roman"/>
        </w:rPr>
        <w:t>-AR1</w:t>
      </w:r>
      <w:r w:rsidRPr="00BF3398">
        <w:rPr>
          <w:rFonts w:cs="Times New Roman"/>
          <w:vertAlign w:val="subscript"/>
        </w:rPr>
        <w:t>@beginning of time series</w:t>
      </w:r>
      <w:r w:rsidRPr="00BF3398">
        <w:rPr>
          <w:rFonts w:cs="Times New Roman"/>
        </w:rPr>
        <w:t xml:space="preserve">) </w:t>
      </w:r>
      <w:r w:rsidR="00206052">
        <w:rPr>
          <w:rFonts w:cs="Times New Roman"/>
        </w:rPr>
        <w:t>wa</w:t>
      </w:r>
      <w:r w:rsidR="00206052" w:rsidRPr="00BF3398">
        <w:rPr>
          <w:rFonts w:cs="Times New Roman"/>
        </w:rPr>
        <w:t xml:space="preserve">s </w:t>
      </w:r>
      <w:r w:rsidRPr="00BF3398">
        <w:rPr>
          <w:rFonts w:cs="Times New Roman"/>
        </w:rPr>
        <w:t xml:space="preserve">positive for intermediate to high observation </w:t>
      </w:r>
      <w:r w:rsidR="00C517B9" w:rsidRPr="00BF3398">
        <w:rPr>
          <w:rFonts w:cs="Times New Roman"/>
        </w:rPr>
        <w:t>error</w:t>
      </w:r>
      <w:r w:rsidR="00206052">
        <w:rPr>
          <w:rFonts w:cs="Times New Roman"/>
        </w:rPr>
        <w:t>s,</w:t>
      </w:r>
      <w:r w:rsidR="00C517B9" w:rsidRPr="00BF3398">
        <w:rPr>
          <w:rFonts w:cs="Times New Roman"/>
        </w:rPr>
        <w:t xml:space="preserve"> but</w:t>
      </w:r>
      <w:r w:rsidRPr="00BF3398">
        <w:rPr>
          <w:rFonts w:cs="Times New Roman"/>
        </w:rPr>
        <w:t xml:space="preserve"> </w:t>
      </w:r>
      <w:r w:rsidR="00206052" w:rsidRPr="00BF3398">
        <w:rPr>
          <w:rFonts w:cs="Times New Roman"/>
        </w:rPr>
        <w:t>fail</w:t>
      </w:r>
      <w:r w:rsidR="00206052">
        <w:rPr>
          <w:rFonts w:cs="Times New Roman"/>
        </w:rPr>
        <w:t>ed</w:t>
      </w:r>
      <w:r w:rsidR="00206052" w:rsidRPr="00BF3398">
        <w:rPr>
          <w:rFonts w:cs="Times New Roman"/>
        </w:rPr>
        <w:t xml:space="preserve"> </w:t>
      </w:r>
      <w:r w:rsidRPr="00BF3398">
        <w:rPr>
          <w:rFonts w:cs="Times New Roman"/>
        </w:rPr>
        <w:t xml:space="preserve">to predict the bifurcation for low observation error. </w:t>
      </w:r>
      <w:r w:rsidR="00206052">
        <w:rPr>
          <w:rFonts w:cs="Times New Roman"/>
        </w:rPr>
        <w:t>R</w:t>
      </w:r>
      <w:r w:rsidRPr="00BF3398">
        <w:rPr>
          <w:rFonts w:cs="Times New Roman"/>
        </w:rPr>
        <w:t xml:space="preserve">esults </w:t>
      </w:r>
      <w:r w:rsidR="00206052">
        <w:rPr>
          <w:rFonts w:cs="Times New Roman"/>
        </w:rPr>
        <w:t>we</w:t>
      </w:r>
      <w:r w:rsidR="00206052" w:rsidRPr="00BF3398">
        <w:rPr>
          <w:rFonts w:cs="Times New Roman"/>
        </w:rPr>
        <w:t xml:space="preserve">re </w:t>
      </w:r>
      <w:r w:rsidRPr="00BF3398">
        <w:rPr>
          <w:rFonts w:cs="Times New Roman"/>
        </w:rPr>
        <w:t xml:space="preserve">independent of the level of process noise. </w:t>
      </w:r>
      <w:r w:rsidR="00ED31E3">
        <w:rPr>
          <w:rFonts w:cs="Times New Roman"/>
        </w:rPr>
        <w:t>The results indicate</w:t>
      </w:r>
      <w:r w:rsidR="00206052">
        <w:rPr>
          <w:rFonts w:cs="Times New Roman"/>
        </w:rPr>
        <w:t>d</w:t>
      </w:r>
      <w:r w:rsidR="00ED31E3">
        <w:rPr>
          <w:rFonts w:cs="Times New Roman"/>
        </w:rPr>
        <w:t xml:space="preserve"> that </w:t>
      </w:r>
      <w:r w:rsidR="00C517B9">
        <w:rPr>
          <w:rFonts w:cs="Times New Roman"/>
        </w:rPr>
        <w:t xml:space="preserve">AR1 </w:t>
      </w:r>
      <w:r w:rsidR="00206052">
        <w:rPr>
          <w:rFonts w:cs="Times New Roman"/>
        </w:rPr>
        <w:t xml:space="preserve">had </w:t>
      </w:r>
      <w:r w:rsidR="00372A26">
        <w:rPr>
          <w:rFonts w:cs="Times New Roman"/>
        </w:rPr>
        <w:t xml:space="preserve">a </w:t>
      </w:r>
      <w:r w:rsidR="00C517B9">
        <w:rPr>
          <w:rFonts w:cs="Times New Roman"/>
        </w:rPr>
        <w:t>confusing declin</w:t>
      </w:r>
      <w:r w:rsidR="00372A26">
        <w:rPr>
          <w:rFonts w:cs="Times New Roman"/>
        </w:rPr>
        <w:t>ing</w:t>
      </w:r>
      <w:r w:rsidR="00C517B9">
        <w:rPr>
          <w:rFonts w:cs="Times New Roman"/>
        </w:rPr>
        <w:t xml:space="preserve"> trend when approaching the tipping point in </w:t>
      </w:r>
      <w:r w:rsidR="00206052">
        <w:rPr>
          <w:rFonts w:cs="Times New Roman"/>
        </w:rPr>
        <w:t xml:space="preserve">the </w:t>
      </w:r>
      <w:r w:rsidR="00C517B9" w:rsidRPr="00C517B9">
        <w:rPr>
          <w:rFonts w:cs="Times New Roman"/>
        </w:rPr>
        <w:t>Rosenzweig-MacArthur model</w:t>
      </w:r>
      <w:r w:rsidR="00CE7D88">
        <w:rPr>
          <w:rFonts w:cs="Times New Roman"/>
        </w:rPr>
        <w:t>.</w:t>
      </w:r>
      <w:r w:rsidR="00ED31E3">
        <w:rPr>
          <w:rFonts w:cs="Times New Roman"/>
        </w:rPr>
        <w:t xml:space="preserve"> </w:t>
      </w:r>
      <w:r w:rsidRPr="00BF3398">
        <w:rPr>
          <w:rFonts w:cs="Times New Roman"/>
        </w:rPr>
        <w:t>(e-f) Analysis of variability as early warning signal. Difference in the SD (∆SD|=SD</w:t>
      </w:r>
      <w:r w:rsidRPr="00BF3398">
        <w:rPr>
          <w:rFonts w:cs="Times New Roman"/>
          <w:vertAlign w:val="subscript"/>
        </w:rPr>
        <w:t>@bifurcation</w:t>
      </w:r>
      <w:r w:rsidRPr="00BF3398">
        <w:rPr>
          <w:rFonts w:cs="Times New Roman"/>
        </w:rPr>
        <w:t>-SD</w:t>
      </w:r>
      <w:r w:rsidRPr="00BF3398">
        <w:rPr>
          <w:rFonts w:cs="Times New Roman"/>
          <w:vertAlign w:val="subscript"/>
        </w:rPr>
        <w:t>@beginning of time series</w:t>
      </w:r>
      <w:r w:rsidRPr="00BF3398">
        <w:rPr>
          <w:rFonts w:cs="Times New Roman"/>
        </w:rPr>
        <w:t xml:space="preserve">) </w:t>
      </w:r>
      <w:r w:rsidR="00206052">
        <w:rPr>
          <w:rFonts w:cs="Times New Roman"/>
        </w:rPr>
        <w:t>wa</w:t>
      </w:r>
      <w:r w:rsidR="00206052" w:rsidRPr="00BF3398">
        <w:rPr>
          <w:rFonts w:cs="Times New Roman"/>
        </w:rPr>
        <w:t xml:space="preserve">s </w:t>
      </w:r>
      <w:r w:rsidRPr="00BF3398">
        <w:rPr>
          <w:rFonts w:cs="Times New Roman"/>
        </w:rPr>
        <w:t xml:space="preserve">positive </w:t>
      </w:r>
      <w:r w:rsidR="00372A26">
        <w:rPr>
          <w:rFonts w:cs="Times New Roman"/>
        </w:rPr>
        <w:t>under</w:t>
      </w:r>
      <w:r w:rsidR="00372A26" w:rsidRPr="00BF3398">
        <w:rPr>
          <w:rFonts w:cs="Times New Roman"/>
        </w:rPr>
        <w:t xml:space="preserve"> </w:t>
      </w:r>
      <w:r w:rsidRPr="00BF3398">
        <w:rPr>
          <w:rFonts w:cs="Times New Roman"/>
        </w:rPr>
        <w:t xml:space="preserve">low level of </w:t>
      </w:r>
      <w:r w:rsidRPr="00BF3398">
        <w:rPr>
          <w:rFonts w:cs="Times New Roman"/>
        </w:rPr>
        <w:lastRenderedPageBreak/>
        <w:t xml:space="preserve">observations error but negative </w:t>
      </w:r>
      <w:r w:rsidR="00BA1AD5">
        <w:rPr>
          <w:rFonts w:cs="Times New Roman"/>
        </w:rPr>
        <w:t>under</w:t>
      </w:r>
      <w:r w:rsidR="00BA1AD5" w:rsidRPr="00BF3398">
        <w:rPr>
          <w:rFonts w:cs="Times New Roman"/>
        </w:rPr>
        <w:t xml:space="preserve"> </w:t>
      </w:r>
      <w:r w:rsidRPr="00BF3398">
        <w:rPr>
          <w:rFonts w:cs="Times New Roman"/>
        </w:rPr>
        <w:t>high level of observations errors. The results indicate</w:t>
      </w:r>
      <w:r w:rsidR="00206052">
        <w:rPr>
          <w:rFonts w:cs="Times New Roman"/>
        </w:rPr>
        <w:t>d</w:t>
      </w:r>
      <w:r w:rsidRPr="00BF3398">
        <w:rPr>
          <w:rFonts w:cs="Times New Roman"/>
        </w:rPr>
        <w:t xml:space="preserve"> that SD </w:t>
      </w:r>
      <w:r w:rsidR="00206052">
        <w:rPr>
          <w:rFonts w:cs="Times New Roman"/>
        </w:rPr>
        <w:t>wa</w:t>
      </w:r>
      <w:r w:rsidR="00206052" w:rsidRPr="00BF3398">
        <w:rPr>
          <w:rFonts w:cs="Times New Roman"/>
        </w:rPr>
        <w:t xml:space="preserve">s </w:t>
      </w:r>
      <w:r w:rsidRPr="00BF3398">
        <w:rPr>
          <w:rFonts w:cs="Times New Roman"/>
        </w:rPr>
        <w:t xml:space="preserve">not a robust early warning signal </w:t>
      </w:r>
      <w:r w:rsidR="00B222F8">
        <w:rPr>
          <w:rFonts w:cs="Times New Roman"/>
        </w:rPr>
        <w:t>under</w:t>
      </w:r>
      <w:r w:rsidR="00B222F8" w:rsidRPr="00BF3398">
        <w:rPr>
          <w:rFonts w:cs="Times New Roman"/>
        </w:rPr>
        <w:t xml:space="preserve"> </w:t>
      </w:r>
      <w:r w:rsidRPr="00BF3398">
        <w:rPr>
          <w:rFonts w:cs="Times New Roman"/>
        </w:rPr>
        <w:t>observation errors.</w:t>
      </w:r>
      <w:r w:rsidR="004D2602">
        <w:rPr>
          <w:rFonts w:cs="Times New Roman"/>
        </w:rPr>
        <w:br w:type="page"/>
      </w:r>
    </w:p>
    <w:p w14:paraId="654CEF7D" w14:textId="73218C73" w:rsidR="004D2602" w:rsidRPr="00BF3398" w:rsidRDefault="004D2602" w:rsidP="003E2E37">
      <w:pPr>
        <w:spacing w:line="360" w:lineRule="auto"/>
        <w:ind w:firstLine="0"/>
        <w:contextualSpacing/>
        <w:mirrorIndents/>
        <w:rPr>
          <w:rFonts w:cs="Times New Roman"/>
        </w:rPr>
      </w:pPr>
      <w:r>
        <w:rPr>
          <w:noProof/>
        </w:rPr>
        <w:lastRenderedPageBreak/>
        <w:drawing>
          <wp:inline distT="0" distB="0" distL="0" distR="0" wp14:anchorId="5062FD3E" wp14:editId="1135EF23">
            <wp:extent cx="3401626" cy="5940000"/>
            <wp:effectExtent l="0" t="0" r="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01626" cy="5940000"/>
                    </a:xfrm>
                    <a:prstGeom prst="rect">
                      <a:avLst/>
                    </a:prstGeom>
                    <a:noFill/>
                    <a:ln>
                      <a:noFill/>
                    </a:ln>
                  </pic:spPr>
                </pic:pic>
              </a:graphicData>
            </a:graphic>
          </wp:inline>
        </w:drawing>
      </w:r>
    </w:p>
    <w:p w14:paraId="23E3D9FE" w14:textId="1A06037D" w:rsidR="00BF3398" w:rsidRPr="00BF3398" w:rsidRDefault="00BF3398" w:rsidP="003E2E37">
      <w:pPr>
        <w:spacing w:line="360" w:lineRule="auto"/>
        <w:ind w:firstLine="0"/>
        <w:contextualSpacing/>
        <w:mirrorIndents/>
        <w:rPr>
          <w:rFonts w:cs="Times New Roman"/>
        </w:rPr>
      </w:pPr>
      <w:r w:rsidRPr="00BF3398">
        <w:rPr>
          <w:rFonts w:cs="Times New Roman"/>
          <w:b/>
        </w:rPr>
        <w:t>Figure S</w:t>
      </w:r>
      <w:r w:rsidR="00EE24D5">
        <w:rPr>
          <w:rFonts w:cs="Times New Roman"/>
          <w:b/>
        </w:rPr>
        <w:t>7</w:t>
      </w:r>
      <w:r w:rsidR="00A87D42">
        <w:rPr>
          <w:rFonts w:cs="Times New Roman"/>
          <w:b/>
        </w:rPr>
        <w:t>.</w:t>
      </w:r>
      <w:r w:rsidRPr="00BF3398">
        <w:rPr>
          <w:rFonts w:cs="Times New Roman"/>
          <w:b/>
        </w:rPr>
        <w:t xml:space="preserve"> Robustness of DEV in predicting the bifurcation type against noises.</w:t>
      </w:r>
      <w:r w:rsidRPr="00BF3398">
        <w:rPr>
          <w:rFonts w:cs="Times New Roman"/>
        </w:rPr>
        <w:t xml:space="preserve"> For all combinations of noises, (a) the imaginary part of the DEV of the Noy-Meir model </w:t>
      </w:r>
      <w:r w:rsidR="00206052">
        <w:rPr>
          <w:rFonts w:cs="Times New Roman"/>
        </w:rPr>
        <w:t>wa</w:t>
      </w:r>
      <w:r w:rsidR="00206052" w:rsidRPr="00BF3398">
        <w:rPr>
          <w:rFonts w:cs="Times New Roman"/>
        </w:rPr>
        <w:t xml:space="preserve">s </w:t>
      </w:r>
      <w:r w:rsidRPr="00BF3398">
        <w:rPr>
          <w:rFonts w:cs="Times New Roman"/>
        </w:rPr>
        <w:t xml:space="preserve">0 (or close to 0); </w:t>
      </w:r>
      <w:proofErr w:type="gramStart"/>
      <w:r w:rsidRPr="00BF3398">
        <w:rPr>
          <w:rFonts w:cs="Times New Roman"/>
          <w:lang w:val="en-GB"/>
        </w:rPr>
        <w:t>Im(</w:t>
      </w:r>
      <w:proofErr w:type="gramEnd"/>
      <w:r w:rsidRPr="00BF3398">
        <w:rPr>
          <w:rFonts w:cs="Times New Roman"/>
          <w:lang w:val="en-GB"/>
        </w:rPr>
        <w:t xml:space="preserve">DEV)=0 and Re(DEV) </w:t>
      </w:r>
      <m:oMath>
        <m:r>
          <w:rPr>
            <w:rFonts w:ascii="Cambria Math" w:hAnsi="Cambria Math" w:cs="Times New Roman"/>
            <w:lang w:val="en-GB"/>
          </w:rPr>
          <m:t>→</m:t>
        </m:r>
      </m:oMath>
      <w:r w:rsidRPr="00BF3398">
        <w:rPr>
          <w:rFonts w:cs="Times New Roman"/>
          <w:lang w:val="en-GB"/>
        </w:rPr>
        <w:t xml:space="preserve"> 1 </w:t>
      </w:r>
      <w:r w:rsidR="00206052" w:rsidRPr="00BF3398">
        <w:rPr>
          <w:rFonts w:cs="Times New Roman"/>
          <w:lang w:val="en-GB"/>
        </w:rPr>
        <w:t>indicate</w:t>
      </w:r>
      <w:r w:rsidR="00206052">
        <w:rPr>
          <w:rFonts w:cs="Times New Roman"/>
          <w:lang w:val="en-GB"/>
        </w:rPr>
        <w:t>d</w:t>
      </w:r>
      <w:r w:rsidR="00206052" w:rsidRPr="00BF3398">
        <w:rPr>
          <w:rFonts w:cs="Times New Roman"/>
          <w:lang w:val="en-GB"/>
        </w:rPr>
        <w:t xml:space="preserve"> </w:t>
      </w:r>
      <w:r w:rsidRPr="00BF3398">
        <w:rPr>
          <w:rFonts w:cs="Times New Roman"/>
          <w:lang w:val="en-GB"/>
        </w:rPr>
        <w:t>a fold bifurcation. (b) T</w:t>
      </w:r>
      <w:r w:rsidRPr="00BF3398">
        <w:rPr>
          <w:rFonts w:cs="Times New Roman"/>
        </w:rPr>
        <w:t xml:space="preserve">he imaginary part of the DEV of the Henon map </w:t>
      </w:r>
      <w:r w:rsidR="00206052">
        <w:rPr>
          <w:rFonts w:cs="Times New Roman"/>
        </w:rPr>
        <w:t>wa</w:t>
      </w:r>
      <w:r w:rsidR="00206052" w:rsidRPr="00BF3398">
        <w:rPr>
          <w:rFonts w:cs="Times New Roman"/>
        </w:rPr>
        <w:t xml:space="preserve">s </w:t>
      </w:r>
      <w:r w:rsidRPr="00BF3398">
        <w:rPr>
          <w:rFonts w:cs="Times New Roman"/>
        </w:rPr>
        <w:t xml:space="preserve">0 (or close to 0); </w:t>
      </w:r>
      <w:proofErr w:type="gramStart"/>
      <w:r w:rsidRPr="00BF3398">
        <w:rPr>
          <w:rFonts w:cs="Times New Roman"/>
          <w:lang w:val="en-GB"/>
        </w:rPr>
        <w:t>Im(</w:t>
      </w:r>
      <w:proofErr w:type="gramEnd"/>
      <w:r w:rsidRPr="00BF3398">
        <w:rPr>
          <w:rFonts w:cs="Times New Roman"/>
          <w:lang w:val="en-GB"/>
        </w:rPr>
        <w:t xml:space="preserve">DEV)=0 and Re(DEV) </w:t>
      </w:r>
      <m:oMath>
        <m:r>
          <w:rPr>
            <w:rFonts w:ascii="Cambria Math" w:hAnsi="Cambria Math" w:cs="Times New Roman"/>
            <w:lang w:val="en-GB"/>
          </w:rPr>
          <m:t>→</m:t>
        </m:r>
      </m:oMath>
      <w:r w:rsidRPr="00BF3398">
        <w:rPr>
          <w:rFonts w:cs="Times New Roman"/>
          <w:lang w:val="en-GB"/>
        </w:rPr>
        <w:t xml:space="preserve"> -1 </w:t>
      </w:r>
      <w:r w:rsidR="00206052" w:rsidRPr="00BF3398">
        <w:rPr>
          <w:rFonts w:cs="Times New Roman"/>
          <w:lang w:val="en-GB"/>
        </w:rPr>
        <w:t>indicate</w:t>
      </w:r>
      <w:r w:rsidR="00206052">
        <w:rPr>
          <w:rFonts w:cs="Times New Roman"/>
          <w:lang w:val="en-GB"/>
        </w:rPr>
        <w:t>d</w:t>
      </w:r>
      <w:r w:rsidR="00206052" w:rsidRPr="00BF3398">
        <w:rPr>
          <w:rFonts w:cs="Times New Roman"/>
          <w:lang w:val="en-GB"/>
        </w:rPr>
        <w:t xml:space="preserve"> </w:t>
      </w:r>
      <w:r w:rsidRPr="00BF3398">
        <w:rPr>
          <w:rFonts w:cs="Times New Roman"/>
          <w:lang w:val="en-GB"/>
        </w:rPr>
        <w:t>a period-doubling bifurcation. (c) T</w:t>
      </w:r>
      <w:r w:rsidRPr="00BF3398">
        <w:rPr>
          <w:rFonts w:cs="Times New Roman"/>
        </w:rPr>
        <w:t xml:space="preserve">he imaginary part of the MacArthur-Rosenzweig of the DEV is significantly different from 0; </w:t>
      </w:r>
      <w:proofErr w:type="gramStart"/>
      <w:r w:rsidRPr="00BF3398">
        <w:rPr>
          <w:rFonts w:cs="Times New Roman"/>
          <w:lang w:val="en-GB"/>
        </w:rPr>
        <w:t>Im(</w:t>
      </w:r>
      <w:proofErr w:type="gramEnd"/>
      <w:r w:rsidRPr="00BF3398">
        <w:rPr>
          <w:rFonts w:cs="Times New Roman"/>
          <w:lang w:val="en-GB"/>
        </w:rPr>
        <w:t xml:space="preserve">DEV)≠0 and |DEV| </w:t>
      </w:r>
      <m:oMath>
        <m:r>
          <w:rPr>
            <w:rFonts w:ascii="Cambria Math" w:hAnsi="Cambria Math" w:cs="Times New Roman"/>
            <w:lang w:val="en-GB"/>
          </w:rPr>
          <m:t>→</m:t>
        </m:r>
      </m:oMath>
      <w:r w:rsidRPr="00BF3398">
        <w:rPr>
          <w:rFonts w:cs="Times New Roman"/>
          <w:lang w:val="en-GB"/>
        </w:rPr>
        <w:t xml:space="preserve"> 1 indicates a Neimark-Sacker bifurcation. The</w:t>
      </w:r>
      <w:r w:rsidR="00ED21C4">
        <w:rPr>
          <w:rFonts w:cs="Times New Roman"/>
          <w:lang w:val="en-GB"/>
        </w:rPr>
        <w:t>refore, f</w:t>
      </w:r>
      <w:r w:rsidR="00ED31E3">
        <w:rPr>
          <w:rFonts w:cs="Times New Roman"/>
          <w:lang w:val="en-GB"/>
        </w:rPr>
        <w:t>or all three models</w:t>
      </w:r>
      <w:r w:rsidR="00ED21C4">
        <w:rPr>
          <w:rFonts w:cs="Times New Roman"/>
          <w:lang w:val="en-GB"/>
        </w:rPr>
        <w:t xml:space="preserve">, </w:t>
      </w:r>
      <w:r w:rsidRPr="00BF3398">
        <w:rPr>
          <w:rFonts w:cs="Times New Roman"/>
          <w:lang w:val="en-GB"/>
        </w:rPr>
        <w:t>DEV can correctly distinguish types of bifurcation under reasonable levels of noise.</w:t>
      </w:r>
      <w:r w:rsidRPr="00BF3398">
        <w:rPr>
          <w:rFonts w:cs="Times New Roman"/>
        </w:rPr>
        <w:br w:type="page"/>
      </w:r>
    </w:p>
    <w:p w14:paraId="772E9B4B" w14:textId="77777777" w:rsidR="00BF3398" w:rsidRPr="00BF3398" w:rsidRDefault="00BF3398" w:rsidP="003E2E37">
      <w:pPr>
        <w:spacing w:line="360" w:lineRule="auto"/>
        <w:ind w:firstLine="0"/>
        <w:contextualSpacing/>
        <w:mirrorIndents/>
        <w:rPr>
          <w:rFonts w:cs="Times New Roman"/>
        </w:rPr>
      </w:pPr>
      <w:r w:rsidRPr="00BF3398">
        <w:rPr>
          <w:rFonts w:cs="Times New Roman"/>
          <w:noProof/>
          <w:lang w:eastAsia="de-DE"/>
        </w:rPr>
        <w:lastRenderedPageBreak/>
        <w:drawing>
          <wp:inline distT="0" distB="0" distL="0" distR="0" wp14:anchorId="6FFE5E90" wp14:editId="67992687">
            <wp:extent cx="5346129" cy="5940000"/>
            <wp:effectExtent l="0" t="0" r="635" b="381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veraart_robustness_75dpi.tiff"/>
                    <pic:cNvPicPr/>
                  </pic:nvPicPr>
                  <pic:blipFill>
                    <a:blip r:embed="rId21"/>
                    <a:stretch>
                      <a:fillRect/>
                    </a:stretch>
                  </pic:blipFill>
                  <pic:spPr>
                    <a:xfrm>
                      <a:off x="0" y="0"/>
                      <a:ext cx="5346129" cy="5940000"/>
                    </a:xfrm>
                    <a:prstGeom prst="rect">
                      <a:avLst/>
                    </a:prstGeom>
                  </pic:spPr>
                </pic:pic>
              </a:graphicData>
            </a:graphic>
          </wp:inline>
        </w:drawing>
      </w:r>
    </w:p>
    <w:p w14:paraId="52088B06" w14:textId="73C08668" w:rsidR="00BF3398" w:rsidRPr="00BF3398" w:rsidRDefault="00BF3398" w:rsidP="003E2E37">
      <w:pPr>
        <w:spacing w:line="360" w:lineRule="auto"/>
        <w:ind w:firstLine="0"/>
        <w:contextualSpacing/>
        <w:mirrorIndents/>
        <w:rPr>
          <w:rFonts w:cs="Times New Roman"/>
        </w:rPr>
      </w:pPr>
      <w:r w:rsidRPr="00BF3398">
        <w:rPr>
          <w:rFonts w:cs="Times New Roman"/>
          <w:b/>
        </w:rPr>
        <w:t>Figure S</w:t>
      </w:r>
      <w:r w:rsidR="00EE24D5">
        <w:rPr>
          <w:rFonts w:cs="Times New Roman"/>
          <w:b/>
        </w:rPr>
        <w:t>8</w:t>
      </w:r>
      <w:r w:rsidR="00A87D42">
        <w:rPr>
          <w:rFonts w:cs="Times New Roman"/>
          <w:b/>
        </w:rPr>
        <w:t>.</w:t>
      </w:r>
      <w:r w:rsidRPr="00BF3398">
        <w:rPr>
          <w:rFonts w:cs="Times New Roman"/>
          <w:b/>
        </w:rPr>
        <w:t xml:space="preserve"> Robustness of the DEV signal against other embeddings for the microcosm experiment. </w:t>
      </w:r>
      <w:r w:rsidRPr="00BF3398">
        <w:rPr>
          <w:rFonts w:cs="Times New Roman"/>
        </w:rPr>
        <w:t xml:space="preserve">(a) Empirical data of the microcosm experiment. (b) </w:t>
      </w:r>
      <w:r w:rsidR="00B13DAF">
        <w:rPr>
          <w:rFonts w:cs="Times New Roman"/>
        </w:rPr>
        <w:t>T</w:t>
      </w:r>
      <w:r w:rsidRPr="00BF3398">
        <w:rPr>
          <w:rFonts w:cs="Times New Roman"/>
        </w:rPr>
        <w:t>he</w:t>
      </w:r>
      <w:r w:rsidR="00304B52">
        <w:rPr>
          <w:rFonts w:cs="Times New Roman"/>
        </w:rPr>
        <w:t xml:space="preserve"> absolute value of</w:t>
      </w:r>
      <w:r w:rsidRPr="00BF3398">
        <w:rPr>
          <w:rFonts w:cs="Times New Roman"/>
        </w:rPr>
        <w:t xml:space="preserve"> </w:t>
      </w:r>
      <w:r w:rsidR="003900D9">
        <w:rPr>
          <w:rFonts w:cs="Times New Roman"/>
        </w:rPr>
        <w:t xml:space="preserve">the real part of the </w:t>
      </w:r>
      <w:r w:rsidRPr="00BF3398">
        <w:rPr>
          <w:rFonts w:cs="Times New Roman"/>
        </w:rPr>
        <w:t xml:space="preserve">dominant </w:t>
      </w:r>
      <w:r w:rsidR="00072440">
        <w:rPr>
          <w:rFonts w:cs="Times New Roman"/>
        </w:rPr>
        <w:t>eigen-value</w:t>
      </w:r>
      <w:r w:rsidRPr="00BF3398">
        <w:rPr>
          <w:rFonts w:cs="Times New Roman"/>
        </w:rPr>
        <w:t xml:space="preserve"> (</w:t>
      </w:r>
      <w:r w:rsidR="00304B52">
        <w:rPr>
          <w:rFonts w:cs="Times New Roman"/>
        </w:rPr>
        <w:t>|</w:t>
      </w:r>
      <w:r w:rsidRPr="00BF3398">
        <w:rPr>
          <w:rFonts w:cs="Times New Roman"/>
        </w:rPr>
        <w:t>DEV</w:t>
      </w:r>
      <w:r w:rsidR="00304B52">
        <w:rPr>
          <w:rFonts w:cs="Times New Roman"/>
        </w:rPr>
        <w:t>|</w:t>
      </w:r>
      <w:r w:rsidRPr="00BF3398">
        <w:rPr>
          <w:rFonts w:cs="Times New Roman"/>
        </w:rPr>
        <w:t xml:space="preserve">) </w:t>
      </w:r>
      <w:r w:rsidR="00502236">
        <w:rPr>
          <w:rFonts w:cs="Times New Roman"/>
        </w:rPr>
        <w:t>is</w:t>
      </w:r>
      <w:r w:rsidR="00502236" w:rsidRPr="00BF3398">
        <w:rPr>
          <w:rFonts w:cs="Times New Roman"/>
        </w:rPr>
        <w:t xml:space="preserve"> </w:t>
      </w:r>
      <w:r w:rsidRPr="00BF3398">
        <w:rPr>
          <w:rFonts w:cs="Times New Roman"/>
        </w:rPr>
        <w:t xml:space="preserve">a function of time for the optimal embedding of </w:t>
      </w:r>
      <m:oMath>
        <m:r>
          <w:rPr>
            <w:rFonts w:ascii="Cambria Math" w:hAnsi="Cambria Math" w:cs="Times New Roman"/>
          </w:rPr>
          <m:t>E=6</m:t>
        </m:r>
      </m:oMath>
      <w:r w:rsidRPr="00BF3398">
        <w:rPr>
          <w:rFonts w:cs="Times New Roman"/>
        </w:rPr>
        <w:t xml:space="preserve"> and </w:t>
      </w:r>
      <m:oMath>
        <m:r>
          <w:rPr>
            <w:rFonts w:ascii="Cambria Math" w:hAnsi="Cambria Math" w:cs="Times New Roman"/>
          </w:rPr>
          <m:t>τ=2</m:t>
        </m:r>
      </m:oMath>
      <w:r w:rsidRPr="00BF3398">
        <w:rPr>
          <w:rFonts w:cs="Times New Roman"/>
        </w:rPr>
        <w:t xml:space="preserve">. (c-d) </w:t>
      </w:r>
      <w:r w:rsidR="00304B52">
        <w:rPr>
          <w:rFonts w:cs="Times New Roman"/>
        </w:rPr>
        <w:t>|</w:t>
      </w:r>
      <w:r w:rsidRPr="00BF3398">
        <w:rPr>
          <w:rFonts w:cs="Times New Roman"/>
        </w:rPr>
        <w:t>DEV</w:t>
      </w:r>
      <w:r w:rsidR="00304B52">
        <w:rPr>
          <w:rFonts w:cs="Times New Roman"/>
        </w:rPr>
        <w:t>|</w:t>
      </w:r>
      <w:r w:rsidRPr="00BF3398">
        <w:rPr>
          <w:rFonts w:cs="Times New Roman"/>
        </w:rPr>
        <w:t xml:space="preserve"> </w:t>
      </w:r>
      <w:r w:rsidR="00502236">
        <w:rPr>
          <w:rFonts w:cs="Times New Roman"/>
        </w:rPr>
        <w:t>is</w:t>
      </w:r>
      <w:r w:rsidR="00502236" w:rsidRPr="00BF3398">
        <w:rPr>
          <w:rFonts w:cs="Times New Roman"/>
        </w:rPr>
        <w:t xml:space="preserve"> </w:t>
      </w:r>
      <w:r w:rsidRPr="00BF3398">
        <w:rPr>
          <w:rFonts w:cs="Times New Roman"/>
        </w:rPr>
        <w:t xml:space="preserve">a function of time with changing dimensionality </w:t>
      </w:r>
      <m:oMath>
        <m:r>
          <w:rPr>
            <w:rFonts w:ascii="Cambria Math" w:hAnsi="Cambria Math" w:cs="Times New Roman"/>
          </w:rPr>
          <m:t>E</m:t>
        </m:r>
      </m:oMath>
      <w:r w:rsidRPr="00BF3398">
        <w:rPr>
          <w:rFonts w:cs="Times New Roman"/>
        </w:rPr>
        <w:t xml:space="preserve">. (e-f) </w:t>
      </w:r>
      <w:r w:rsidR="00304B52">
        <w:rPr>
          <w:rFonts w:cs="Times New Roman"/>
        </w:rPr>
        <w:t>|</w:t>
      </w:r>
      <w:r w:rsidRPr="00BF3398">
        <w:rPr>
          <w:rFonts w:cs="Times New Roman"/>
        </w:rPr>
        <w:t>DEV</w:t>
      </w:r>
      <w:r w:rsidR="00304B52">
        <w:rPr>
          <w:rFonts w:cs="Times New Roman"/>
        </w:rPr>
        <w:t>|</w:t>
      </w:r>
      <w:r w:rsidRPr="00BF3398">
        <w:rPr>
          <w:rFonts w:cs="Times New Roman"/>
        </w:rPr>
        <w:t xml:space="preserve"> </w:t>
      </w:r>
      <w:r w:rsidR="00502236">
        <w:rPr>
          <w:rFonts w:cs="Times New Roman"/>
        </w:rPr>
        <w:t>is</w:t>
      </w:r>
      <w:r w:rsidR="00502236" w:rsidRPr="00BF3398">
        <w:rPr>
          <w:rFonts w:cs="Times New Roman"/>
        </w:rPr>
        <w:t xml:space="preserve"> </w:t>
      </w:r>
      <w:r w:rsidRPr="00BF3398">
        <w:rPr>
          <w:rFonts w:cs="Times New Roman"/>
        </w:rPr>
        <w:t xml:space="preserve">a function of time with changing </w:t>
      </w:r>
      <m:oMath>
        <m:r>
          <w:rPr>
            <w:rFonts w:ascii="Cambria Math" w:hAnsi="Cambria Math" w:cs="Times New Roman"/>
          </w:rPr>
          <m:t>τ</m:t>
        </m:r>
      </m:oMath>
      <w:r w:rsidRPr="00BF3398">
        <w:rPr>
          <w:rFonts w:cs="Times New Roman"/>
        </w:rPr>
        <w:t xml:space="preserve">. (g-h) </w:t>
      </w:r>
      <w:r w:rsidR="00304B52">
        <w:rPr>
          <w:rFonts w:cs="Times New Roman"/>
        </w:rPr>
        <w:t>|</w:t>
      </w:r>
      <w:r w:rsidRPr="00BF3398">
        <w:rPr>
          <w:rFonts w:cs="Times New Roman"/>
        </w:rPr>
        <w:t>DEV</w:t>
      </w:r>
      <w:r w:rsidR="00304B52">
        <w:rPr>
          <w:rFonts w:cs="Times New Roman"/>
        </w:rPr>
        <w:t>|</w:t>
      </w:r>
      <w:r w:rsidRPr="00BF3398">
        <w:rPr>
          <w:rFonts w:cs="Times New Roman"/>
        </w:rPr>
        <w:t xml:space="preserve"> </w:t>
      </w:r>
      <w:r w:rsidR="00502236">
        <w:rPr>
          <w:rFonts w:cs="Times New Roman"/>
        </w:rPr>
        <w:t>is</w:t>
      </w:r>
      <w:r w:rsidR="00502236" w:rsidRPr="00BF3398">
        <w:rPr>
          <w:rFonts w:cs="Times New Roman"/>
        </w:rPr>
        <w:t xml:space="preserve"> </w:t>
      </w:r>
      <w:r w:rsidRPr="00BF3398">
        <w:rPr>
          <w:rFonts w:cs="Times New Roman"/>
        </w:rPr>
        <w:t xml:space="preserve">a function of time for smaller and larger sizes of the moving window. Early warning signals given by DEV </w:t>
      </w:r>
      <w:r w:rsidR="00ED21C4">
        <w:rPr>
          <w:rFonts w:cs="Times New Roman"/>
        </w:rPr>
        <w:t>we</w:t>
      </w:r>
      <w:r w:rsidRPr="00BF3398">
        <w:rPr>
          <w:rFonts w:cs="Times New Roman"/>
        </w:rPr>
        <w:t>re robust against changes in the state space reconstruction parameters</w:t>
      </w:r>
      <w:r w:rsidR="00304B52">
        <w:rPr>
          <w:rFonts w:cs="Times New Roman"/>
        </w:rPr>
        <w:t xml:space="preserve"> </w:t>
      </w:r>
      <w:r w:rsidR="00304B52" w:rsidRPr="00304B52">
        <w:rPr>
          <w:rFonts w:cs="Times New Roman"/>
          <w:i/>
        </w:rPr>
        <w:t>E</w:t>
      </w:r>
      <w:r w:rsidR="00304B52">
        <w:rPr>
          <w:rFonts w:cs="Times New Roman"/>
        </w:rPr>
        <w:t xml:space="preserve"> and </w:t>
      </w:r>
      <w:r w:rsidR="00304B52" w:rsidRPr="00304B52">
        <w:rPr>
          <w:rFonts w:cs="Times New Roman"/>
          <w:i/>
        </w:rPr>
        <w:t>τ</w:t>
      </w:r>
      <w:r w:rsidR="00ED21C4">
        <w:rPr>
          <w:rFonts w:cs="Times New Roman"/>
          <w:i/>
        </w:rPr>
        <w:t>,</w:t>
      </w:r>
      <w:r w:rsidR="00304B52">
        <w:rPr>
          <w:rFonts w:cs="Times New Roman"/>
        </w:rPr>
        <w:t xml:space="preserve"> </w:t>
      </w:r>
      <w:r w:rsidRPr="00BF3398">
        <w:rPr>
          <w:rFonts w:cs="Times New Roman"/>
        </w:rPr>
        <w:t>as well as window size.</w:t>
      </w:r>
      <w:r w:rsidRPr="00BF3398">
        <w:rPr>
          <w:rFonts w:cs="Times New Roman"/>
        </w:rPr>
        <w:br w:type="page"/>
      </w:r>
    </w:p>
    <w:p w14:paraId="2CCA4BE8" w14:textId="77777777" w:rsidR="00BF3398" w:rsidRPr="00BF3398" w:rsidRDefault="00BF3398" w:rsidP="003E2E37">
      <w:pPr>
        <w:spacing w:line="360" w:lineRule="auto"/>
        <w:ind w:firstLine="0"/>
        <w:contextualSpacing/>
        <w:mirrorIndents/>
        <w:rPr>
          <w:rFonts w:cs="Times New Roman"/>
        </w:rPr>
      </w:pPr>
      <w:r w:rsidRPr="00BF3398">
        <w:rPr>
          <w:rFonts w:cs="Times New Roman"/>
          <w:noProof/>
          <w:lang w:eastAsia="de-DE"/>
        </w:rPr>
        <w:lastRenderedPageBreak/>
        <w:drawing>
          <wp:inline distT="0" distB="0" distL="0" distR="0" wp14:anchorId="73283E52" wp14:editId="7E8F0612">
            <wp:extent cx="5346129" cy="5940000"/>
            <wp:effectExtent l="0" t="0" r="635" b="381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oice_robustness_75dpi.tiff"/>
                    <pic:cNvPicPr/>
                  </pic:nvPicPr>
                  <pic:blipFill>
                    <a:blip r:embed="rId22"/>
                    <a:stretch>
                      <a:fillRect/>
                    </a:stretch>
                  </pic:blipFill>
                  <pic:spPr>
                    <a:xfrm>
                      <a:off x="0" y="0"/>
                      <a:ext cx="5346129" cy="5940000"/>
                    </a:xfrm>
                    <a:prstGeom prst="rect">
                      <a:avLst/>
                    </a:prstGeom>
                  </pic:spPr>
                </pic:pic>
              </a:graphicData>
            </a:graphic>
          </wp:inline>
        </w:drawing>
      </w:r>
    </w:p>
    <w:p w14:paraId="0630DDFF" w14:textId="7EB1C0C3" w:rsidR="00BF3398" w:rsidRPr="00BF3398" w:rsidRDefault="00BF3398" w:rsidP="003E2E37">
      <w:pPr>
        <w:spacing w:line="360" w:lineRule="auto"/>
        <w:ind w:firstLine="0"/>
        <w:contextualSpacing/>
        <w:mirrorIndents/>
        <w:rPr>
          <w:rFonts w:cs="Times New Roman"/>
        </w:rPr>
      </w:pPr>
      <w:r w:rsidRPr="00BF3398">
        <w:rPr>
          <w:rFonts w:cs="Times New Roman"/>
          <w:b/>
        </w:rPr>
        <w:t>Figure S</w:t>
      </w:r>
      <w:r w:rsidR="00EE24D5">
        <w:rPr>
          <w:rFonts w:cs="Times New Roman"/>
          <w:b/>
        </w:rPr>
        <w:t>9</w:t>
      </w:r>
      <w:r w:rsidR="00A87D42">
        <w:rPr>
          <w:rFonts w:cs="Times New Roman"/>
          <w:b/>
        </w:rPr>
        <w:t>.</w:t>
      </w:r>
      <w:r w:rsidRPr="00BF3398">
        <w:rPr>
          <w:rFonts w:cs="Times New Roman"/>
          <w:b/>
        </w:rPr>
        <w:t xml:space="preserve"> Robustness of the DEV signal against other embeddings for the voice experiment. </w:t>
      </w:r>
      <w:r w:rsidRPr="00BF3398">
        <w:rPr>
          <w:rFonts w:cs="Times New Roman"/>
        </w:rPr>
        <w:t xml:space="preserve">(a) Empirical data of the voice experiment. (b) </w:t>
      </w:r>
      <w:r w:rsidR="00B13DAF">
        <w:rPr>
          <w:rFonts w:cs="Times New Roman"/>
        </w:rPr>
        <w:t>T</w:t>
      </w:r>
      <w:r w:rsidRPr="00BF3398">
        <w:rPr>
          <w:rFonts w:cs="Times New Roman"/>
        </w:rPr>
        <w:t>he</w:t>
      </w:r>
      <w:r w:rsidR="00B13DAF">
        <w:rPr>
          <w:rFonts w:cs="Times New Roman"/>
        </w:rPr>
        <w:t xml:space="preserve"> </w:t>
      </w:r>
      <w:r w:rsidR="00304B52">
        <w:rPr>
          <w:rFonts w:cs="Times New Roman"/>
        </w:rPr>
        <w:t xml:space="preserve">absolute value of </w:t>
      </w:r>
      <w:r w:rsidR="00B13DAF">
        <w:rPr>
          <w:rFonts w:cs="Times New Roman"/>
        </w:rPr>
        <w:t>dynamic</w:t>
      </w:r>
      <w:r w:rsidRPr="00BF3398">
        <w:rPr>
          <w:rFonts w:cs="Times New Roman"/>
        </w:rPr>
        <w:t xml:space="preserve"> dominant </w:t>
      </w:r>
      <w:r w:rsidR="00072440">
        <w:rPr>
          <w:rFonts w:cs="Times New Roman"/>
        </w:rPr>
        <w:t>eigen-value</w:t>
      </w:r>
      <w:r w:rsidRPr="00BF3398">
        <w:rPr>
          <w:rFonts w:cs="Times New Roman"/>
        </w:rPr>
        <w:t xml:space="preserve"> (</w:t>
      </w:r>
      <w:r w:rsidR="00304B52">
        <w:rPr>
          <w:rFonts w:cs="Times New Roman"/>
        </w:rPr>
        <w:t>|</w:t>
      </w:r>
      <w:r w:rsidRPr="00BF3398">
        <w:rPr>
          <w:rFonts w:cs="Times New Roman"/>
        </w:rPr>
        <w:t>DEV</w:t>
      </w:r>
      <w:r w:rsidR="00304B52">
        <w:rPr>
          <w:rFonts w:cs="Times New Roman"/>
        </w:rPr>
        <w:t>|</w:t>
      </w:r>
      <w:r w:rsidRPr="00BF3398">
        <w:rPr>
          <w:rFonts w:cs="Times New Roman"/>
        </w:rPr>
        <w:t xml:space="preserve">) </w:t>
      </w:r>
      <w:r w:rsidR="004E45CC">
        <w:rPr>
          <w:rFonts w:cs="Times New Roman"/>
        </w:rPr>
        <w:t>was</w:t>
      </w:r>
      <w:r w:rsidR="004E45CC" w:rsidRPr="00BF3398">
        <w:rPr>
          <w:rFonts w:cs="Times New Roman"/>
        </w:rPr>
        <w:t xml:space="preserve"> </w:t>
      </w:r>
      <w:r w:rsidRPr="00BF3398">
        <w:rPr>
          <w:rFonts w:cs="Times New Roman"/>
        </w:rPr>
        <w:t xml:space="preserve">a function of time for the optimal embedding of </w:t>
      </w:r>
      <m:oMath>
        <m:r>
          <w:rPr>
            <w:rFonts w:ascii="Cambria Math" w:hAnsi="Cambria Math" w:cs="Times New Roman"/>
          </w:rPr>
          <m:t>E=6</m:t>
        </m:r>
      </m:oMath>
      <w:r w:rsidRPr="00BF3398">
        <w:rPr>
          <w:rFonts w:cs="Times New Roman"/>
        </w:rPr>
        <w:t xml:space="preserve"> and </w:t>
      </w:r>
      <m:oMath>
        <m:r>
          <w:rPr>
            <w:rFonts w:ascii="Cambria Math" w:hAnsi="Cambria Math" w:cs="Times New Roman"/>
          </w:rPr>
          <m:t>τ=6</m:t>
        </m:r>
      </m:oMath>
      <w:r w:rsidRPr="00BF3398">
        <w:rPr>
          <w:rFonts w:cs="Times New Roman"/>
        </w:rPr>
        <w:t xml:space="preserve">. (c-d) </w:t>
      </w:r>
      <w:r w:rsidR="00304B52">
        <w:rPr>
          <w:rFonts w:cs="Times New Roman"/>
        </w:rPr>
        <w:t>|</w:t>
      </w:r>
      <w:r w:rsidRPr="00BF3398">
        <w:rPr>
          <w:rFonts w:cs="Times New Roman"/>
        </w:rPr>
        <w:t>DEV</w:t>
      </w:r>
      <w:r w:rsidR="00304B52">
        <w:rPr>
          <w:rFonts w:cs="Times New Roman"/>
        </w:rPr>
        <w:t>|</w:t>
      </w:r>
      <w:r w:rsidRPr="00BF3398">
        <w:rPr>
          <w:rFonts w:cs="Times New Roman"/>
        </w:rPr>
        <w:t xml:space="preserve"> </w:t>
      </w:r>
      <w:r w:rsidR="004E45CC">
        <w:rPr>
          <w:rFonts w:cs="Times New Roman"/>
        </w:rPr>
        <w:t>was</w:t>
      </w:r>
      <w:r w:rsidR="004E45CC" w:rsidRPr="00BF3398">
        <w:rPr>
          <w:rFonts w:cs="Times New Roman"/>
        </w:rPr>
        <w:t xml:space="preserve"> </w:t>
      </w:r>
      <w:r w:rsidRPr="00BF3398">
        <w:rPr>
          <w:rFonts w:cs="Times New Roman"/>
        </w:rPr>
        <w:t xml:space="preserve">a function of time with changing dimensionality </w:t>
      </w:r>
      <m:oMath>
        <m:r>
          <w:rPr>
            <w:rFonts w:ascii="Cambria Math" w:hAnsi="Cambria Math" w:cs="Times New Roman"/>
          </w:rPr>
          <m:t>E</m:t>
        </m:r>
      </m:oMath>
      <w:r w:rsidRPr="00BF3398">
        <w:rPr>
          <w:rFonts w:cs="Times New Roman"/>
        </w:rPr>
        <w:t xml:space="preserve">. (e-f) </w:t>
      </w:r>
      <w:r w:rsidR="00304B52">
        <w:rPr>
          <w:rFonts w:cs="Times New Roman"/>
        </w:rPr>
        <w:t>|</w:t>
      </w:r>
      <w:r w:rsidRPr="00BF3398">
        <w:rPr>
          <w:rFonts w:cs="Times New Roman"/>
        </w:rPr>
        <w:t>DEV</w:t>
      </w:r>
      <w:r w:rsidR="00304B52">
        <w:rPr>
          <w:rFonts w:cs="Times New Roman"/>
        </w:rPr>
        <w:t>|</w:t>
      </w:r>
      <w:r w:rsidRPr="00BF3398">
        <w:rPr>
          <w:rFonts w:cs="Times New Roman"/>
        </w:rPr>
        <w:t xml:space="preserve"> </w:t>
      </w:r>
      <w:r w:rsidR="004E45CC">
        <w:rPr>
          <w:rFonts w:cs="Times New Roman"/>
        </w:rPr>
        <w:t>was</w:t>
      </w:r>
      <w:r w:rsidR="004E45CC" w:rsidRPr="00BF3398">
        <w:rPr>
          <w:rFonts w:cs="Times New Roman"/>
        </w:rPr>
        <w:t xml:space="preserve"> </w:t>
      </w:r>
      <w:r w:rsidRPr="00BF3398">
        <w:rPr>
          <w:rFonts w:cs="Times New Roman"/>
        </w:rPr>
        <w:t xml:space="preserve">a function of time with changing </w:t>
      </w:r>
      <m:oMath>
        <m:r>
          <w:rPr>
            <w:rFonts w:ascii="Cambria Math" w:hAnsi="Cambria Math" w:cs="Times New Roman"/>
          </w:rPr>
          <m:t>τ</m:t>
        </m:r>
      </m:oMath>
      <w:r w:rsidRPr="00BF3398">
        <w:rPr>
          <w:rFonts w:cs="Times New Roman"/>
        </w:rPr>
        <w:t xml:space="preserve">. (g-h) </w:t>
      </w:r>
      <w:r w:rsidR="00304B52">
        <w:rPr>
          <w:rFonts w:cs="Times New Roman"/>
        </w:rPr>
        <w:t>|</w:t>
      </w:r>
      <w:r w:rsidRPr="00BF3398">
        <w:rPr>
          <w:rFonts w:cs="Times New Roman"/>
        </w:rPr>
        <w:t>DEV</w:t>
      </w:r>
      <w:r w:rsidR="00304B52">
        <w:rPr>
          <w:rFonts w:cs="Times New Roman"/>
        </w:rPr>
        <w:t>|</w:t>
      </w:r>
      <w:r w:rsidRPr="00BF3398">
        <w:rPr>
          <w:rFonts w:cs="Times New Roman"/>
        </w:rPr>
        <w:t xml:space="preserve"> </w:t>
      </w:r>
      <w:r w:rsidR="004E45CC">
        <w:rPr>
          <w:rFonts w:cs="Times New Roman"/>
        </w:rPr>
        <w:t>was</w:t>
      </w:r>
      <w:r w:rsidR="004E45CC" w:rsidRPr="00BF3398">
        <w:rPr>
          <w:rFonts w:cs="Times New Roman"/>
        </w:rPr>
        <w:t xml:space="preserve"> </w:t>
      </w:r>
      <w:r w:rsidRPr="00BF3398">
        <w:rPr>
          <w:rFonts w:cs="Times New Roman"/>
        </w:rPr>
        <w:t xml:space="preserve">a function of time for smaller and larger sizes of the moving window. Early warning signals given by DEV </w:t>
      </w:r>
      <w:r w:rsidR="004E45CC">
        <w:rPr>
          <w:rFonts w:cs="Times New Roman"/>
        </w:rPr>
        <w:t>we</w:t>
      </w:r>
      <w:r w:rsidR="004E45CC" w:rsidRPr="00BF3398">
        <w:rPr>
          <w:rFonts w:cs="Times New Roman"/>
        </w:rPr>
        <w:t xml:space="preserve">re </w:t>
      </w:r>
      <w:r w:rsidRPr="00BF3398">
        <w:rPr>
          <w:rFonts w:cs="Times New Roman"/>
        </w:rPr>
        <w:t xml:space="preserve">robust against changes in the state space reconstruction parameters </w:t>
      </w:r>
      <m:oMath>
        <m:r>
          <w:rPr>
            <w:rFonts w:ascii="Cambria Math" w:hAnsi="Cambria Math" w:cs="Times New Roman"/>
          </w:rPr>
          <m:t>E</m:t>
        </m:r>
      </m:oMath>
      <w:r w:rsidRPr="00BF3398">
        <w:rPr>
          <w:rFonts w:cs="Times New Roman"/>
        </w:rPr>
        <w:t xml:space="preserve"> and </w:t>
      </w:r>
      <m:oMath>
        <m:r>
          <w:rPr>
            <w:rFonts w:ascii="Cambria Math" w:hAnsi="Cambria Math" w:cs="Times New Roman"/>
          </w:rPr>
          <m:t>τ,</m:t>
        </m:r>
      </m:oMath>
      <w:r w:rsidRPr="00BF3398">
        <w:rPr>
          <w:rFonts w:cs="Times New Roman"/>
        </w:rPr>
        <w:t xml:space="preserve"> as well as window size.</w:t>
      </w:r>
      <w:r w:rsidRPr="00BF3398">
        <w:rPr>
          <w:rFonts w:cs="Times New Roman"/>
        </w:rPr>
        <w:br w:type="page"/>
      </w:r>
    </w:p>
    <w:p w14:paraId="1BC14193" w14:textId="22A2CCB8" w:rsidR="00BF3398" w:rsidRPr="00BF3398" w:rsidRDefault="006428E8" w:rsidP="003E2E37">
      <w:pPr>
        <w:spacing w:line="360" w:lineRule="auto"/>
        <w:ind w:firstLine="0"/>
        <w:contextualSpacing/>
        <w:mirrorIndents/>
        <w:rPr>
          <w:rFonts w:cs="Times New Roman"/>
        </w:rPr>
      </w:pPr>
      <w:r>
        <w:rPr>
          <w:rFonts w:cs="Times New Roman"/>
          <w:noProof/>
          <w:lang w:eastAsia="de-DE"/>
        </w:rPr>
        <w:lastRenderedPageBreak/>
        <w:drawing>
          <wp:inline distT="0" distB="0" distL="0" distR="0" wp14:anchorId="348EAF91" wp14:editId="6CECC14F">
            <wp:extent cx="5283667" cy="5940000"/>
            <wp:effectExtent l="0" t="0" r="0" b="381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obust_mito_new.tiff"/>
                    <pic:cNvPicPr/>
                  </pic:nvPicPr>
                  <pic:blipFill>
                    <a:blip r:embed="rId23">
                      <a:extLst>
                        <a:ext uri="{28A0092B-C50C-407E-A947-70E740481C1C}">
                          <a14:useLocalDpi xmlns:a14="http://schemas.microsoft.com/office/drawing/2010/main" val="0"/>
                        </a:ext>
                      </a:extLst>
                    </a:blip>
                    <a:stretch>
                      <a:fillRect/>
                    </a:stretch>
                  </pic:blipFill>
                  <pic:spPr>
                    <a:xfrm>
                      <a:off x="0" y="0"/>
                      <a:ext cx="5283667" cy="5940000"/>
                    </a:xfrm>
                    <a:prstGeom prst="rect">
                      <a:avLst/>
                    </a:prstGeom>
                  </pic:spPr>
                </pic:pic>
              </a:graphicData>
            </a:graphic>
          </wp:inline>
        </w:drawing>
      </w:r>
    </w:p>
    <w:p w14:paraId="19FAEC8B" w14:textId="0FCCE10D" w:rsidR="00BF3398" w:rsidRPr="00BF3398" w:rsidRDefault="00BF3398" w:rsidP="003E2E37">
      <w:pPr>
        <w:spacing w:line="360" w:lineRule="auto"/>
        <w:ind w:firstLine="0"/>
        <w:contextualSpacing/>
        <w:mirrorIndents/>
        <w:rPr>
          <w:rFonts w:cs="Times New Roman"/>
        </w:rPr>
      </w:pPr>
      <w:r w:rsidRPr="00BF3398">
        <w:rPr>
          <w:rFonts w:cs="Times New Roman"/>
          <w:b/>
        </w:rPr>
        <w:t>Figure S</w:t>
      </w:r>
      <w:r w:rsidR="00EE24D5">
        <w:rPr>
          <w:rFonts w:cs="Times New Roman"/>
          <w:b/>
        </w:rPr>
        <w:t>10.</w:t>
      </w:r>
      <w:r w:rsidRPr="00BF3398">
        <w:rPr>
          <w:rFonts w:cs="Times New Roman"/>
          <w:b/>
        </w:rPr>
        <w:t xml:space="preserve"> Robustness of the DEV signal against other embeddings for </w:t>
      </w:r>
      <w:r w:rsidR="009B548E" w:rsidRPr="009B548E">
        <w:rPr>
          <w:rFonts w:cs="Times New Roman"/>
          <w:b/>
        </w:rPr>
        <w:t>cellular ATP</w:t>
      </w:r>
      <w:r w:rsidRPr="00BF3398">
        <w:rPr>
          <w:rFonts w:cs="Times New Roman"/>
          <w:b/>
        </w:rPr>
        <w:t xml:space="preserve"> experiment. </w:t>
      </w:r>
      <w:r w:rsidRPr="00BF3398">
        <w:rPr>
          <w:rFonts w:cs="Times New Roman"/>
        </w:rPr>
        <w:t xml:space="preserve">(a) Empirical data of the </w:t>
      </w:r>
      <w:r w:rsidR="009B548E" w:rsidRPr="009B548E">
        <w:rPr>
          <w:rFonts w:cs="Times New Roman"/>
        </w:rPr>
        <w:t>cellular ATP</w:t>
      </w:r>
      <w:r w:rsidRPr="00BF3398">
        <w:rPr>
          <w:rFonts w:cs="Times New Roman"/>
        </w:rPr>
        <w:t xml:space="preserve"> experiment. (b) </w:t>
      </w:r>
      <w:r w:rsidR="00B13DAF">
        <w:rPr>
          <w:rFonts w:cs="Times New Roman"/>
        </w:rPr>
        <w:t>T</w:t>
      </w:r>
      <w:r w:rsidRPr="00BF3398">
        <w:rPr>
          <w:rFonts w:cs="Times New Roman"/>
        </w:rPr>
        <w:t>he</w:t>
      </w:r>
      <w:r w:rsidR="00304B52">
        <w:rPr>
          <w:rFonts w:cs="Times New Roman" w:hint="eastAsia"/>
          <w:lang w:eastAsia="zh-TW"/>
        </w:rPr>
        <w:t xml:space="preserve"> </w:t>
      </w:r>
      <w:r w:rsidR="00304B52">
        <w:rPr>
          <w:rFonts w:cs="Times New Roman"/>
        </w:rPr>
        <w:t>absolute value of</w:t>
      </w:r>
      <w:r w:rsidRPr="00BF3398">
        <w:rPr>
          <w:rFonts w:cs="Times New Roman"/>
        </w:rPr>
        <w:t xml:space="preserve"> </w:t>
      </w:r>
      <w:r w:rsidR="00B13DAF">
        <w:rPr>
          <w:rFonts w:cs="Times New Roman"/>
        </w:rPr>
        <w:t xml:space="preserve">dynamic </w:t>
      </w:r>
      <w:r w:rsidRPr="00BF3398">
        <w:rPr>
          <w:rFonts w:cs="Times New Roman"/>
        </w:rPr>
        <w:t xml:space="preserve">dominant </w:t>
      </w:r>
      <w:r w:rsidR="00072440">
        <w:rPr>
          <w:rFonts w:cs="Times New Roman"/>
        </w:rPr>
        <w:t>eigen-value</w:t>
      </w:r>
      <w:r w:rsidRPr="00BF3398">
        <w:rPr>
          <w:rFonts w:cs="Times New Roman"/>
        </w:rPr>
        <w:t xml:space="preserve"> (</w:t>
      </w:r>
      <w:r w:rsidR="00304B52">
        <w:rPr>
          <w:rFonts w:cs="Times New Roman"/>
        </w:rPr>
        <w:t>|</w:t>
      </w:r>
      <w:r w:rsidRPr="00BF3398">
        <w:rPr>
          <w:rFonts w:cs="Times New Roman"/>
        </w:rPr>
        <w:t>DEV</w:t>
      </w:r>
      <w:r w:rsidR="00304B52">
        <w:rPr>
          <w:rFonts w:cs="Times New Roman" w:hint="eastAsia"/>
          <w:lang w:eastAsia="zh-TW"/>
        </w:rPr>
        <w:t>|</w:t>
      </w:r>
      <w:r w:rsidRPr="00BF3398">
        <w:rPr>
          <w:rFonts w:cs="Times New Roman"/>
        </w:rPr>
        <w:t xml:space="preserve">) </w:t>
      </w:r>
      <w:r w:rsidR="004E45CC">
        <w:rPr>
          <w:rFonts w:cs="Times New Roman"/>
        </w:rPr>
        <w:t>wa</w:t>
      </w:r>
      <w:r w:rsidR="003B16E0">
        <w:rPr>
          <w:rFonts w:cs="Times New Roman"/>
        </w:rPr>
        <w:t>s</w:t>
      </w:r>
      <w:r w:rsidR="003B16E0" w:rsidRPr="00BF3398">
        <w:rPr>
          <w:rFonts w:cs="Times New Roman"/>
        </w:rPr>
        <w:t xml:space="preserve"> </w:t>
      </w:r>
      <w:r w:rsidRPr="00BF3398">
        <w:rPr>
          <w:rFonts w:cs="Times New Roman"/>
        </w:rPr>
        <w:t xml:space="preserve">a function of time for the optimal embedding of </w:t>
      </w:r>
      <m:oMath>
        <m:r>
          <w:rPr>
            <w:rFonts w:ascii="Cambria Math" w:hAnsi="Cambria Math" w:cs="Times New Roman"/>
          </w:rPr>
          <m:t>E=3</m:t>
        </m:r>
      </m:oMath>
      <w:r w:rsidRPr="00BF3398">
        <w:rPr>
          <w:rFonts w:cs="Times New Roman"/>
        </w:rPr>
        <w:t xml:space="preserve"> and </w:t>
      </w:r>
      <m:oMath>
        <m:r>
          <w:rPr>
            <w:rFonts w:ascii="Cambria Math" w:hAnsi="Cambria Math" w:cs="Times New Roman"/>
          </w:rPr>
          <m:t>τ=10</m:t>
        </m:r>
      </m:oMath>
      <w:r w:rsidRPr="00BF3398">
        <w:rPr>
          <w:rFonts w:cs="Times New Roman"/>
        </w:rPr>
        <w:t xml:space="preserve">. (c-d) </w:t>
      </w:r>
      <w:r w:rsidR="00304B52">
        <w:rPr>
          <w:rFonts w:cs="Times New Roman" w:hint="eastAsia"/>
          <w:lang w:eastAsia="zh-TW"/>
        </w:rPr>
        <w:t>|</w:t>
      </w:r>
      <w:r w:rsidRPr="00BF3398">
        <w:rPr>
          <w:rFonts w:cs="Times New Roman"/>
        </w:rPr>
        <w:t>DEV</w:t>
      </w:r>
      <w:r w:rsidR="00304B52">
        <w:rPr>
          <w:rFonts w:cs="Times New Roman" w:hint="eastAsia"/>
          <w:lang w:eastAsia="zh-TW"/>
        </w:rPr>
        <w:t>|</w:t>
      </w:r>
      <w:r w:rsidRPr="00BF3398">
        <w:rPr>
          <w:rFonts w:cs="Times New Roman"/>
        </w:rPr>
        <w:t xml:space="preserve"> </w:t>
      </w:r>
      <w:r w:rsidR="004E45CC">
        <w:rPr>
          <w:rFonts w:cs="Times New Roman"/>
        </w:rPr>
        <w:t>was</w:t>
      </w:r>
      <w:r w:rsidR="004E45CC" w:rsidRPr="00BF3398">
        <w:rPr>
          <w:rFonts w:cs="Times New Roman"/>
        </w:rPr>
        <w:t xml:space="preserve"> </w:t>
      </w:r>
      <w:r w:rsidRPr="00BF3398">
        <w:rPr>
          <w:rFonts w:cs="Times New Roman"/>
        </w:rPr>
        <w:t xml:space="preserve">a function of time with changing dimensionality </w:t>
      </w:r>
      <m:oMath>
        <m:r>
          <w:rPr>
            <w:rFonts w:ascii="Cambria Math" w:hAnsi="Cambria Math" w:cs="Times New Roman"/>
          </w:rPr>
          <m:t>E</m:t>
        </m:r>
      </m:oMath>
      <w:r w:rsidRPr="00BF3398">
        <w:rPr>
          <w:rFonts w:cs="Times New Roman"/>
        </w:rPr>
        <w:t xml:space="preserve">. (e-f) </w:t>
      </w:r>
      <w:r w:rsidR="003B16E0">
        <w:rPr>
          <w:rFonts w:cs="Times New Roman"/>
        </w:rPr>
        <w:t>|</w:t>
      </w:r>
      <w:r w:rsidRPr="00BF3398">
        <w:rPr>
          <w:rFonts w:cs="Times New Roman"/>
        </w:rPr>
        <w:t>DEV</w:t>
      </w:r>
      <w:r w:rsidR="003B16E0">
        <w:rPr>
          <w:rFonts w:cs="Times New Roman"/>
        </w:rPr>
        <w:t>|</w:t>
      </w:r>
      <w:r w:rsidR="00D0740B">
        <w:rPr>
          <w:rFonts w:cs="Times New Roman"/>
        </w:rPr>
        <w:t xml:space="preserve"> </w:t>
      </w:r>
      <w:r w:rsidR="004E45CC">
        <w:rPr>
          <w:rFonts w:cs="Times New Roman"/>
        </w:rPr>
        <w:t>was</w:t>
      </w:r>
      <w:r w:rsidR="004E45CC" w:rsidRPr="00BF3398">
        <w:rPr>
          <w:rFonts w:cs="Times New Roman"/>
        </w:rPr>
        <w:t xml:space="preserve"> </w:t>
      </w:r>
      <w:r w:rsidRPr="00BF3398">
        <w:rPr>
          <w:rFonts w:cs="Times New Roman"/>
        </w:rPr>
        <w:t xml:space="preserve">a function of time with changing </w:t>
      </w:r>
      <m:oMath>
        <m:r>
          <w:rPr>
            <w:rFonts w:ascii="Cambria Math" w:hAnsi="Cambria Math" w:cs="Times New Roman"/>
          </w:rPr>
          <m:t>τ</m:t>
        </m:r>
      </m:oMath>
      <w:r w:rsidRPr="00BF3398">
        <w:rPr>
          <w:rFonts w:cs="Times New Roman"/>
        </w:rPr>
        <w:t xml:space="preserve">. (g-h) </w:t>
      </w:r>
      <w:r w:rsidR="00304B52">
        <w:rPr>
          <w:rFonts w:cs="Times New Roman" w:hint="eastAsia"/>
          <w:lang w:eastAsia="zh-TW"/>
        </w:rPr>
        <w:t>|</w:t>
      </w:r>
      <w:r w:rsidRPr="00BF3398">
        <w:rPr>
          <w:rFonts w:cs="Times New Roman"/>
        </w:rPr>
        <w:t>DEV</w:t>
      </w:r>
      <w:r w:rsidR="00304B52">
        <w:rPr>
          <w:rFonts w:cs="Times New Roman" w:hint="eastAsia"/>
          <w:lang w:eastAsia="zh-TW"/>
        </w:rPr>
        <w:t>|</w:t>
      </w:r>
      <w:r w:rsidRPr="00BF3398">
        <w:rPr>
          <w:rFonts w:cs="Times New Roman"/>
        </w:rPr>
        <w:t xml:space="preserve"> </w:t>
      </w:r>
      <w:r w:rsidR="004E45CC">
        <w:rPr>
          <w:rFonts w:cs="Times New Roman"/>
        </w:rPr>
        <w:t>wa</w:t>
      </w:r>
      <w:r w:rsidR="00B13DAF">
        <w:rPr>
          <w:rFonts w:cs="Times New Roman"/>
        </w:rPr>
        <w:t>s</w:t>
      </w:r>
      <w:r w:rsidRPr="00BF3398">
        <w:rPr>
          <w:rFonts w:cs="Times New Roman"/>
        </w:rPr>
        <w:t xml:space="preserve"> a function of time for smaller and larger sizes of the moving window. Early warning signals given by DEV </w:t>
      </w:r>
      <w:r w:rsidR="004E45CC">
        <w:rPr>
          <w:rFonts w:cs="Times New Roman"/>
        </w:rPr>
        <w:t>we</w:t>
      </w:r>
      <w:r w:rsidR="004E45CC" w:rsidRPr="00BF3398">
        <w:rPr>
          <w:rFonts w:cs="Times New Roman"/>
        </w:rPr>
        <w:t xml:space="preserve">re </w:t>
      </w:r>
      <w:r w:rsidRPr="00BF3398">
        <w:rPr>
          <w:rFonts w:cs="Times New Roman"/>
        </w:rPr>
        <w:t xml:space="preserve">robust against changes in the state space reconstruction parameters </w:t>
      </w:r>
      <m:oMath>
        <m:r>
          <w:rPr>
            <w:rFonts w:ascii="Cambria Math" w:hAnsi="Cambria Math" w:cs="Times New Roman"/>
          </w:rPr>
          <m:t>E</m:t>
        </m:r>
      </m:oMath>
      <w:r w:rsidRPr="00BF3398">
        <w:rPr>
          <w:rFonts w:cs="Times New Roman"/>
        </w:rPr>
        <w:t xml:space="preserve"> and </w:t>
      </w:r>
      <m:oMath>
        <m:r>
          <w:rPr>
            <w:rFonts w:ascii="Cambria Math" w:hAnsi="Cambria Math" w:cs="Times New Roman"/>
          </w:rPr>
          <m:t>τ,</m:t>
        </m:r>
      </m:oMath>
      <w:r w:rsidRPr="00BF3398">
        <w:rPr>
          <w:rFonts w:cs="Times New Roman"/>
        </w:rPr>
        <w:t xml:space="preserve"> as well as window size.</w:t>
      </w:r>
      <w:r w:rsidRPr="00BF3398">
        <w:rPr>
          <w:rFonts w:cs="Times New Roman"/>
        </w:rPr>
        <w:br w:type="page"/>
      </w:r>
    </w:p>
    <w:p w14:paraId="4A515A4D" w14:textId="77777777" w:rsidR="00BF3398" w:rsidRPr="00BF3398" w:rsidRDefault="00BF3398" w:rsidP="003E2E37">
      <w:pPr>
        <w:spacing w:line="360" w:lineRule="auto"/>
        <w:ind w:firstLine="0"/>
        <w:contextualSpacing/>
        <w:mirrorIndents/>
        <w:rPr>
          <w:rFonts w:cs="Times New Roman"/>
        </w:rPr>
      </w:pPr>
      <w:r w:rsidRPr="00BF3398">
        <w:rPr>
          <w:rFonts w:cs="Times New Roman"/>
          <w:noProof/>
          <w:lang w:eastAsia="de-DE"/>
        </w:rPr>
        <w:lastRenderedPageBreak/>
        <w:drawing>
          <wp:inline distT="0" distB="0" distL="0" distR="0" wp14:anchorId="730799D4" wp14:editId="05A54C36">
            <wp:extent cx="5270500" cy="585597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ge_robustness_75dpi.tiff"/>
                    <pic:cNvPicPr/>
                  </pic:nvPicPr>
                  <pic:blipFill>
                    <a:blip r:embed="rId24"/>
                    <a:stretch>
                      <a:fillRect/>
                    </a:stretch>
                  </pic:blipFill>
                  <pic:spPr>
                    <a:xfrm>
                      <a:off x="0" y="0"/>
                      <a:ext cx="5270500" cy="5855970"/>
                    </a:xfrm>
                    <a:prstGeom prst="rect">
                      <a:avLst/>
                    </a:prstGeom>
                  </pic:spPr>
                </pic:pic>
              </a:graphicData>
            </a:graphic>
          </wp:inline>
        </w:drawing>
      </w:r>
    </w:p>
    <w:p w14:paraId="209003CC" w14:textId="0A2F4C7C" w:rsidR="00BF3398" w:rsidRPr="00BF3398" w:rsidRDefault="00BF3398" w:rsidP="003E2E37">
      <w:pPr>
        <w:spacing w:line="360" w:lineRule="auto"/>
        <w:ind w:firstLine="0"/>
        <w:contextualSpacing/>
        <w:mirrorIndents/>
        <w:rPr>
          <w:rFonts w:cs="Times New Roman"/>
        </w:rPr>
      </w:pPr>
      <w:r w:rsidRPr="00BF3398">
        <w:rPr>
          <w:rFonts w:cs="Times New Roman"/>
          <w:b/>
        </w:rPr>
        <w:t>Figure S</w:t>
      </w:r>
      <w:r w:rsidR="00EE24D5">
        <w:rPr>
          <w:rFonts w:cs="Times New Roman"/>
          <w:b/>
        </w:rPr>
        <w:t>11</w:t>
      </w:r>
      <w:r w:rsidRPr="00BF3398">
        <w:rPr>
          <w:rFonts w:cs="Times New Roman"/>
          <w:b/>
        </w:rPr>
        <w:t xml:space="preserve">. Robustness of the DEV signal against other embeddings for the end of greenhouse earth climate data. </w:t>
      </w:r>
      <w:r w:rsidRPr="00BF3398">
        <w:rPr>
          <w:rFonts w:cs="Times New Roman"/>
        </w:rPr>
        <w:t xml:space="preserve">(a) Empirical climate data. (b) </w:t>
      </w:r>
      <w:r w:rsidR="00B13DAF">
        <w:rPr>
          <w:rFonts w:cs="Times New Roman"/>
        </w:rPr>
        <w:t>T</w:t>
      </w:r>
      <w:r w:rsidRPr="00BF3398">
        <w:rPr>
          <w:rFonts w:cs="Times New Roman"/>
        </w:rPr>
        <w:t>he</w:t>
      </w:r>
      <w:r w:rsidR="00304B52">
        <w:rPr>
          <w:rFonts w:cs="Times New Roman"/>
        </w:rPr>
        <w:t xml:space="preserve"> absolute value of</w:t>
      </w:r>
      <w:r w:rsidR="00B13DAF">
        <w:rPr>
          <w:rFonts w:cs="Times New Roman"/>
        </w:rPr>
        <w:t xml:space="preserve"> dynamic</w:t>
      </w:r>
      <w:r w:rsidRPr="00BF3398">
        <w:rPr>
          <w:rFonts w:cs="Times New Roman"/>
        </w:rPr>
        <w:t xml:space="preserve"> dominant </w:t>
      </w:r>
      <w:r w:rsidR="00072440">
        <w:rPr>
          <w:rFonts w:cs="Times New Roman"/>
        </w:rPr>
        <w:t>eigen-value</w:t>
      </w:r>
      <w:r w:rsidRPr="00BF3398">
        <w:rPr>
          <w:rFonts w:cs="Times New Roman"/>
        </w:rPr>
        <w:t xml:space="preserve"> (</w:t>
      </w:r>
      <w:r w:rsidR="00304B52">
        <w:rPr>
          <w:rFonts w:cs="Times New Roman" w:hint="eastAsia"/>
          <w:lang w:eastAsia="zh-TW"/>
        </w:rPr>
        <w:t>|</w:t>
      </w:r>
      <w:r w:rsidRPr="00BF3398">
        <w:rPr>
          <w:rFonts w:cs="Times New Roman"/>
        </w:rPr>
        <w:t>DEV</w:t>
      </w:r>
      <w:r w:rsidR="00304B52">
        <w:rPr>
          <w:rFonts w:cs="Times New Roman" w:hint="eastAsia"/>
          <w:lang w:eastAsia="zh-TW"/>
        </w:rPr>
        <w:t>|</w:t>
      </w:r>
      <w:r w:rsidRPr="00BF3398">
        <w:rPr>
          <w:rFonts w:cs="Times New Roman"/>
        </w:rPr>
        <w:t xml:space="preserve">) </w:t>
      </w:r>
      <w:r w:rsidR="004E45CC">
        <w:rPr>
          <w:rFonts w:cs="Times New Roman"/>
        </w:rPr>
        <w:t>was</w:t>
      </w:r>
      <w:r w:rsidR="004E45CC" w:rsidRPr="00BF3398">
        <w:rPr>
          <w:rFonts w:cs="Times New Roman"/>
        </w:rPr>
        <w:t xml:space="preserve"> </w:t>
      </w:r>
      <w:r w:rsidRPr="00BF3398">
        <w:rPr>
          <w:rFonts w:cs="Times New Roman"/>
        </w:rPr>
        <w:t xml:space="preserve">a function of time for the optimal embedding of </w:t>
      </w:r>
      <m:oMath>
        <m:r>
          <w:rPr>
            <w:rFonts w:ascii="Cambria Math" w:hAnsi="Cambria Math" w:cs="Times New Roman"/>
          </w:rPr>
          <m:t>E=5</m:t>
        </m:r>
      </m:oMath>
      <w:r w:rsidRPr="00BF3398">
        <w:rPr>
          <w:rFonts w:cs="Times New Roman"/>
        </w:rPr>
        <w:t xml:space="preserve"> and </w:t>
      </w:r>
      <m:oMath>
        <m:r>
          <w:rPr>
            <w:rFonts w:ascii="Cambria Math" w:hAnsi="Cambria Math" w:cs="Times New Roman"/>
          </w:rPr>
          <m:t>τ=2</m:t>
        </m:r>
      </m:oMath>
      <w:r w:rsidRPr="00BF3398">
        <w:rPr>
          <w:rFonts w:cs="Times New Roman"/>
        </w:rPr>
        <w:t xml:space="preserve">. (c-d) </w:t>
      </w:r>
      <w:r w:rsidR="00304B52">
        <w:rPr>
          <w:rFonts w:cs="Times New Roman" w:hint="eastAsia"/>
          <w:lang w:eastAsia="zh-TW"/>
        </w:rPr>
        <w:t>|</w:t>
      </w:r>
      <w:r w:rsidRPr="00BF3398">
        <w:rPr>
          <w:rFonts w:cs="Times New Roman"/>
        </w:rPr>
        <w:t>DEV</w:t>
      </w:r>
      <w:r w:rsidR="00304B52">
        <w:rPr>
          <w:rFonts w:cs="Times New Roman" w:hint="eastAsia"/>
          <w:lang w:eastAsia="zh-TW"/>
        </w:rPr>
        <w:t>|</w:t>
      </w:r>
      <w:r w:rsidRPr="00BF3398">
        <w:rPr>
          <w:rFonts w:cs="Times New Roman"/>
        </w:rPr>
        <w:t xml:space="preserve"> </w:t>
      </w:r>
      <w:r w:rsidR="004E45CC">
        <w:rPr>
          <w:rFonts w:cs="Times New Roman"/>
        </w:rPr>
        <w:t>was</w:t>
      </w:r>
      <w:r w:rsidR="004E45CC" w:rsidRPr="00BF3398">
        <w:rPr>
          <w:rFonts w:cs="Times New Roman"/>
        </w:rPr>
        <w:t xml:space="preserve"> </w:t>
      </w:r>
      <w:r w:rsidRPr="00BF3398">
        <w:rPr>
          <w:rFonts w:cs="Times New Roman"/>
        </w:rPr>
        <w:t xml:space="preserve">a function of time with changing dimensionality </w:t>
      </w:r>
      <m:oMath>
        <m:r>
          <w:rPr>
            <w:rFonts w:ascii="Cambria Math" w:hAnsi="Cambria Math" w:cs="Times New Roman"/>
          </w:rPr>
          <m:t>E</m:t>
        </m:r>
      </m:oMath>
      <w:r w:rsidRPr="00BF3398">
        <w:rPr>
          <w:rFonts w:cs="Times New Roman"/>
        </w:rPr>
        <w:t>. (e-f) DEV</w:t>
      </w:r>
      <w:r w:rsidR="00D0740B">
        <w:rPr>
          <w:rFonts w:cs="Times New Roman"/>
        </w:rPr>
        <w:t xml:space="preserve"> </w:t>
      </w:r>
      <w:r w:rsidR="004E45CC">
        <w:rPr>
          <w:rFonts w:cs="Times New Roman"/>
        </w:rPr>
        <w:t>was</w:t>
      </w:r>
      <w:r w:rsidR="004E45CC" w:rsidRPr="00BF3398">
        <w:rPr>
          <w:rFonts w:cs="Times New Roman"/>
        </w:rPr>
        <w:t xml:space="preserve"> </w:t>
      </w:r>
      <w:r w:rsidRPr="00BF3398">
        <w:rPr>
          <w:rFonts w:cs="Times New Roman"/>
        </w:rPr>
        <w:t xml:space="preserve">a function of time with changing </w:t>
      </w:r>
      <m:oMath>
        <m:r>
          <w:rPr>
            <w:rFonts w:ascii="Cambria Math" w:hAnsi="Cambria Math" w:cs="Times New Roman"/>
          </w:rPr>
          <m:t>τ</m:t>
        </m:r>
      </m:oMath>
      <w:r w:rsidRPr="00BF3398">
        <w:rPr>
          <w:rFonts w:cs="Times New Roman"/>
        </w:rPr>
        <w:t xml:space="preserve">. (g-h) </w:t>
      </w:r>
      <w:r w:rsidR="00304B52">
        <w:rPr>
          <w:rFonts w:cs="Times New Roman"/>
        </w:rPr>
        <w:t>|</w:t>
      </w:r>
      <w:r w:rsidRPr="00BF3398">
        <w:rPr>
          <w:rFonts w:cs="Times New Roman"/>
        </w:rPr>
        <w:t>DEV</w:t>
      </w:r>
      <w:r w:rsidR="00304B52">
        <w:rPr>
          <w:rFonts w:cs="Times New Roman"/>
        </w:rPr>
        <w:t>|</w:t>
      </w:r>
      <w:r w:rsidR="00B13DAF">
        <w:rPr>
          <w:rFonts w:cs="Times New Roman"/>
        </w:rPr>
        <w:t xml:space="preserve"> </w:t>
      </w:r>
      <w:r w:rsidR="004E45CC">
        <w:rPr>
          <w:rFonts w:cs="Times New Roman"/>
        </w:rPr>
        <w:t>was</w:t>
      </w:r>
      <w:r w:rsidR="004E45CC" w:rsidRPr="00BF3398">
        <w:rPr>
          <w:rFonts w:cs="Times New Roman"/>
        </w:rPr>
        <w:t xml:space="preserve"> </w:t>
      </w:r>
      <w:r w:rsidRPr="00BF3398">
        <w:rPr>
          <w:rFonts w:cs="Times New Roman"/>
        </w:rPr>
        <w:t>a function of time for smaller and larger sizes of the moving window. Early warning signals given by DEV</w:t>
      </w:r>
      <w:r w:rsidR="00B13DAF">
        <w:rPr>
          <w:rFonts w:cs="Times New Roman"/>
        </w:rPr>
        <w:t xml:space="preserve"> </w:t>
      </w:r>
      <w:r w:rsidR="004E45CC">
        <w:rPr>
          <w:rFonts w:cs="Times New Roman"/>
        </w:rPr>
        <w:t>we</w:t>
      </w:r>
      <w:r w:rsidR="004E45CC" w:rsidRPr="00BF3398">
        <w:rPr>
          <w:rFonts w:cs="Times New Roman"/>
        </w:rPr>
        <w:t xml:space="preserve">re </w:t>
      </w:r>
      <w:r w:rsidRPr="00BF3398">
        <w:rPr>
          <w:rFonts w:cs="Times New Roman"/>
        </w:rPr>
        <w:t xml:space="preserve">robust against changes in the attractor dimensionality </w:t>
      </w:r>
      <m:oMath>
        <m:r>
          <w:rPr>
            <w:rFonts w:ascii="Cambria Math" w:hAnsi="Cambria Math" w:cs="Times New Roman"/>
          </w:rPr>
          <m:t>E</m:t>
        </m:r>
      </m:oMath>
      <w:r w:rsidRPr="00BF3398">
        <w:rPr>
          <w:rFonts w:cs="Times New Roman"/>
        </w:rPr>
        <w:t xml:space="preserve"> and changes in window sizes, but </w:t>
      </w:r>
      <w:r w:rsidR="004E45CC">
        <w:rPr>
          <w:rFonts w:cs="Times New Roman"/>
        </w:rPr>
        <w:t>we</w:t>
      </w:r>
      <w:r w:rsidR="004E45CC" w:rsidRPr="00BF3398">
        <w:rPr>
          <w:rFonts w:cs="Times New Roman"/>
        </w:rPr>
        <w:t xml:space="preserve">re </w:t>
      </w:r>
      <w:r w:rsidRPr="00BF3398">
        <w:rPr>
          <w:rFonts w:cs="Times New Roman"/>
        </w:rPr>
        <w:t xml:space="preserve">sensitive to </w:t>
      </w:r>
      <m:oMath>
        <m:r>
          <w:rPr>
            <w:rFonts w:ascii="Cambria Math" w:hAnsi="Cambria Math" w:cs="Times New Roman"/>
          </w:rPr>
          <m:t>τ.</m:t>
        </m:r>
      </m:oMath>
      <w:r w:rsidRPr="00BF3398">
        <w:rPr>
          <w:rFonts w:cs="Times New Roman"/>
        </w:rPr>
        <w:br w:type="page"/>
      </w:r>
    </w:p>
    <w:p w14:paraId="4FEE73E3" w14:textId="77777777" w:rsidR="00BF3398" w:rsidRPr="00BF3398" w:rsidRDefault="00BF3398" w:rsidP="003E2E37">
      <w:pPr>
        <w:spacing w:line="360" w:lineRule="auto"/>
        <w:ind w:firstLine="0"/>
        <w:contextualSpacing/>
        <w:mirrorIndents/>
        <w:rPr>
          <w:rFonts w:cs="Times New Roman"/>
        </w:rPr>
      </w:pPr>
      <w:r w:rsidRPr="00BF3398">
        <w:rPr>
          <w:rFonts w:cs="Times New Roman"/>
          <w:noProof/>
          <w:lang w:eastAsia="de-DE"/>
        </w:rPr>
        <w:lastRenderedPageBreak/>
        <w:drawing>
          <wp:inline distT="0" distB="0" distL="0" distR="0" wp14:anchorId="31696033" wp14:editId="270499BA">
            <wp:extent cx="4965302" cy="5516880"/>
            <wp:effectExtent l="0" t="0" r="6985" b="7620"/>
            <wp:docPr id="1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le_rob.tiff"/>
                    <pic:cNvPicPr/>
                  </pic:nvPicPr>
                  <pic:blipFill>
                    <a:blip r:embed="rId25">
                      <a:extLst>
                        <a:ext uri="{28A0092B-C50C-407E-A947-70E740481C1C}">
                          <a14:useLocalDpi xmlns:a14="http://schemas.microsoft.com/office/drawing/2010/main" val="0"/>
                        </a:ext>
                      </a:extLst>
                    </a:blip>
                    <a:stretch>
                      <a:fillRect/>
                    </a:stretch>
                  </pic:blipFill>
                  <pic:spPr>
                    <a:xfrm>
                      <a:off x="0" y="0"/>
                      <a:ext cx="4995140" cy="5550033"/>
                    </a:xfrm>
                    <a:prstGeom prst="rect">
                      <a:avLst/>
                    </a:prstGeom>
                  </pic:spPr>
                </pic:pic>
              </a:graphicData>
            </a:graphic>
          </wp:inline>
        </w:drawing>
      </w:r>
    </w:p>
    <w:p w14:paraId="0BCAA0A6" w14:textId="385E5353" w:rsidR="00BF3398" w:rsidRPr="00BF3398" w:rsidRDefault="00BF3398" w:rsidP="003E2E37">
      <w:pPr>
        <w:spacing w:line="360" w:lineRule="auto"/>
        <w:ind w:firstLine="0"/>
        <w:contextualSpacing/>
        <w:mirrorIndents/>
        <w:rPr>
          <w:rFonts w:cs="Times New Roman"/>
        </w:rPr>
      </w:pPr>
      <w:r w:rsidRPr="00BF3398">
        <w:rPr>
          <w:rFonts w:cs="Times New Roman"/>
          <w:b/>
        </w:rPr>
        <w:t>Figure S</w:t>
      </w:r>
      <w:r w:rsidR="00C00916">
        <w:rPr>
          <w:rFonts w:cs="Times New Roman"/>
          <w:b/>
        </w:rPr>
        <w:t>1</w:t>
      </w:r>
      <w:r w:rsidR="00EE24D5">
        <w:rPr>
          <w:rFonts w:cs="Times New Roman"/>
          <w:b/>
        </w:rPr>
        <w:t>2</w:t>
      </w:r>
      <w:r w:rsidRPr="00BF3398">
        <w:rPr>
          <w:rFonts w:cs="Times New Roman"/>
          <w:b/>
        </w:rPr>
        <w:t xml:space="preserve">. Robustness of the DEV signal against suboptimal embeddings for the electricity data. </w:t>
      </w:r>
      <w:r w:rsidRPr="00BF3398">
        <w:rPr>
          <w:rFonts w:cs="Times New Roman"/>
        </w:rPr>
        <w:t>(a) Empirical data of the “1996 Western North America blackouts</w:t>
      </w:r>
      <w:r w:rsidR="00DF55B4">
        <w:rPr>
          <w:rFonts w:cs="Times New Roman"/>
        </w:rPr>
        <w:t>.</w:t>
      </w:r>
      <w:r w:rsidRPr="00BF3398">
        <w:rPr>
          <w:rFonts w:cs="Times New Roman"/>
        </w:rPr>
        <w:t xml:space="preserve">” (b) </w:t>
      </w:r>
      <w:r w:rsidR="00B13DAF">
        <w:rPr>
          <w:rFonts w:cs="Times New Roman"/>
        </w:rPr>
        <w:t>T</w:t>
      </w:r>
      <w:r w:rsidRPr="00BF3398">
        <w:rPr>
          <w:rFonts w:cs="Times New Roman"/>
        </w:rPr>
        <w:t>he</w:t>
      </w:r>
      <w:r w:rsidR="00304B52">
        <w:rPr>
          <w:rFonts w:cs="Times New Roman"/>
        </w:rPr>
        <w:t xml:space="preserve"> absolute value of</w:t>
      </w:r>
      <w:r w:rsidR="00B13DAF">
        <w:rPr>
          <w:rFonts w:cs="Times New Roman"/>
        </w:rPr>
        <w:t xml:space="preserve"> dynamic</w:t>
      </w:r>
      <w:r w:rsidRPr="00BF3398">
        <w:rPr>
          <w:rFonts w:cs="Times New Roman"/>
        </w:rPr>
        <w:t xml:space="preserve"> dominant </w:t>
      </w:r>
      <w:r w:rsidR="00072440">
        <w:rPr>
          <w:rFonts w:cs="Times New Roman"/>
        </w:rPr>
        <w:t>eigen-value</w:t>
      </w:r>
      <w:r w:rsidRPr="00BF3398">
        <w:rPr>
          <w:rFonts w:cs="Times New Roman"/>
        </w:rPr>
        <w:t xml:space="preserve"> (</w:t>
      </w:r>
      <w:r w:rsidR="00304B52">
        <w:rPr>
          <w:rFonts w:cs="Times New Roman"/>
        </w:rPr>
        <w:t>|</w:t>
      </w:r>
      <w:r w:rsidRPr="00BF3398">
        <w:rPr>
          <w:rFonts w:cs="Times New Roman"/>
        </w:rPr>
        <w:t>DEV</w:t>
      </w:r>
      <w:r w:rsidR="00304B52">
        <w:rPr>
          <w:rFonts w:cs="Times New Roman"/>
        </w:rPr>
        <w:t>|</w:t>
      </w:r>
      <w:r w:rsidRPr="00BF3398">
        <w:rPr>
          <w:rFonts w:cs="Times New Roman"/>
        </w:rPr>
        <w:t xml:space="preserve">) </w:t>
      </w:r>
      <w:r w:rsidR="00DF55B4">
        <w:rPr>
          <w:rFonts w:cs="Times New Roman"/>
        </w:rPr>
        <w:t>w</w:t>
      </w:r>
      <w:r w:rsidRPr="00BF3398">
        <w:rPr>
          <w:rFonts w:cs="Times New Roman"/>
        </w:rPr>
        <w:t xml:space="preserve">as a function of time for the optimal embedding of </w:t>
      </w:r>
      <m:oMath>
        <m:r>
          <w:rPr>
            <w:rFonts w:ascii="Cambria Math" w:hAnsi="Cambria Math" w:cs="Times New Roman"/>
          </w:rPr>
          <m:t>E=5</m:t>
        </m:r>
      </m:oMath>
      <w:r w:rsidRPr="00BF3398">
        <w:rPr>
          <w:rFonts w:cs="Times New Roman"/>
        </w:rPr>
        <w:t xml:space="preserve"> and </w:t>
      </w:r>
      <m:oMath>
        <m:r>
          <w:rPr>
            <w:rFonts w:ascii="Cambria Math" w:hAnsi="Cambria Math" w:cs="Times New Roman"/>
          </w:rPr>
          <m:t>τ=1</m:t>
        </m:r>
      </m:oMath>
      <w:r w:rsidRPr="00BF3398">
        <w:rPr>
          <w:rFonts w:cs="Times New Roman"/>
        </w:rPr>
        <w:t xml:space="preserve">. (c-d) </w:t>
      </w:r>
      <w:r w:rsidR="00304B52">
        <w:rPr>
          <w:rFonts w:cs="Times New Roman"/>
        </w:rPr>
        <w:t>|</w:t>
      </w:r>
      <w:r w:rsidRPr="00BF3398">
        <w:rPr>
          <w:rFonts w:cs="Times New Roman"/>
        </w:rPr>
        <w:t>DEV</w:t>
      </w:r>
      <w:r w:rsidR="00304B52">
        <w:rPr>
          <w:rFonts w:cs="Times New Roman"/>
        </w:rPr>
        <w:t>|</w:t>
      </w:r>
      <w:r w:rsidR="00B13DAF">
        <w:rPr>
          <w:rFonts w:cs="Times New Roman"/>
        </w:rPr>
        <w:t xml:space="preserve"> </w:t>
      </w:r>
      <w:r w:rsidR="00DF55B4">
        <w:rPr>
          <w:rFonts w:cs="Times New Roman"/>
        </w:rPr>
        <w:t>was</w:t>
      </w:r>
      <w:r w:rsidR="00DF55B4" w:rsidRPr="00BF3398">
        <w:rPr>
          <w:rFonts w:cs="Times New Roman"/>
        </w:rPr>
        <w:t xml:space="preserve"> </w:t>
      </w:r>
      <w:r w:rsidRPr="00BF3398">
        <w:rPr>
          <w:rFonts w:cs="Times New Roman"/>
        </w:rPr>
        <w:t xml:space="preserve">a function of time with changing dimensionality </w:t>
      </w:r>
      <m:oMath>
        <m:r>
          <w:rPr>
            <w:rFonts w:ascii="Cambria Math" w:hAnsi="Cambria Math" w:cs="Times New Roman"/>
          </w:rPr>
          <m:t>E</m:t>
        </m:r>
      </m:oMath>
      <w:r w:rsidRPr="00BF3398">
        <w:rPr>
          <w:rFonts w:cs="Times New Roman"/>
        </w:rPr>
        <w:t xml:space="preserve">. (e-f) </w:t>
      </w:r>
      <w:r w:rsidR="00304B52">
        <w:rPr>
          <w:rFonts w:cs="Times New Roman"/>
        </w:rPr>
        <w:t>|</w:t>
      </w:r>
      <w:r w:rsidRPr="00BF3398">
        <w:rPr>
          <w:rFonts w:cs="Times New Roman"/>
        </w:rPr>
        <w:t>DEV</w:t>
      </w:r>
      <w:r w:rsidR="00304B52">
        <w:rPr>
          <w:rFonts w:cs="Times New Roman"/>
        </w:rPr>
        <w:t>|</w:t>
      </w:r>
      <w:r w:rsidR="00B13DAF">
        <w:rPr>
          <w:rFonts w:cs="Times New Roman"/>
        </w:rPr>
        <w:t xml:space="preserve"> </w:t>
      </w:r>
      <w:r w:rsidR="00DF55B4">
        <w:rPr>
          <w:rFonts w:cs="Times New Roman"/>
        </w:rPr>
        <w:t>was</w:t>
      </w:r>
      <w:r w:rsidR="00DF55B4" w:rsidRPr="00BF3398">
        <w:rPr>
          <w:rFonts w:cs="Times New Roman"/>
        </w:rPr>
        <w:t xml:space="preserve"> </w:t>
      </w:r>
      <w:r w:rsidRPr="00BF3398">
        <w:rPr>
          <w:rFonts w:cs="Times New Roman"/>
        </w:rPr>
        <w:t xml:space="preserve">a function of time with changing </w:t>
      </w:r>
      <m:oMath>
        <m:r>
          <w:rPr>
            <w:rFonts w:ascii="Cambria Math" w:hAnsi="Cambria Math" w:cs="Times New Roman"/>
          </w:rPr>
          <m:t>τ</m:t>
        </m:r>
      </m:oMath>
      <w:r w:rsidRPr="00BF3398">
        <w:rPr>
          <w:rFonts w:cs="Times New Roman"/>
        </w:rPr>
        <w:t xml:space="preserve">. Note that for state space reconstruction </w:t>
      </w:r>
      <m:oMath>
        <m:r>
          <w:rPr>
            <w:rFonts w:ascii="Cambria Math" w:hAnsi="Cambria Math" w:cs="Times New Roman"/>
          </w:rPr>
          <m:t>τ&gt;0</m:t>
        </m:r>
      </m:oMath>
      <w:r w:rsidRPr="00BF3398">
        <w:rPr>
          <w:rFonts w:cs="Times New Roman"/>
        </w:rPr>
        <w:t xml:space="preserve"> is needed. Thus, S-map coefficients could not be calculated for </w:t>
      </w:r>
      <m:oMath>
        <m:r>
          <w:rPr>
            <w:rFonts w:ascii="Cambria Math" w:hAnsi="Cambria Math" w:cs="Times New Roman"/>
          </w:rPr>
          <m:t>τ=0</m:t>
        </m:r>
      </m:oMath>
      <w:r w:rsidRPr="00BF3398">
        <w:rPr>
          <w:rFonts w:cs="Times New Roman"/>
        </w:rPr>
        <w:t xml:space="preserve">. (g-h) </w:t>
      </w:r>
      <w:r w:rsidR="00304B52">
        <w:rPr>
          <w:rFonts w:cs="Times New Roman"/>
        </w:rPr>
        <w:t>|</w:t>
      </w:r>
      <w:r w:rsidRPr="00BF3398">
        <w:rPr>
          <w:rFonts w:cs="Times New Roman"/>
        </w:rPr>
        <w:t>DEV</w:t>
      </w:r>
      <w:r w:rsidR="00304B52">
        <w:rPr>
          <w:rFonts w:cs="Times New Roman"/>
        </w:rPr>
        <w:t>|</w:t>
      </w:r>
      <w:r w:rsidR="00B13DAF">
        <w:rPr>
          <w:rFonts w:cs="Times New Roman"/>
        </w:rPr>
        <w:t xml:space="preserve"> </w:t>
      </w:r>
      <w:r w:rsidR="00DF55B4">
        <w:rPr>
          <w:rFonts w:cs="Times New Roman"/>
        </w:rPr>
        <w:t>was</w:t>
      </w:r>
      <w:r w:rsidR="00DF55B4" w:rsidRPr="00BF3398">
        <w:rPr>
          <w:rFonts w:cs="Times New Roman"/>
        </w:rPr>
        <w:t xml:space="preserve"> </w:t>
      </w:r>
      <w:r w:rsidRPr="00BF3398">
        <w:rPr>
          <w:rFonts w:cs="Times New Roman"/>
        </w:rPr>
        <w:t>a function of time for smaller and larger sizes of the moving window. Early warning signals given by</w:t>
      </w:r>
      <w:r w:rsidR="00B13DAF">
        <w:rPr>
          <w:rFonts w:cs="Times New Roman"/>
        </w:rPr>
        <w:t xml:space="preserve"> </w:t>
      </w:r>
      <w:r w:rsidRPr="00BF3398">
        <w:rPr>
          <w:rFonts w:cs="Times New Roman"/>
        </w:rPr>
        <w:t xml:space="preserve">DEV </w:t>
      </w:r>
      <w:r w:rsidR="00DF55B4">
        <w:rPr>
          <w:rFonts w:cs="Times New Roman"/>
        </w:rPr>
        <w:t>we</w:t>
      </w:r>
      <w:r w:rsidR="00DF55B4" w:rsidRPr="00BF3398">
        <w:rPr>
          <w:rFonts w:cs="Times New Roman"/>
        </w:rPr>
        <w:t xml:space="preserve">re </w:t>
      </w:r>
      <w:r w:rsidRPr="00BF3398">
        <w:rPr>
          <w:rFonts w:cs="Times New Roman"/>
        </w:rPr>
        <w:t xml:space="preserve">robust against changes in the state space reconstruction parameter </w:t>
      </w:r>
      <m:oMath>
        <m:r>
          <w:rPr>
            <w:rFonts w:ascii="Cambria Math" w:hAnsi="Cambria Math" w:cs="Times New Roman"/>
          </w:rPr>
          <m:t>E,</m:t>
        </m:r>
      </m:oMath>
      <w:r w:rsidRPr="00BF3398">
        <w:rPr>
          <w:rFonts w:cs="Times New Roman"/>
        </w:rPr>
        <w:t xml:space="preserve"> as well as window size.</w:t>
      </w:r>
      <w:r w:rsidRPr="00BF3398">
        <w:rPr>
          <w:rFonts w:cs="Times New Roman"/>
        </w:rPr>
        <w:br w:type="page"/>
      </w:r>
    </w:p>
    <w:p w14:paraId="7781A996" w14:textId="77777777" w:rsidR="00BF3398" w:rsidRPr="00BF3398" w:rsidRDefault="00BF3398" w:rsidP="003E2E37">
      <w:pPr>
        <w:spacing w:line="360" w:lineRule="auto"/>
        <w:ind w:firstLine="0"/>
        <w:contextualSpacing/>
        <w:mirrorIndents/>
        <w:rPr>
          <w:rFonts w:cs="Times New Roman"/>
        </w:rPr>
      </w:pPr>
      <w:r w:rsidRPr="00BF3398">
        <w:rPr>
          <w:rFonts w:cs="Times New Roman"/>
          <w:noProof/>
          <w:lang w:eastAsia="de-DE"/>
        </w:rPr>
        <w:lastRenderedPageBreak/>
        <w:drawing>
          <wp:inline distT="0" distB="0" distL="0" distR="0" wp14:anchorId="344D28C7" wp14:editId="57A78C22">
            <wp:extent cx="4403090" cy="8197804"/>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_ar_75dpi.tiff"/>
                    <pic:cNvPicPr/>
                  </pic:nvPicPr>
                  <pic:blipFill>
                    <a:blip r:embed="rId26"/>
                    <a:stretch>
                      <a:fillRect/>
                    </a:stretch>
                  </pic:blipFill>
                  <pic:spPr>
                    <a:xfrm>
                      <a:off x="0" y="0"/>
                      <a:ext cx="4407568" cy="8206142"/>
                    </a:xfrm>
                    <a:prstGeom prst="rect">
                      <a:avLst/>
                    </a:prstGeom>
                  </pic:spPr>
                </pic:pic>
              </a:graphicData>
            </a:graphic>
          </wp:inline>
        </w:drawing>
      </w:r>
    </w:p>
    <w:p w14:paraId="61351BEC" w14:textId="2F89BA95" w:rsidR="00BF3398" w:rsidRDefault="00BF3398" w:rsidP="003E2E37">
      <w:pPr>
        <w:spacing w:line="360" w:lineRule="auto"/>
        <w:ind w:firstLine="0"/>
        <w:contextualSpacing/>
        <w:mirrorIndents/>
        <w:rPr>
          <w:rFonts w:cs="Times New Roman"/>
        </w:rPr>
      </w:pPr>
      <w:r w:rsidRPr="00BF3398">
        <w:rPr>
          <w:rFonts w:cs="Times New Roman"/>
          <w:b/>
        </w:rPr>
        <w:lastRenderedPageBreak/>
        <w:t>Figure S1</w:t>
      </w:r>
      <w:r w:rsidR="00EE24D5">
        <w:rPr>
          <w:rFonts w:cs="Times New Roman"/>
          <w:b/>
        </w:rPr>
        <w:t>3</w:t>
      </w:r>
      <w:r w:rsidRPr="00BF3398">
        <w:rPr>
          <w:rFonts w:cs="Times New Roman"/>
          <w:b/>
        </w:rPr>
        <w:t xml:space="preserve">. Results of resilience indicators, autocorrelation (AR1) and variance (SD), for the empirical data. </w:t>
      </w:r>
      <w:r w:rsidRPr="00BF3398">
        <w:rPr>
          <w:rFonts w:cs="Times New Roman"/>
        </w:rPr>
        <w:t>(a-b) Resilience indicators for the microcosm experiment</w:t>
      </w:r>
      <w:r w:rsidR="00187B7D">
        <w:rPr>
          <w:rFonts w:cs="Times New Roman"/>
        </w:rPr>
        <w:t>:</w:t>
      </w:r>
      <w:r w:rsidRPr="00BF3398">
        <w:rPr>
          <w:rFonts w:cs="Times New Roman"/>
        </w:rPr>
        <w:t xml:space="preserve"> </w:t>
      </w:r>
      <w:r w:rsidR="00187B7D">
        <w:rPr>
          <w:rFonts w:cs="Times New Roman"/>
        </w:rPr>
        <w:t>a</w:t>
      </w:r>
      <w:r w:rsidRPr="00BF3398">
        <w:rPr>
          <w:rFonts w:cs="Times New Roman"/>
        </w:rPr>
        <w:t xml:space="preserve">utocorrelation (a) detects bifurcation in advance, while variance (b) </w:t>
      </w:r>
      <w:r w:rsidR="00DF55B4" w:rsidRPr="00BF3398">
        <w:rPr>
          <w:rFonts w:cs="Times New Roman"/>
        </w:rPr>
        <w:t>fail</w:t>
      </w:r>
      <w:r w:rsidR="00DF55B4">
        <w:rPr>
          <w:rFonts w:cs="Times New Roman"/>
        </w:rPr>
        <w:t>ed</w:t>
      </w:r>
      <w:r w:rsidRPr="00BF3398">
        <w:rPr>
          <w:rFonts w:cs="Times New Roman"/>
        </w:rPr>
        <w:t>. (c-d) Resilience indicators for the voice experiment</w:t>
      </w:r>
      <w:r w:rsidR="00187B7D">
        <w:rPr>
          <w:rFonts w:cs="Times New Roman"/>
        </w:rPr>
        <w:t>:</w:t>
      </w:r>
      <w:r w:rsidRPr="00BF3398">
        <w:rPr>
          <w:rFonts w:cs="Times New Roman"/>
        </w:rPr>
        <w:t xml:space="preserve"> </w:t>
      </w:r>
      <w:r w:rsidR="00187B7D">
        <w:rPr>
          <w:rFonts w:cs="Times New Roman"/>
        </w:rPr>
        <w:t>a</w:t>
      </w:r>
      <w:r w:rsidRPr="00BF3398">
        <w:rPr>
          <w:rFonts w:cs="Times New Roman"/>
        </w:rPr>
        <w:t>utocorrelation and variance detect</w:t>
      </w:r>
      <w:r w:rsidR="00DF55B4">
        <w:rPr>
          <w:rFonts w:cs="Times New Roman"/>
        </w:rPr>
        <w:t>ed</w:t>
      </w:r>
      <w:r w:rsidRPr="00BF3398">
        <w:rPr>
          <w:rFonts w:cs="Times New Roman"/>
        </w:rPr>
        <w:t xml:space="preserve"> bifurcation in advance. (e-f) Resilience indicators for the </w:t>
      </w:r>
      <w:r w:rsidR="009B548E" w:rsidRPr="009B548E">
        <w:rPr>
          <w:rFonts w:cs="Times New Roman"/>
        </w:rPr>
        <w:t>cellular ATP</w:t>
      </w:r>
      <w:r w:rsidRPr="00BF3398">
        <w:rPr>
          <w:rFonts w:cs="Times New Roman"/>
        </w:rPr>
        <w:t xml:space="preserve"> experiment</w:t>
      </w:r>
      <w:r w:rsidR="00187B7D">
        <w:rPr>
          <w:rFonts w:cs="Times New Roman"/>
        </w:rPr>
        <w:t>:</w:t>
      </w:r>
      <w:r w:rsidRPr="00BF3398">
        <w:rPr>
          <w:rFonts w:cs="Times New Roman"/>
        </w:rPr>
        <w:t xml:space="preserve"> </w:t>
      </w:r>
      <w:r w:rsidR="00187B7D">
        <w:rPr>
          <w:rFonts w:cs="Times New Roman"/>
        </w:rPr>
        <w:t>b</w:t>
      </w:r>
      <w:r w:rsidRPr="00BF3398">
        <w:rPr>
          <w:rFonts w:cs="Times New Roman"/>
        </w:rPr>
        <w:t>oth indicators fail</w:t>
      </w:r>
      <w:r w:rsidR="00DF55B4">
        <w:rPr>
          <w:rFonts w:cs="Times New Roman"/>
        </w:rPr>
        <w:t xml:space="preserve">ed </w:t>
      </w:r>
      <w:r w:rsidRPr="00BF3398">
        <w:rPr>
          <w:rFonts w:cs="Times New Roman"/>
        </w:rPr>
        <w:t xml:space="preserve">to detect bifurcation as they </w:t>
      </w:r>
      <w:r w:rsidR="00DF55B4" w:rsidRPr="00BF3398">
        <w:rPr>
          <w:rFonts w:cs="Times New Roman"/>
        </w:rPr>
        <w:t>d</w:t>
      </w:r>
      <w:r w:rsidR="00DF55B4">
        <w:rPr>
          <w:rFonts w:cs="Times New Roman"/>
        </w:rPr>
        <w:t>id</w:t>
      </w:r>
      <w:r w:rsidR="00DF55B4" w:rsidRPr="00BF3398">
        <w:rPr>
          <w:rFonts w:cs="Times New Roman"/>
        </w:rPr>
        <w:t xml:space="preserve"> </w:t>
      </w:r>
      <w:r w:rsidRPr="00BF3398">
        <w:rPr>
          <w:rFonts w:cs="Times New Roman"/>
        </w:rPr>
        <w:t>not increase in advance. (g-h) Resilience indicators for the climate data</w:t>
      </w:r>
      <w:r w:rsidR="00594986">
        <w:rPr>
          <w:rFonts w:cs="Times New Roman"/>
        </w:rPr>
        <w:t>:</w:t>
      </w:r>
      <w:r w:rsidRPr="00BF3398">
        <w:rPr>
          <w:rFonts w:cs="Times New Roman"/>
        </w:rPr>
        <w:t xml:space="preserve"> </w:t>
      </w:r>
      <w:r w:rsidR="00594986">
        <w:rPr>
          <w:rFonts w:cs="Times New Roman"/>
        </w:rPr>
        <w:t>a</w:t>
      </w:r>
      <w:r w:rsidRPr="00BF3398">
        <w:rPr>
          <w:rFonts w:cs="Times New Roman"/>
        </w:rPr>
        <w:t xml:space="preserve">utocorrelation (g) </w:t>
      </w:r>
      <w:r w:rsidR="00DF55B4" w:rsidRPr="00BF3398">
        <w:rPr>
          <w:rFonts w:cs="Times New Roman"/>
        </w:rPr>
        <w:t>detect</w:t>
      </w:r>
      <w:r w:rsidR="00DF55B4">
        <w:rPr>
          <w:rFonts w:cs="Times New Roman"/>
        </w:rPr>
        <w:t>ed</w:t>
      </w:r>
      <w:r w:rsidR="00DF55B4" w:rsidRPr="00BF3398">
        <w:rPr>
          <w:rFonts w:cs="Times New Roman"/>
        </w:rPr>
        <w:t xml:space="preserve"> </w:t>
      </w:r>
      <w:r w:rsidRPr="00BF3398">
        <w:rPr>
          <w:rFonts w:cs="Times New Roman"/>
        </w:rPr>
        <w:t xml:space="preserve">bifurcation in advance, </w:t>
      </w:r>
      <w:r w:rsidR="00DF55B4" w:rsidRPr="00BF3398">
        <w:rPr>
          <w:rFonts w:cs="Times New Roman"/>
        </w:rPr>
        <w:t>wh</w:t>
      </w:r>
      <w:r w:rsidR="00DF55B4">
        <w:rPr>
          <w:rFonts w:cs="Times New Roman"/>
        </w:rPr>
        <w:t>ereas</w:t>
      </w:r>
      <w:r w:rsidR="00DF55B4" w:rsidRPr="00BF3398">
        <w:rPr>
          <w:rFonts w:cs="Times New Roman"/>
        </w:rPr>
        <w:t xml:space="preserve"> </w:t>
      </w:r>
      <w:r w:rsidRPr="00BF3398">
        <w:rPr>
          <w:rFonts w:cs="Times New Roman"/>
        </w:rPr>
        <w:t xml:space="preserve">variance (h) </w:t>
      </w:r>
      <w:r w:rsidR="00DF55B4" w:rsidRPr="00BF3398">
        <w:rPr>
          <w:rFonts w:cs="Times New Roman"/>
        </w:rPr>
        <w:t>fail</w:t>
      </w:r>
      <w:r w:rsidR="00DF55B4">
        <w:rPr>
          <w:rFonts w:cs="Times New Roman"/>
        </w:rPr>
        <w:t>ed</w:t>
      </w:r>
      <w:r w:rsidRPr="00BF3398">
        <w:rPr>
          <w:rFonts w:cs="Times New Roman"/>
        </w:rPr>
        <w:t>. (i-j) Resilience indicators for the electricity data</w:t>
      </w:r>
      <w:r w:rsidR="00594986">
        <w:rPr>
          <w:rFonts w:cs="Times New Roman"/>
        </w:rPr>
        <w:t>:</w:t>
      </w:r>
      <w:r w:rsidRPr="00BF3398">
        <w:rPr>
          <w:rFonts w:cs="Times New Roman"/>
        </w:rPr>
        <w:t xml:space="preserve"> </w:t>
      </w:r>
      <w:r w:rsidR="00594986">
        <w:rPr>
          <w:rFonts w:cs="Times New Roman"/>
        </w:rPr>
        <w:t>a</w:t>
      </w:r>
      <w:r w:rsidRPr="00BF3398">
        <w:rPr>
          <w:rFonts w:cs="Times New Roman"/>
        </w:rPr>
        <w:t>utocorrelation and variance detect</w:t>
      </w:r>
      <w:r w:rsidR="00DF55B4">
        <w:rPr>
          <w:rFonts w:cs="Times New Roman"/>
        </w:rPr>
        <w:t>ed</w:t>
      </w:r>
      <w:r w:rsidRPr="00BF3398">
        <w:rPr>
          <w:rFonts w:cs="Times New Roman"/>
        </w:rPr>
        <w:t xml:space="preserve"> bifurcation in advance.</w:t>
      </w:r>
      <w:r w:rsidRPr="00BF3398">
        <w:rPr>
          <w:rFonts w:cs="Times New Roman"/>
        </w:rPr>
        <w:br w:type="page"/>
      </w:r>
    </w:p>
    <w:p w14:paraId="2C8A54D0" w14:textId="75864DAB" w:rsidR="00FB0DE1" w:rsidRPr="00BF3398" w:rsidRDefault="00D31C7F" w:rsidP="003E2E37">
      <w:pPr>
        <w:spacing w:line="360" w:lineRule="auto"/>
        <w:ind w:firstLine="0"/>
        <w:contextualSpacing/>
        <w:mirrorIndents/>
        <w:rPr>
          <w:rFonts w:cs="Times New Roman"/>
        </w:rPr>
      </w:pPr>
      <w:r>
        <w:rPr>
          <w:rFonts w:cs="Times New Roman"/>
          <w:noProof/>
        </w:rPr>
        <w:lastRenderedPageBreak/>
        <w:drawing>
          <wp:inline distT="0" distB="0" distL="0" distR="0" wp14:anchorId="38740460" wp14:editId="595A6F2B">
            <wp:extent cx="4485861" cy="4485861"/>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asting_multi.tiff"/>
                    <pic:cNvPicPr/>
                  </pic:nvPicPr>
                  <pic:blipFill>
                    <a:blip r:embed="rId27">
                      <a:extLst>
                        <a:ext uri="{28A0092B-C50C-407E-A947-70E740481C1C}">
                          <a14:useLocalDpi xmlns:a14="http://schemas.microsoft.com/office/drawing/2010/main" val="0"/>
                        </a:ext>
                      </a:extLst>
                    </a:blip>
                    <a:stretch>
                      <a:fillRect/>
                    </a:stretch>
                  </pic:blipFill>
                  <pic:spPr>
                    <a:xfrm>
                      <a:off x="0" y="0"/>
                      <a:ext cx="4492342" cy="4492342"/>
                    </a:xfrm>
                    <a:prstGeom prst="rect">
                      <a:avLst/>
                    </a:prstGeom>
                  </pic:spPr>
                </pic:pic>
              </a:graphicData>
            </a:graphic>
          </wp:inline>
        </w:drawing>
      </w:r>
    </w:p>
    <w:p w14:paraId="51E4753F" w14:textId="6E707D52" w:rsidR="00FB0DE1" w:rsidRDefault="00FB0DE1" w:rsidP="003E2E37">
      <w:pPr>
        <w:spacing w:line="360" w:lineRule="auto"/>
        <w:ind w:firstLine="0"/>
        <w:contextualSpacing/>
        <w:mirrorIndents/>
        <w:rPr>
          <w:rFonts w:cs="Times New Roman"/>
          <w:bCs/>
        </w:rPr>
      </w:pPr>
      <w:r w:rsidRPr="00BF3398">
        <w:rPr>
          <w:rFonts w:cs="Times New Roman"/>
          <w:b/>
        </w:rPr>
        <w:t>Figure S1</w:t>
      </w:r>
      <w:r w:rsidR="00EE24D5">
        <w:rPr>
          <w:rFonts w:cs="Times New Roman"/>
          <w:b/>
        </w:rPr>
        <w:t>4</w:t>
      </w:r>
      <w:r w:rsidRPr="00BF3398">
        <w:rPr>
          <w:rFonts w:cs="Times New Roman"/>
          <w:b/>
        </w:rPr>
        <w:t xml:space="preserve">. Multivariate DEV results of the </w:t>
      </w:r>
      <w:r w:rsidR="005E147A" w:rsidRPr="005E147A">
        <w:rPr>
          <w:rFonts w:cs="Times New Roman"/>
          <w:b/>
        </w:rPr>
        <w:t>stochasticity-driven patch dynamics model</w:t>
      </w:r>
      <w:r w:rsidRPr="00BF3398">
        <w:rPr>
          <w:rFonts w:cs="Times New Roman"/>
          <w:b/>
        </w:rPr>
        <w:t xml:space="preserve">. </w:t>
      </w:r>
      <w:r w:rsidRPr="00BF3398">
        <w:rPr>
          <w:rFonts w:cs="Times New Roman"/>
          <w:bCs/>
        </w:rPr>
        <w:t>(a) Exemplary time series of one patch. (</w:t>
      </w:r>
      <w:r>
        <w:rPr>
          <w:rFonts w:cs="Times New Roman"/>
          <w:bCs/>
        </w:rPr>
        <w:t>b</w:t>
      </w:r>
      <w:r w:rsidRPr="00BF3398">
        <w:rPr>
          <w:rFonts w:cs="Times New Roman"/>
          <w:bCs/>
        </w:rPr>
        <w:t xml:space="preserve">) </w:t>
      </w:r>
      <w:r w:rsidR="00DF55B4">
        <w:rPr>
          <w:rFonts w:cs="Times New Roman"/>
          <w:bCs/>
        </w:rPr>
        <w:t>Based on t</w:t>
      </w:r>
      <w:r w:rsidR="00DF55B4" w:rsidRPr="00BF3398">
        <w:rPr>
          <w:rFonts w:cs="Times New Roman"/>
          <w:bCs/>
        </w:rPr>
        <w:t xml:space="preserve">he </w:t>
      </w:r>
      <w:r w:rsidRPr="00BF3398">
        <w:rPr>
          <w:rFonts w:cs="Times New Roman"/>
          <w:bCs/>
        </w:rPr>
        <w:t>univariate approach</w:t>
      </w:r>
      <w:r w:rsidR="00DF55B4">
        <w:rPr>
          <w:rFonts w:cs="Times New Roman"/>
          <w:bCs/>
        </w:rPr>
        <w:t>,</w:t>
      </w:r>
      <w:r w:rsidRPr="00BF3398">
        <w:rPr>
          <w:rFonts w:cs="Times New Roman"/>
          <w:bCs/>
        </w:rPr>
        <w:t xml:space="preserve"> </w:t>
      </w:r>
      <w:r w:rsidRPr="00BF3398">
        <w:rPr>
          <w:rFonts w:cs="Times New Roman"/>
        </w:rPr>
        <w:t xml:space="preserve">DEV </w:t>
      </w:r>
      <w:r w:rsidR="00DF55B4" w:rsidRPr="00BF3398">
        <w:rPr>
          <w:rFonts w:cs="Times New Roman"/>
        </w:rPr>
        <w:t>display</w:t>
      </w:r>
      <w:r w:rsidR="00DF55B4">
        <w:rPr>
          <w:rFonts w:cs="Times New Roman"/>
        </w:rPr>
        <w:t>ed limited</w:t>
      </w:r>
      <w:r w:rsidRPr="00BF3398">
        <w:rPr>
          <w:rFonts w:cs="Times New Roman"/>
        </w:rPr>
        <w:t xml:space="preserve"> </w:t>
      </w:r>
      <w:r w:rsidRPr="00BF3398">
        <w:rPr>
          <w:rFonts w:cs="Times New Roman"/>
          <w:bCs/>
        </w:rPr>
        <w:t xml:space="preserve">increase over time and </w:t>
      </w:r>
      <w:r w:rsidR="00DF55B4" w:rsidRPr="00BF3398">
        <w:rPr>
          <w:rFonts w:cs="Times New Roman"/>
          <w:bCs/>
        </w:rPr>
        <w:t>d</w:t>
      </w:r>
      <w:r w:rsidR="00DF55B4">
        <w:rPr>
          <w:rFonts w:cs="Times New Roman"/>
          <w:bCs/>
        </w:rPr>
        <w:t>id</w:t>
      </w:r>
      <w:r w:rsidR="00DF55B4" w:rsidRPr="00BF3398">
        <w:rPr>
          <w:rFonts w:cs="Times New Roman"/>
          <w:bCs/>
        </w:rPr>
        <w:t xml:space="preserve"> </w:t>
      </w:r>
      <w:r w:rsidRPr="00BF3398">
        <w:rPr>
          <w:rFonts w:cs="Times New Roman"/>
          <w:bCs/>
        </w:rPr>
        <w:t>not reach 1 at the bifurcation point.</w:t>
      </w:r>
      <w:r>
        <w:rPr>
          <w:rFonts w:cs="Times New Roman"/>
          <w:bCs/>
        </w:rPr>
        <w:t xml:space="preserve"> </w:t>
      </w:r>
      <w:r w:rsidRPr="00BF3398">
        <w:rPr>
          <w:rFonts w:cs="Times New Roman"/>
          <w:bCs/>
        </w:rPr>
        <w:t>(</w:t>
      </w:r>
      <w:r>
        <w:rPr>
          <w:rFonts w:cs="Times New Roman"/>
          <w:bCs/>
        </w:rPr>
        <w:t>c</w:t>
      </w:r>
      <w:r w:rsidRPr="00BF3398">
        <w:rPr>
          <w:rFonts w:cs="Times New Roman"/>
          <w:bCs/>
        </w:rPr>
        <w:t xml:space="preserve">) </w:t>
      </w:r>
      <w:r>
        <w:rPr>
          <w:rFonts w:cs="Times New Roman"/>
          <w:bCs/>
        </w:rPr>
        <w:t>In contrast, t</w:t>
      </w:r>
      <w:r w:rsidRPr="00BF3398">
        <w:rPr>
          <w:rFonts w:cs="Times New Roman"/>
          <w:bCs/>
        </w:rPr>
        <w:t xml:space="preserve">he multivariate approach </w:t>
      </w:r>
      <w:r w:rsidR="00DF55B4" w:rsidRPr="00BF3398">
        <w:rPr>
          <w:rFonts w:cs="Times New Roman"/>
          <w:bCs/>
        </w:rPr>
        <w:t>indicate</w:t>
      </w:r>
      <w:r w:rsidR="00DF55B4">
        <w:rPr>
          <w:rFonts w:cs="Times New Roman"/>
          <w:bCs/>
        </w:rPr>
        <w:t>d</w:t>
      </w:r>
      <w:r w:rsidR="00DF55B4" w:rsidRPr="00BF3398">
        <w:rPr>
          <w:rFonts w:cs="Times New Roman"/>
          <w:bCs/>
        </w:rPr>
        <w:t xml:space="preserve"> </w:t>
      </w:r>
      <w:r w:rsidRPr="00BF3398">
        <w:rPr>
          <w:rFonts w:cs="Times New Roman"/>
          <w:bCs/>
        </w:rPr>
        <w:t xml:space="preserve">that </w:t>
      </w:r>
      <w:r w:rsidRPr="00BF3398">
        <w:rPr>
          <w:rFonts w:cs="Times New Roman"/>
        </w:rPr>
        <w:t xml:space="preserve">|DEV| </w:t>
      </w:r>
      <w:r w:rsidR="00DF55B4" w:rsidRPr="00BF3398">
        <w:rPr>
          <w:rFonts w:cs="Times New Roman"/>
          <w:bCs/>
        </w:rPr>
        <w:t>increase</w:t>
      </w:r>
      <w:r w:rsidR="00DF55B4">
        <w:rPr>
          <w:rFonts w:cs="Times New Roman"/>
          <w:bCs/>
        </w:rPr>
        <w:t>d</w:t>
      </w:r>
      <w:r w:rsidR="00DF55B4" w:rsidRPr="00BF3398">
        <w:rPr>
          <w:rFonts w:cs="Times New Roman"/>
          <w:bCs/>
        </w:rPr>
        <w:t xml:space="preserve"> </w:t>
      </w:r>
      <w:r w:rsidRPr="00BF3398">
        <w:rPr>
          <w:rFonts w:cs="Times New Roman"/>
          <w:bCs/>
        </w:rPr>
        <w:t xml:space="preserve">over time and </w:t>
      </w:r>
      <w:r w:rsidR="00DF55B4" w:rsidRPr="00BF3398">
        <w:rPr>
          <w:rFonts w:cs="Times New Roman"/>
          <w:bCs/>
        </w:rPr>
        <w:t>reache</w:t>
      </w:r>
      <w:r w:rsidR="00DF55B4">
        <w:rPr>
          <w:rFonts w:cs="Times New Roman"/>
          <w:bCs/>
        </w:rPr>
        <w:t>d</w:t>
      </w:r>
      <w:r w:rsidR="00DF55B4" w:rsidRPr="00BF3398">
        <w:rPr>
          <w:rFonts w:cs="Times New Roman"/>
          <w:bCs/>
        </w:rPr>
        <w:t xml:space="preserve"> </w:t>
      </w:r>
      <w:r w:rsidRPr="00BF3398">
        <w:rPr>
          <w:rFonts w:cs="Times New Roman"/>
          <w:bCs/>
        </w:rPr>
        <w:t>1 at the bifurcation point. (</w:t>
      </w:r>
      <w:r>
        <w:rPr>
          <w:rFonts w:cs="Times New Roman"/>
          <w:bCs/>
        </w:rPr>
        <w:t>d</w:t>
      </w:r>
      <w:r w:rsidRPr="00BF3398">
        <w:rPr>
          <w:rFonts w:cs="Times New Roman"/>
          <w:bCs/>
        </w:rPr>
        <w:t>) The DEV move</w:t>
      </w:r>
      <w:r w:rsidR="00DF55B4">
        <w:rPr>
          <w:rFonts w:cs="Times New Roman"/>
          <w:bCs/>
        </w:rPr>
        <w:t>d</w:t>
      </w:r>
      <w:r w:rsidRPr="00BF3398">
        <w:rPr>
          <w:rFonts w:cs="Times New Roman"/>
          <w:bCs/>
        </w:rPr>
        <w:t xml:space="preserve"> from interior (light blue) of the unit circle toward the border (dark blue) through time, signaling period-doubling bifurcation. Shown are the average results of 100 simulations.</w:t>
      </w:r>
      <w:r w:rsidR="000B3613">
        <w:rPr>
          <w:rFonts w:cs="Times New Roman"/>
          <w:bCs/>
        </w:rPr>
        <w:t xml:space="preserve"> </w:t>
      </w:r>
      <w:r w:rsidR="000B3613">
        <w:rPr>
          <w:rFonts w:eastAsia="MS Gothic" w:cs="Times New Roman"/>
          <w:bCs/>
          <w:color w:val="auto"/>
          <w:kern w:val="0"/>
          <w:szCs w:val="22"/>
          <w:bdr w:val="none" w:sz="0" w:space="0" w:color="auto"/>
          <w:lang w:eastAsia="en-US"/>
        </w:rPr>
        <w:t>The color gradients from light to dark present time progression from initial time to the time right before critical transitions</w:t>
      </w:r>
      <w:r w:rsidR="000B3613" w:rsidRPr="00D8684F">
        <w:rPr>
          <w:rFonts w:eastAsia="MS Gothic" w:cs="Times New Roman"/>
          <w:bCs/>
          <w:color w:val="auto"/>
          <w:kern w:val="0"/>
          <w:szCs w:val="22"/>
          <w:bdr w:val="none" w:sz="0" w:space="0" w:color="auto"/>
          <w:lang w:eastAsia="en-US"/>
        </w:rPr>
        <w:t>.</w:t>
      </w:r>
    </w:p>
    <w:p w14:paraId="3A54B479" w14:textId="4C21BEAC" w:rsidR="00811F0E" w:rsidRDefault="00811F0E" w:rsidP="003E2E37">
      <w:pPr>
        <w:widowControl/>
        <w:spacing w:line="240" w:lineRule="auto"/>
        <w:ind w:firstLine="0"/>
        <w:rPr>
          <w:rFonts w:cs="Times New Roman"/>
          <w:bCs/>
        </w:rPr>
      </w:pPr>
      <w:r>
        <w:rPr>
          <w:rFonts w:cs="Times New Roman"/>
          <w:bCs/>
        </w:rPr>
        <w:br w:type="page"/>
      </w:r>
    </w:p>
    <w:p w14:paraId="72177C14" w14:textId="21A464C2" w:rsidR="00B33A6F" w:rsidRPr="00BF3398" w:rsidRDefault="00D31C7F" w:rsidP="003E2E37">
      <w:pPr>
        <w:spacing w:line="360" w:lineRule="auto"/>
        <w:ind w:firstLine="0"/>
        <w:contextualSpacing/>
        <w:mirrorIndents/>
        <w:rPr>
          <w:rFonts w:cs="Times New Roman"/>
          <w:bCs/>
        </w:rPr>
      </w:pPr>
      <w:r>
        <w:rPr>
          <w:rFonts w:cs="Times New Roman"/>
          <w:bCs/>
          <w:noProof/>
        </w:rPr>
        <w:lastRenderedPageBreak/>
        <w:drawing>
          <wp:inline distT="0" distB="0" distL="0" distR="0" wp14:anchorId="4201B966" wp14:editId="314E7B6D">
            <wp:extent cx="5490210" cy="1830070"/>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enon_multi.tiff"/>
                    <pic:cNvPicPr/>
                  </pic:nvPicPr>
                  <pic:blipFill>
                    <a:blip r:embed="rId28">
                      <a:extLst>
                        <a:ext uri="{28A0092B-C50C-407E-A947-70E740481C1C}">
                          <a14:useLocalDpi xmlns:a14="http://schemas.microsoft.com/office/drawing/2010/main" val="0"/>
                        </a:ext>
                      </a:extLst>
                    </a:blip>
                    <a:stretch>
                      <a:fillRect/>
                    </a:stretch>
                  </pic:blipFill>
                  <pic:spPr>
                    <a:xfrm>
                      <a:off x="0" y="0"/>
                      <a:ext cx="5490210" cy="1830070"/>
                    </a:xfrm>
                    <a:prstGeom prst="rect">
                      <a:avLst/>
                    </a:prstGeom>
                  </pic:spPr>
                </pic:pic>
              </a:graphicData>
            </a:graphic>
          </wp:inline>
        </w:drawing>
      </w:r>
    </w:p>
    <w:p w14:paraId="4AAB5A4A" w14:textId="6C84AFEB" w:rsidR="00BF3398" w:rsidRPr="00BF3398" w:rsidRDefault="00B33A6F" w:rsidP="003E2E37">
      <w:pPr>
        <w:spacing w:line="360" w:lineRule="auto"/>
        <w:ind w:firstLine="0"/>
        <w:contextualSpacing/>
        <w:mirrorIndents/>
        <w:rPr>
          <w:rFonts w:cs="Times New Roman"/>
          <w:bCs/>
        </w:rPr>
      </w:pPr>
      <w:r w:rsidRPr="00BF3398">
        <w:rPr>
          <w:rFonts w:cs="Times New Roman"/>
          <w:b/>
        </w:rPr>
        <w:t xml:space="preserve">Figure </w:t>
      </w:r>
      <w:r w:rsidR="00FB0DE1" w:rsidRPr="00BF3398">
        <w:rPr>
          <w:rFonts w:cs="Times New Roman"/>
          <w:b/>
        </w:rPr>
        <w:t>S1</w:t>
      </w:r>
      <w:r w:rsidR="00EE24D5">
        <w:rPr>
          <w:rFonts w:cs="Times New Roman"/>
          <w:b/>
        </w:rPr>
        <w:t>5</w:t>
      </w:r>
      <w:r w:rsidRPr="00BF3398">
        <w:rPr>
          <w:rFonts w:cs="Times New Roman"/>
          <w:b/>
        </w:rPr>
        <w:t xml:space="preserve">. Multivariate DEV results of the Henon map. </w:t>
      </w:r>
      <w:r w:rsidRPr="00BF3398">
        <w:rPr>
          <w:rFonts w:cs="Times New Roman"/>
          <w:bCs/>
        </w:rPr>
        <w:t xml:space="preserve">(a) Exemplary time series of variable x. (b) The multivariate approach indicates that </w:t>
      </w:r>
      <w:r w:rsidRPr="00BF3398">
        <w:rPr>
          <w:rFonts w:cs="Times New Roman"/>
        </w:rPr>
        <w:t xml:space="preserve">|DEV| </w:t>
      </w:r>
      <w:r w:rsidR="00DF55B4" w:rsidRPr="00BF3398">
        <w:rPr>
          <w:rFonts w:cs="Times New Roman"/>
          <w:bCs/>
        </w:rPr>
        <w:t>increase</w:t>
      </w:r>
      <w:r w:rsidR="00DF55B4">
        <w:rPr>
          <w:rFonts w:cs="Times New Roman"/>
          <w:bCs/>
        </w:rPr>
        <w:t>d</w:t>
      </w:r>
      <w:r w:rsidR="00DF55B4" w:rsidRPr="00BF3398">
        <w:rPr>
          <w:rFonts w:cs="Times New Roman"/>
          <w:bCs/>
        </w:rPr>
        <w:t xml:space="preserve"> </w:t>
      </w:r>
      <w:r w:rsidRPr="00BF3398">
        <w:rPr>
          <w:rFonts w:cs="Times New Roman"/>
          <w:bCs/>
        </w:rPr>
        <w:t>over time and reaches 1 at the bifurcation point. (c) The DEV move</w:t>
      </w:r>
      <w:r>
        <w:rPr>
          <w:rFonts w:cs="Times New Roman"/>
          <w:bCs/>
        </w:rPr>
        <w:t>s</w:t>
      </w:r>
      <w:r w:rsidRPr="00BF3398">
        <w:rPr>
          <w:rFonts w:cs="Times New Roman"/>
          <w:bCs/>
        </w:rPr>
        <w:t xml:space="preserve"> from interior (light blue) of the unit circle toward the border (dark blue) through time, signaling period-doubling bifurcation. Shown are the average results of 100 simulations.</w:t>
      </w:r>
      <w:r w:rsidR="00FB0DE1">
        <w:rPr>
          <w:rFonts w:cs="Times New Roman"/>
          <w:bCs/>
        </w:rPr>
        <w:t xml:space="preserve"> </w:t>
      </w:r>
      <w:r w:rsidR="00E44CB5">
        <w:rPr>
          <w:rFonts w:eastAsia="MS Gothic" w:cs="Times New Roman"/>
          <w:bCs/>
          <w:color w:val="auto"/>
          <w:kern w:val="0"/>
          <w:szCs w:val="22"/>
          <w:bdr w:val="none" w:sz="0" w:space="0" w:color="auto"/>
          <w:lang w:eastAsia="en-US"/>
        </w:rPr>
        <w:t>The color gradients from light to dark present time progression from initial time to the time right before critical transitions</w:t>
      </w:r>
      <w:r w:rsidR="00E44CB5" w:rsidRPr="00D8684F">
        <w:rPr>
          <w:rFonts w:eastAsia="MS Gothic" w:cs="Times New Roman"/>
          <w:bCs/>
          <w:color w:val="auto"/>
          <w:kern w:val="0"/>
          <w:szCs w:val="22"/>
          <w:bdr w:val="none" w:sz="0" w:space="0" w:color="auto"/>
          <w:lang w:eastAsia="en-US"/>
        </w:rPr>
        <w:t>.</w:t>
      </w:r>
      <w:r w:rsidR="00BF3398" w:rsidRPr="00BF3398">
        <w:rPr>
          <w:rFonts w:cs="Times New Roman"/>
          <w:bCs/>
        </w:rPr>
        <w:br w:type="page"/>
      </w:r>
    </w:p>
    <w:p w14:paraId="12AF62A2" w14:textId="039379E6" w:rsidR="00BF3398" w:rsidRPr="00BF3398" w:rsidRDefault="00BB370F" w:rsidP="003E2E37">
      <w:pPr>
        <w:spacing w:line="360" w:lineRule="auto"/>
        <w:ind w:firstLine="0"/>
        <w:contextualSpacing/>
        <w:mirrorIndents/>
        <w:rPr>
          <w:rFonts w:cs="Times New Roman"/>
          <w:bCs/>
        </w:rPr>
      </w:pPr>
      <w:r>
        <w:rPr>
          <w:rFonts w:cs="Times New Roman"/>
          <w:bCs/>
          <w:noProof/>
        </w:rPr>
        <w:lastRenderedPageBreak/>
        <w:drawing>
          <wp:inline distT="0" distB="0" distL="0" distR="0" wp14:anchorId="4BB80DD3" wp14:editId="00E2FE4F">
            <wp:extent cx="5490210" cy="5318125"/>
            <wp:effectExtent l="0" t="0" r="0" b="317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shio.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90210" cy="5318125"/>
                    </a:xfrm>
                    <a:prstGeom prst="rect">
                      <a:avLst/>
                    </a:prstGeom>
                  </pic:spPr>
                </pic:pic>
              </a:graphicData>
            </a:graphic>
          </wp:inline>
        </w:drawing>
      </w:r>
    </w:p>
    <w:p w14:paraId="3AA7E782" w14:textId="395DB166" w:rsidR="00BF3398" w:rsidRPr="00BF3398" w:rsidRDefault="00BF3398" w:rsidP="003E2E37">
      <w:pPr>
        <w:spacing w:line="360" w:lineRule="auto"/>
        <w:ind w:firstLine="0"/>
        <w:contextualSpacing/>
        <w:mirrorIndents/>
        <w:rPr>
          <w:rFonts w:cs="Times New Roman"/>
          <w:bCs/>
        </w:rPr>
      </w:pPr>
      <w:r w:rsidRPr="00BF3398">
        <w:rPr>
          <w:rFonts w:cs="Times New Roman"/>
          <w:b/>
        </w:rPr>
        <w:t>Figure S1</w:t>
      </w:r>
      <w:r w:rsidR="00EE24D5">
        <w:rPr>
          <w:rFonts w:cs="Times New Roman"/>
          <w:b/>
        </w:rPr>
        <w:t>6</w:t>
      </w:r>
      <w:r w:rsidRPr="00BF3398">
        <w:rPr>
          <w:rFonts w:cs="Times New Roman"/>
          <w:b/>
        </w:rPr>
        <w:t>. Comparison between</w:t>
      </w:r>
      <w:r w:rsidR="00D0740B">
        <w:rPr>
          <w:rFonts w:cs="Times New Roman"/>
          <w:b/>
        </w:rPr>
        <w:t xml:space="preserve"> </w:t>
      </w:r>
      <w:r w:rsidR="005C5E83">
        <w:rPr>
          <w:rFonts w:cs="Times New Roman"/>
          <w:b/>
        </w:rPr>
        <w:t xml:space="preserve">eigen-value estimates using </w:t>
      </w:r>
      <w:r w:rsidR="0066661F">
        <w:rPr>
          <w:rFonts w:cs="Times New Roman"/>
          <w:b/>
        </w:rPr>
        <w:t xml:space="preserve">the </w:t>
      </w:r>
      <w:r w:rsidR="00BB370F">
        <w:rPr>
          <w:rFonts w:cs="Times New Roman"/>
          <w:b/>
        </w:rPr>
        <w:t xml:space="preserve">optimal window size </w:t>
      </w:r>
      <w:r w:rsidR="00D0740B">
        <w:rPr>
          <w:rFonts w:cs="Times New Roman"/>
          <w:b/>
        </w:rPr>
        <w:t>and single window</w:t>
      </w:r>
      <w:r w:rsidRPr="00BF3398">
        <w:rPr>
          <w:rFonts w:cs="Times New Roman"/>
          <w:b/>
        </w:rPr>
        <w:t xml:space="preserve"> </w:t>
      </w:r>
      <w:r w:rsidR="00D0740B">
        <w:rPr>
          <w:rFonts w:cs="Times New Roman"/>
          <w:b/>
        </w:rPr>
        <w:t>in</w:t>
      </w:r>
      <w:r w:rsidRPr="00BF3398">
        <w:rPr>
          <w:rFonts w:cs="Times New Roman"/>
          <w:b/>
        </w:rPr>
        <w:t xml:space="preserve"> the mathematical models. </w:t>
      </w:r>
      <w:r w:rsidRPr="00BF3398">
        <w:rPr>
          <w:rFonts w:cs="Times New Roman"/>
          <w:bCs/>
        </w:rPr>
        <w:t xml:space="preserve">For all three mathematical models, </w:t>
      </w:r>
      <w:r w:rsidR="006A6243">
        <w:rPr>
          <w:rFonts w:cs="Times New Roman"/>
          <w:bCs/>
        </w:rPr>
        <w:t>t</w:t>
      </w:r>
      <w:r w:rsidR="00B2546D">
        <w:rPr>
          <w:rFonts w:cs="Times New Roman"/>
          <w:bCs/>
        </w:rPr>
        <w:t>he single window approach</w:t>
      </w:r>
      <w:r w:rsidR="00BB370F">
        <w:rPr>
          <w:rFonts w:cs="Times New Roman"/>
          <w:bCs/>
        </w:rPr>
        <w:t xml:space="preserve"> (Ushio et al. 2019)</w:t>
      </w:r>
      <w:r w:rsidR="00B2546D">
        <w:rPr>
          <w:rFonts w:cs="Times New Roman"/>
          <w:bCs/>
        </w:rPr>
        <w:t xml:space="preserve"> (green </w:t>
      </w:r>
      <w:r w:rsidR="00837464">
        <w:rPr>
          <w:rFonts w:cs="Times New Roman"/>
          <w:bCs/>
        </w:rPr>
        <w:t>color</w:t>
      </w:r>
      <w:r w:rsidR="00B2546D">
        <w:rPr>
          <w:rFonts w:cs="Times New Roman"/>
          <w:bCs/>
        </w:rPr>
        <w:t>)</w:t>
      </w:r>
      <w:r w:rsidRPr="00BF3398">
        <w:rPr>
          <w:rFonts w:cs="Times New Roman"/>
          <w:bCs/>
        </w:rPr>
        <w:t xml:space="preserve"> </w:t>
      </w:r>
      <w:r w:rsidR="00473133" w:rsidRPr="00BF3398">
        <w:rPr>
          <w:rFonts w:cs="Times New Roman"/>
          <w:bCs/>
        </w:rPr>
        <w:t>d</w:t>
      </w:r>
      <w:r w:rsidR="00473133">
        <w:rPr>
          <w:rFonts w:cs="Times New Roman"/>
          <w:bCs/>
        </w:rPr>
        <w:t>id</w:t>
      </w:r>
      <w:r w:rsidR="00473133" w:rsidRPr="00BF3398">
        <w:rPr>
          <w:rFonts w:cs="Times New Roman"/>
          <w:bCs/>
        </w:rPr>
        <w:t xml:space="preserve"> </w:t>
      </w:r>
      <w:r w:rsidRPr="00BF3398">
        <w:rPr>
          <w:rFonts w:cs="Times New Roman"/>
          <w:bCs/>
        </w:rPr>
        <w:t>not provide correct early warning signal for the dynamical systems. Results of DEV (see Fig</w:t>
      </w:r>
      <w:r w:rsidR="008A19A8">
        <w:rPr>
          <w:rFonts w:cs="Times New Roman"/>
          <w:bCs/>
        </w:rPr>
        <w:t>.</w:t>
      </w:r>
      <w:r w:rsidRPr="00BF3398">
        <w:rPr>
          <w:rFonts w:cs="Times New Roman"/>
          <w:bCs/>
        </w:rPr>
        <w:t xml:space="preserve"> 2 for explanation) are also shown for comparison. </w:t>
      </w:r>
      <w:r w:rsidRPr="00BF3398">
        <w:rPr>
          <w:rFonts w:cs="Times New Roman"/>
          <w:bCs/>
        </w:rPr>
        <w:br w:type="page"/>
      </w:r>
    </w:p>
    <w:p w14:paraId="4595DC77" w14:textId="69BF3BEF" w:rsidR="00891AF2" w:rsidRPr="007F4EA1" w:rsidRDefault="00891AF2" w:rsidP="003E2E37">
      <w:pPr>
        <w:widowControl/>
        <w:spacing w:line="360" w:lineRule="auto"/>
        <w:ind w:firstLine="0"/>
        <w:rPr>
          <w:b/>
          <w:bCs/>
          <w:lang w:eastAsia="zh-TW"/>
        </w:rPr>
      </w:pPr>
      <w:r w:rsidRPr="007F4EA1">
        <w:rPr>
          <w:rFonts w:hint="eastAsia"/>
          <w:b/>
          <w:bCs/>
          <w:lang w:eastAsia="zh-TW"/>
        </w:rPr>
        <w:lastRenderedPageBreak/>
        <w:t>T</w:t>
      </w:r>
      <w:r w:rsidRPr="007F4EA1">
        <w:rPr>
          <w:b/>
          <w:bCs/>
          <w:lang w:eastAsia="zh-TW"/>
        </w:rPr>
        <w:t xml:space="preserve">able S1 | Bifurcation parameters for the models and the </w:t>
      </w:r>
      <w:r>
        <w:rPr>
          <w:b/>
          <w:bCs/>
          <w:lang w:eastAsia="zh-TW"/>
        </w:rPr>
        <w:t>selected</w:t>
      </w:r>
      <w:r w:rsidRPr="007F4EA1">
        <w:rPr>
          <w:b/>
          <w:bCs/>
          <w:lang w:eastAsia="zh-TW"/>
        </w:rPr>
        <w:t xml:space="preserve"> optimal embedding dimension, time lag, and window size for DEV analyses.</w:t>
      </w:r>
    </w:p>
    <w:tbl>
      <w:tblPr>
        <w:tblStyle w:val="TableGrid"/>
        <w:tblW w:w="8642" w:type="dxa"/>
        <w:tblLayout w:type="fixed"/>
        <w:tblLook w:val="04A0" w:firstRow="1" w:lastRow="0" w:firstColumn="1" w:lastColumn="0" w:noHBand="0" w:noVBand="1"/>
      </w:tblPr>
      <w:tblGrid>
        <w:gridCol w:w="1696"/>
        <w:gridCol w:w="1985"/>
        <w:gridCol w:w="1559"/>
        <w:gridCol w:w="851"/>
        <w:gridCol w:w="1134"/>
        <w:gridCol w:w="1417"/>
      </w:tblGrid>
      <w:tr w:rsidR="00891AF2" w:rsidRPr="00FB1EEA" w14:paraId="414E94B1" w14:textId="77777777" w:rsidTr="00535E3A">
        <w:tc>
          <w:tcPr>
            <w:tcW w:w="1696" w:type="dxa"/>
            <w:shd w:val="clear" w:color="auto" w:fill="D9D9D9" w:themeFill="background1" w:themeFillShade="D9"/>
          </w:tcPr>
          <w:p w14:paraId="2137A1AA"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Dataset</w:t>
            </w:r>
          </w:p>
        </w:tc>
        <w:tc>
          <w:tcPr>
            <w:tcW w:w="1985" w:type="dxa"/>
            <w:shd w:val="clear" w:color="auto" w:fill="D9D9D9" w:themeFill="background1" w:themeFillShade="D9"/>
          </w:tcPr>
          <w:p w14:paraId="6E41C7D4"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Bifurcation parameter</w:t>
            </w:r>
          </w:p>
        </w:tc>
        <w:tc>
          <w:tcPr>
            <w:tcW w:w="1559" w:type="dxa"/>
            <w:shd w:val="clear" w:color="auto" w:fill="D9D9D9" w:themeFill="background1" w:themeFillShade="D9"/>
          </w:tcPr>
          <w:p w14:paraId="6C9BFE62"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 xml:space="preserve">Embedding dimension, </w:t>
            </w:r>
            <w:r w:rsidRPr="00FB1EEA">
              <w:rPr>
                <w:rFonts w:ascii="Times New Roman" w:hAnsi="Times New Roman" w:cs="Times New Roman"/>
                <w:i/>
              </w:rPr>
              <w:t>E</w:t>
            </w:r>
          </w:p>
        </w:tc>
        <w:tc>
          <w:tcPr>
            <w:tcW w:w="851" w:type="dxa"/>
            <w:shd w:val="clear" w:color="auto" w:fill="D9D9D9" w:themeFill="background1" w:themeFillShade="D9"/>
          </w:tcPr>
          <w:p w14:paraId="377AE4DF"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 xml:space="preserve">Time lag, </w:t>
            </w:r>
            <m:oMath>
              <m:r>
                <w:rPr>
                  <w:rFonts w:ascii="Cambria Math" w:hAnsi="Cambria Math" w:cs="Times New Roman"/>
                </w:rPr>
                <m:t>τ</m:t>
              </m:r>
            </m:oMath>
          </w:p>
        </w:tc>
        <w:tc>
          <w:tcPr>
            <w:tcW w:w="1134" w:type="dxa"/>
            <w:shd w:val="clear" w:color="auto" w:fill="D9D9D9" w:themeFill="background1" w:themeFillShade="D9"/>
          </w:tcPr>
          <w:p w14:paraId="00AB0ED1"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 xml:space="preserve">Window size, </w:t>
            </w:r>
            <w:r w:rsidRPr="00FB1EEA">
              <w:rPr>
                <w:rFonts w:ascii="Times New Roman" w:hAnsi="Times New Roman" w:cs="Times New Roman"/>
                <w:i/>
              </w:rPr>
              <w:t>w</w:t>
            </w:r>
          </w:p>
        </w:tc>
        <w:tc>
          <w:tcPr>
            <w:tcW w:w="1417" w:type="dxa"/>
            <w:shd w:val="clear" w:color="auto" w:fill="D9D9D9" w:themeFill="background1" w:themeFillShade="D9"/>
          </w:tcPr>
          <w:p w14:paraId="3D640633"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Length of data set</w:t>
            </w:r>
          </w:p>
        </w:tc>
      </w:tr>
      <w:tr w:rsidR="00891AF2" w:rsidRPr="00FB1EEA" w14:paraId="2EE745A8" w14:textId="77777777" w:rsidTr="00535E3A">
        <w:tc>
          <w:tcPr>
            <w:tcW w:w="1696" w:type="dxa"/>
          </w:tcPr>
          <w:p w14:paraId="7EAB1826"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Noy-Meir model</w:t>
            </w:r>
          </w:p>
        </w:tc>
        <w:tc>
          <w:tcPr>
            <w:tcW w:w="1985" w:type="dxa"/>
          </w:tcPr>
          <w:p w14:paraId="04CA5F72"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 xml:space="preserve">0 ≤ </w:t>
            </w:r>
            <m:oMath>
              <m:r>
                <w:rPr>
                  <w:rFonts w:ascii="Cambria Math" w:hAnsi="Cambria Math" w:cs="Times New Roman"/>
                </w:rPr>
                <m:t>F</m:t>
              </m:r>
            </m:oMath>
            <w:r w:rsidRPr="00FB1EEA">
              <w:rPr>
                <w:rFonts w:ascii="Times New Roman" w:hAnsi="Times New Roman" w:cs="Times New Roman"/>
              </w:rPr>
              <w:t xml:space="preserve"> ≤ 2</w:t>
            </w:r>
          </w:p>
        </w:tc>
        <w:tc>
          <w:tcPr>
            <w:tcW w:w="1559" w:type="dxa"/>
          </w:tcPr>
          <w:p w14:paraId="62BC52C8"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2</w:t>
            </w:r>
          </w:p>
        </w:tc>
        <w:tc>
          <w:tcPr>
            <w:tcW w:w="851" w:type="dxa"/>
          </w:tcPr>
          <w:p w14:paraId="6DC0AF99"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1</w:t>
            </w:r>
          </w:p>
        </w:tc>
        <w:tc>
          <w:tcPr>
            <w:tcW w:w="1134" w:type="dxa"/>
          </w:tcPr>
          <w:p w14:paraId="141D84D5"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250</w:t>
            </w:r>
          </w:p>
        </w:tc>
        <w:tc>
          <w:tcPr>
            <w:tcW w:w="1417" w:type="dxa"/>
          </w:tcPr>
          <w:p w14:paraId="4B7DA9C8"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10000</w:t>
            </w:r>
          </w:p>
        </w:tc>
      </w:tr>
      <w:tr w:rsidR="00891AF2" w:rsidRPr="00FB1EEA" w14:paraId="1B5F24E7" w14:textId="77777777" w:rsidTr="00535E3A">
        <w:tc>
          <w:tcPr>
            <w:tcW w:w="1696" w:type="dxa"/>
          </w:tcPr>
          <w:p w14:paraId="79681C5D"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Henon model</w:t>
            </w:r>
          </w:p>
        </w:tc>
        <w:tc>
          <w:tcPr>
            <w:tcW w:w="1985" w:type="dxa"/>
          </w:tcPr>
          <w:p w14:paraId="2A150FED"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 xml:space="preserve">0.1 ≤ </w:t>
            </w:r>
            <m:oMath>
              <m:r>
                <w:rPr>
                  <w:rFonts w:ascii="Cambria Math" w:hAnsi="Cambria Math" w:cs="Times New Roman"/>
                </w:rPr>
                <m:t>α</m:t>
              </m:r>
            </m:oMath>
            <w:r w:rsidRPr="00FB1EEA">
              <w:rPr>
                <w:rFonts w:ascii="Times New Roman" w:hAnsi="Times New Roman" w:cs="Times New Roman"/>
              </w:rPr>
              <w:t xml:space="preserve"> ≤ 0.4</w:t>
            </w:r>
          </w:p>
        </w:tc>
        <w:tc>
          <w:tcPr>
            <w:tcW w:w="1559" w:type="dxa"/>
          </w:tcPr>
          <w:p w14:paraId="0510BF8F"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3</w:t>
            </w:r>
          </w:p>
        </w:tc>
        <w:tc>
          <w:tcPr>
            <w:tcW w:w="851" w:type="dxa"/>
          </w:tcPr>
          <w:p w14:paraId="6E9176DC"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1</w:t>
            </w:r>
          </w:p>
        </w:tc>
        <w:tc>
          <w:tcPr>
            <w:tcW w:w="1134" w:type="dxa"/>
          </w:tcPr>
          <w:p w14:paraId="5D89D2AD"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100</w:t>
            </w:r>
          </w:p>
        </w:tc>
        <w:tc>
          <w:tcPr>
            <w:tcW w:w="1417" w:type="dxa"/>
          </w:tcPr>
          <w:p w14:paraId="0B642153"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10000</w:t>
            </w:r>
          </w:p>
        </w:tc>
      </w:tr>
      <w:tr w:rsidR="00891AF2" w:rsidRPr="00FB1EEA" w14:paraId="43CD0A3B" w14:textId="77777777" w:rsidTr="00535E3A">
        <w:tc>
          <w:tcPr>
            <w:tcW w:w="1696" w:type="dxa"/>
          </w:tcPr>
          <w:p w14:paraId="2C176ACA"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Rosenzweig-MacArthur model</w:t>
            </w:r>
          </w:p>
        </w:tc>
        <w:tc>
          <w:tcPr>
            <w:tcW w:w="1985" w:type="dxa"/>
          </w:tcPr>
          <w:p w14:paraId="19689C0E"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 xml:space="preserve">3.48 ≤ </w:t>
            </w:r>
            <m:oMath>
              <m:r>
                <w:rPr>
                  <w:rFonts w:ascii="Cambria Math" w:hAnsi="Cambria Math" w:cs="Times New Roman"/>
                </w:rPr>
                <m:t>l</m:t>
              </m:r>
            </m:oMath>
            <w:r w:rsidRPr="00FB1EEA">
              <w:rPr>
                <w:rFonts w:ascii="Times New Roman" w:hAnsi="Times New Roman" w:cs="Times New Roman"/>
              </w:rPr>
              <w:t xml:space="preserve"> ≤ 3.78</w:t>
            </w:r>
          </w:p>
        </w:tc>
        <w:tc>
          <w:tcPr>
            <w:tcW w:w="1559" w:type="dxa"/>
          </w:tcPr>
          <w:p w14:paraId="5D37824D"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6</w:t>
            </w:r>
          </w:p>
        </w:tc>
        <w:tc>
          <w:tcPr>
            <w:tcW w:w="851" w:type="dxa"/>
          </w:tcPr>
          <w:p w14:paraId="358EAD2C"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1</w:t>
            </w:r>
          </w:p>
        </w:tc>
        <w:tc>
          <w:tcPr>
            <w:tcW w:w="1134" w:type="dxa"/>
          </w:tcPr>
          <w:p w14:paraId="3D964BB9"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100</w:t>
            </w:r>
          </w:p>
        </w:tc>
        <w:tc>
          <w:tcPr>
            <w:tcW w:w="1417" w:type="dxa"/>
          </w:tcPr>
          <w:p w14:paraId="49E3D0C6"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10000</w:t>
            </w:r>
          </w:p>
        </w:tc>
      </w:tr>
      <w:tr w:rsidR="00891AF2" w:rsidRPr="00FB1EEA" w14:paraId="7B8CBB68" w14:textId="77777777" w:rsidTr="00535E3A">
        <w:tc>
          <w:tcPr>
            <w:tcW w:w="1696" w:type="dxa"/>
          </w:tcPr>
          <w:p w14:paraId="2C0E4C28"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Microcosm experiment</w:t>
            </w:r>
          </w:p>
        </w:tc>
        <w:tc>
          <w:tcPr>
            <w:tcW w:w="1985" w:type="dxa"/>
          </w:tcPr>
          <w:p w14:paraId="3B8C6263"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Pr>
                <w:rFonts w:ascii="Times New Roman" w:hAnsi="Times New Roman" w:cs="Times New Roman"/>
              </w:rPr>
              <w:t>Light intensity</w:t>
            </w:r>
          </w:p>
        </w:tc>
        <w:tc>
          <w:tcPr>
            <w:tcW w:w="1559" w:type="dxa"/>
          </w:tcPr>
          <w:p w14:paraId="13A7513A"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6</w:t>
            </w:r>
          </w:p>
        </w:tc>
        <w:tc>
          <w:tcPr>
            <w:tcW w:w="851" w:type="dxa"/>
          </w:tcPr>
          <w:p w14:paraId="14E3C8B5"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2</w:t>
            </w:r>
          </w:p>
        </w:tc>
        <w:tc>
          <w:tcPr>
            <w:tcW w:w="1134" w:type="dxa"/>
          </w:tcPr>
          <w:p w14:paraId="019788CC"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200</w:t>
            </w:r>
          </w:p>
        </w:tc>
        <w:tc>
          <w:tcPr>
            <w:tcW w:w="1417" w:type="dxa"/>
          </w:tcPr>
          <w:p w14:paraId="2D67A0B3"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6</w:t>
            </w:r>
            <w:r>
              <w:rPr>
                <w:rFonts w:ascii="Times New Roman" w:hAnsi="Times New Roman" w:cs="Times New Roman"/>
              </w:rPr>
              <w:t>*</w:t>
            </w:r>
            <w:r w:rsidRPr="00FB1EEA">
              <w:rPr>
                <w:rFonts w:ascii="Times New Roman" w:hAnsi="Times New Roman" w:cs="Times New Roman"/>
              </w:rPr>
              <w:t>250</w:t>
            </w:r>
          </w:p>
        </w:tc>
      </w:tr>
      <w:tr w:rsidR="00891AF2" w:rsidRPr="00FB1EEA" w14:paraId="54FBB69A" w14:textId="77777777" w:rsidTr="00535E3A">
        <w:tc>
          <w:tcPr>
            <w:tcW w:w="1696" w:type="dxa"/>
          </w:tcPr>
          <w:p w14:paraId="60FE7BF4"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Voice experiment</w:t>
            </w:r>
          </w:p>
        </w:tc>
        <w:tc>
          <w:tcPr>
            <w:tcW w:w="1985" w:type="dxa"/>
          </w:tcPr>
          <w:p w14:paraId="1DE628EB"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Pr>
                <w:rFonts w:ascii="Times New Roman" w:hAnsi="Times New Roman" w:cs="Times New Roman"/>
              </w:rPr>
              <w:t>Air pressure</w:t>
            </w:r>
          </w:p>
        </w:tc>
        <w:tc>
          <w:tcPr>
            <w:tcW w:w="1559" w:type="dxa"/>
          </w:tcPr>
          <w:p w14:paraId="21BC7AB7"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6</w:t>
            </w:r>
          </w:p>
        </w:tc>
        <w:tc>
          <w:tcPr>
            <w:tcW w:w="851" w:type="dxa"/>
          </w:tcPr>
          <w:p w14:paraId="56BC92EC"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6</w:t>
            </w:r>
          </w:p>
        </w:tc>
        <w:tc>
          <w:tcPr>
            <w:tcW w:w="1134" w:type="dxa"/>
          </w:tcPr>
          <w:p w14:paraId="1B5D5CC6"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200</w:t>
            </w:r>
          </w:p>
        </w:tc>
        <w:tc>
          <w:tcPr>
            <w:tcW w:w="1417" w:type="dxa"/>
          </w:tcPr>
          <w:p w14:paraId="67BCE720" w14:textId="0D5DB552"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750</w:t>
            </w:r>
            <w:r w:rsidR="00812E44">
              <w:rPr>
                <w:rFonts w:ascii="Times New Roman" w:hAnsi="Times New Roman" w:cs="Times New Roman"/>
              </w:rPr>
              <w:t>1</w:t>
            </w:r>
          </w:p>
        </w:tc>
      </w:tr>
      <w:tr w:rsidR="00891AF2" w:rsidRPr="00FB1EEA" w14:paraId="7CD29206" w14:textId="77777777" w:rsidTr="00535E3A">
        <w:tc>
          <w:tcPr>
            <w:tcW w:w="1696" w:type="dxa"/>
          </w:tcPr>
          <w:p w14:paraId="57991513" w14:textId="1EDF9CCB" w:rsidR="00891AF2" w:rsidRPr="00FB1EEA" w:rsidRDefault="009B548E" w:rsidP="003E2E37">
            <w:pPr>
              <w:tabs>
                <w:tab w:val="left" w:pos="1276"/>
              </w:tabs>
              <w:spacing w:after="120" w:line="360" w:lineRule="auto"/>
              <w:ind w:firstLine="0"/>
              <w:contextualSpacing/>
              <w:mirrorIndents/>
              <w:rPr>
                <w:rFonts w:ascii="Times New Roman" w:hAnsi="Times New Roman" w:cs="Times New Roman"/>
              </w:rPr>
            </w:pPr>
            <w:r>
              <w:rPr>
                <w:rFonts w:ascii="Times New Roman" w:hAnsi="Times New Roman" w:cs="Times New Roman"/>
              </w:rPr>
              <w:t>C</w:t>
            </w:r>
            <w:r w:rsidRPr="009B548E">
              <w:rPr>
                <w:rFonts w:ascii="Times New Roman" w:hAnsi="Times New Roman" w:cs="Times New Roman"/>
              </w:rPr>
              <w:t>ellular ATP</w:t>
            </w:r>
            <w:r w:rsidR="00891AF2" w:rsidRPr="00FB1EEA">
              <w:rPr>
                <w:rFonts w:ascii="Times New Roman" w:hAnsi="Times New Roman" w:cs="Times New Roman"/>
              </w:rPr>
              <w:t xml:space="preserve"> experiment</w:t>
            </w:r>
          </w:p>
        </w:tc>
        <w:tc>
          <w:tcPr>
            <w:tcW w:w="1985" w:type="dxa"/>
          </w:tcPr>
          <w:p w14:paraId="26CA5FA8"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Pr>
                <w:rFonts w:ascii="Times New Roman" w:hAnsi="Times New Roman" w:cs="Times New Roman"/>
              </w:rPr>
              <w:t>O</w:t>
            </w:r>
            <w:r>
              <w:rPr>
                <w:rFonts w:ascii="Times New Roman" w:hAnsi="Times New Roman" w:cs="Times New Roman"/>
                <w:vertAlign w:val="subscript"/>
              </w:rPr>
              <w:t>2</w:t>
            </w:r>
            <w:r>
              <w:rPr>
                <w:rFonts w:ascii="Times New Roman" w:hAnsi="Times New Roman" w:cs="Times New Roman"/>
              </w:rPr>
              <w:t xml:space="preserve"> level in air</w:t>
            </w:r>
          </w:p>
        </w:tc>
        <w:tc>
          <w:tcPr>
            <w:tcW w:w="1559" w:type="dxa"/>
          </w:tcPr>
          <w:p w14:paraId="3CC47D22"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3</w:t>
            </w:r>
          </w:p>
        </w:tc>
        <w:tc>
          <w:tcPr>
            <w:tcW w:w="851" w:type="dxa"/>
          </w:tcPr>
          <w:p w14:paraId="590157AB"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10</w:t>
            </w:r>
          </w:p>
        </w:tc>
        <w:tc>
          <w:tcPr>
            <w:tcW w:w="1134" w:type="dxa"/>
          </w:tcPr>
          <w:p w14:paraId="238D1E8E"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125</w:t>
            </w:r>
          </w:p>
        </w:tc>
        <w:tc>
          <w:tcPr>
            <w:tcW w:w="1417" w:type="dxa"/>
          </w:tcPr>
          <w:p w14:paraId="77D9E27B" w14:textId="5232376F"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2</w:t>
            </w:r>
            <w:r w:rsidR="00812E44">
              <w:rPr>
                <w:rFonts w:ascii="Times New Roman" w:hAnsi="Times New Roman" w:cs="Times New Roman"/>
              </w:rPr>
              <w:t>71</w:t>
            </w:r>
          </w:p>
        </w:tc>
      </w:tr>
      <w:tr w:rsidR="00891AF2" w:rsidRPr="00FB1EEA" w14:paraId="64E6E0B4" w14:textId="77777777" w:rsidTr="00535E3A">
        <w:tc>
          <w:tcPr>
            <w:tcW w:w="1696" w:type="dxa"/>
          </w:tcPr>
          <w:p w14:paraId="3538EE6F"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Greenhouse earth</w:t>
            </w:r>
          </w:p>
        </w:tc>
        <w:tc>
          <w:tcPr>
            <w:tcW w:w="1985" w:type="dxa"/>
          </w:tcPr>
          <w:p w14:paraId="641FF4B5"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Pr>
                <w:rFonts w:ascii="Times New Roman" w:hAnsi="Times New Roman" w:cs="Times New Roman"/>
              </w:rPr>
              <w:t>CO</w:t>
            </w:r>
            <w:r w:rsidRPr="00897F80">
              <w:rPr>
                <w:rFonts w:ascii="Times New Roman" w:hAnsi="Times New Roman" w:cs="Times New Roman"/>
                <w:vertAlign w:val="subscript"/>
              </w:rPr>
              <w:t>2</w:t>
            </w:r>
            <w:r>
              <w:rPr>
                <w:rFonts w:ascii="Times New Roman" w:hAnsi="Times New Roman" w:cs="Times New Roman"/>
              </w:rPr>
              <w:t xml:space="preserve"> level in atmosphere</w:t>
            </w:r>
          </w:p>
        </w:tc>
        <w:tc>
          <w:tcPr>
            <w:tcW w:w="1559" w:type="dxa"/>
          </w:tcPr>
          <w:p w14:paraId="38FBC289"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5</w:t>
            </w:r>
          </w:p>
        </w:tc>
        <w:tc>
          <w:tcPr>
            <w:tcW w:w="851" w:type="dxa"/>
          </w:tcPr>
          <w:p w14:paraId="2D62C222"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2</w:t>
            </w:r>
          </w:p>
        </w:tc>
        <w:tc>
          <w:tcPr>
            <w:tcW w:w="1134" w:type="dxa"/>
          </w:tcPr>
          <w:p w14:paraId="40BE6D51"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150</w:t>
            </w:r>
          </w:p>
        </w:tc>
        <w:tc>
          <w:tcPr>
            <w:tcW w:w="1417" w:type="dxa"/>
          </w:tcPr>
          <w:p w14:paraId="64748388"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462</w:t>
            </w:r>
          </w:p>
        </w:tc>
      </w:tr>
      <w:tr w:rsidR="00891AF2" w:rsidRPr="00FB1EEA" w14:paraId="29123BBC" w14:textId="77777777" w:rsidTr="00535E3A">
        <w:tc>
          <w:tcPr>
            <w:tcW w:w="1696" w:type="dxa"/>
          </w:tcPr>
          <w:p w14:paraId="0847539A"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Electricity</w:t>
            </w:r>
          </w:p>
        </w:tc>
        <w:tc>
          <w:tcPr>
            <w:tcW w:w="1985" w:type="dxa"/>
          </w:tcPr>
          <w:p w14:paraId="335EF83D"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Pr>
                <w:rFonts w:ascii="Times New Roman" w:hAnsi="Times New Roman" w:cs="Times New Roman"/>
              </w:rPr>
              <w:t>Unknown</w:t>
            </w:r>
          </w:p>
        </w:tc>
        <w:tc>
          <w:tcPr>
            <w:tcW w:w="1559" w:type="dxa"/>
          </w:tcPr>
          <w:p w14:paraId="5D6605F7"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5</w:t>
            </w:r>
          </w:p>
        </w:tc>
        <w:tc>
          <w:tcPr>
            <w:tcW w:w="851" w:type="dxa"/>
          </w:tcPr>
          <w:p w14:paraId="2DFFAB59"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1</w:t>
            </w:r>
          </w:p>
        </w:tc>
        <w:tc>
          <w:tcPr>
            <w:tcW w:w="1134" w:type="dxa"/>
          </w:tcPr>
          <w:p w14:paraId="445D4E46"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1250</w:t>
            </w:r>
          </w:p>
        </w:tc>
        <w:tc>
          <w:tcPr>
            <w:tcW w:w="1417" w:type="dxa"/>
          </w:tcPr>
          <w:p w14:paraId="4A909E35" w14:textId="77777777" w:rsidR="00891AF2" w:rsidRPr="00FB1EEA" w:rsidRDefault="00891AF2" w:rsidP="003E2E37">
            <w:pPr>
              <w:tabs>
                <w:tab w:val="left" w:pos="1276"/>
              </w:tabs>
              <w:spacing w:after="120" w:line="360" w:lineRule="auto"/>
              <w:ind w:firstLine="0"/>
              <w:contextualSpacing/>
              <w:mirrorIndents/>
              <w:rPr>
                <w:rFonts w:ascii="Times New Roman" w:hAnsi="Times New Roman" w:cs="Times New Roman"/>
              </w:rPr>
            </w:pPr>
            <w:r w:rsidRPr="00FB1EEA">
              <w:rPr>
                <w:rFonts w:ascii="Times New Roman" w:hAnsi="Times New Roman" w:cs="Times New Roman"/>
              </w:rPr>
              <w:t>23393</w:t>
            </w:r>
          </w:p>
        </w:tc>
      </w:tr>
    </w:tbl>
    <w:p w14:paraId="3B8A6507" w14:textId="77777777" w:rsidR="00891AF2" w:rsidRPr="00BF3398" w:rsidRDefault="00891AF2" w:rsidP="003E2E37">
      <w:pPr>
        <w:spacing w:line="360" w:lineRule="auto"/>
        <w:ind w:firstLine="0"/>
        <w:contextualSpacing/>
        <w:mirrorIndents/>
        <w:rPr>
          <w:rFonts w:cs="Times New Roman"/>
        </w:rPr>
      </w:pPr>
      <w:r w:rsidRPr="00BF3398">
        <w:rPr>
          <w:rFonts w:cs="Times New Roman"/>
        </w:rPr>
        <w:br w:type="page"/>
      </w:r>
    </w:p>
    <w:p w14:paraId="47528D31" w14:textId="77777777" w:rsidR="00891AF2" w:rsidRPr="00E45F2F" w:rsidRDefault="00891AF2" w:rsidP="003E2E37">
      <w:pPr>
        <w:pStyle w:val="Heading2"/>
        <w:spacing w:before="0" w:after="120" w:line="360" w:lineRule="auto"/>
        <w:contextualSpacing/>
        <w:mirrorIndents/>
        <w:rPr>
          <w:rFonts w:ascii="Times New Roman" w:hAnsi="Times New Roman" w:cs="Times New Roman"/>
          <w:b/>
          <w:sz w:val="24"/>
          <w:szCs w:val="24"/>
          <w:lang w:val="en-US"/>
        </w:rPr>
      </w:pPr>
      <w:r w:rsidRPr="00E45F2F">
        <w:rPr>
          <w:rFonts w:ascii="Times New Roman" w:hAnsi="Times New Roman" w:cs="Times New Roman"/>
          <w:b/>
          <w:smallCaps w:val="0"/>
          <w:sz w:val="24"/>
          <w:szCs w:val="24"/>
          <w:lang w:val="en-US"/>
        </w:rPr>
        <w:lastRenderedPageBreak/>
        <w:t xml:space="preserve">Table S2 | Information and sources of the empirical datasets </w:t>
      </w:r>
    </w:p>
    <w:tbl>
      <w:tblPr>
        <w:tblStyle w:val="TableGrid"/>
        <w:tblW w:w="8463" w:type="dxa"/>
        <w:tblLook w:val="04A0" w:firstRow="1" w:lastRow="0" w:firstColumn="1" w:lastColumn="0" w:noHBand="0" w:noVBand="1"/>
      </w:tblPr>
      <w:tblGrid>
        <w:gridCol w:w="1523"/>
        <w:gridCol w:w="1733"/>
        <w:gridCol w:w="2103"/>
        <w:gridCol w:w="3104"/>
      </w:tblGrid>
      <w:tr w:rsidR="00891AF2" w:rsidRPr="00BF3398" w14:paraId="5C468774" w14:textId="77777777" w:rsidTr="00535E3A">
        <w:tc>
          <w:tcPr>
            <w:tcW w:w="1523" w:type="dxa"/>
            <w:shd w:val="clear" w:color="auto" w:fill="D9D9D9" w:themeFill="background1" w:themeFillShade="D9"/>
          </w:tcPr>
          <w:p w14:paraId="44FF6DDD" w14:textId="77777777" w:rsidR="00891AF2" w:rsidRPr="00BF3398" w:rsidRDefault="00891AF2" w:rsidP="003E2E37">
            <w:pPr>
              <w:tabs>
                <w:tab w:val="left" w:pos="1276"/>
              </w:tabs>
              <w:spacing w:after="120" w:line="360" w:lineRule="auto"/>
              <w:ind w:firstLine="0"/>
              <w:contextualSpacing/>
              <w:mirrorIndents/>
              <w:rPr>
                <w:rFonts w:ascii="Times New Roman" w:hAnsi="Times New Roman" w:cs="Times New Roman"/>
              </w:rPr>
            </w:pPr>
            <w:r w:rsidRPr="00BF3398">
              <w:rPr>
                <w:rFonts w:ascii="Times New Roman" w:hAnsi="Times New Roman" w:cs="Times New Roman"/>
              </w:rPr>
              <w:t>Data set</w:t>
            </w:r>
          </w:p>
        </w:tc>
        <w:tc>
          <w:tcPr>
            <w:tcW w:w="1733" w:type="dxa"/>
            <w:shd w:val="clear" w:color="auto" w:fill="D9D9D9" w:themeFill="background1" w:themeFillShade="D9"/>
          </w:tcPr>
          <w:p w14:paraId="162681B1" w14:textId="77777777" w:rsidR="00891AF2" w:rsidRPr="00BF3398" w:rsidRDefault="00891AF2" w:rsidP="003E2E37">
            <w:pPr>
              <w:tabs>
                <w:tab w:val="left" w:pos="1276"/>
              </w:tabs>
              <w:spacing w:after="120" w:line="360" w:lineRule="auto"/>
              <w:ind w:firstLine="0"/>
              <w:contextualSpacing/>
              <w:mirrorIndents/>
              <w:rPr>
                <w:rFonts w:ascii="Times New Roman" w:hAnsi="Times New Roman" w:cs="Times New Roman"/>
              </w:rPr>
            </w:pPr>
            <w:r w:rsidRPr="00BF3398">
              <w:rPr>
                <w:rFonts w:ascii="Times New Roman" w:hAnsi="Times New Roman" w:cs="Times New Roman"/>
              </w:rPr>
              <w:t>Reference</w:t>
            </w:r>
          </w:p>
        </w:tc>
        <w:tc>
          <w:tcPr>
            <w:tcW w:w="2103" w:type="dxa"/>
            <w:shd w:val="clear" w:color="auto" w:fill="D9D9D9" w:themeFill="background1" w:themeFillShade="D9"/>
          </w:tcPr>
          <w:p w14:paraId="5E4A24F0" w14:textId="77777777" w:rsidR="00891AF2" w:rsidRPr="00BF3398" w:rsidRDefault="00891AF2" w:rsidP="003E2E37">
            <w:pPr>
              <w:tabs>
                <w:tab w:val="left" w:pos="1276"/>
              </w:tabs>
              <w:spacing w:after="120" w:line="360" w:lineRule="auto"/>
              <w:ind w:firstLine="0"/>
              <w:contextualSpacing/>
              <w:mirrorIndents/>
              <w:rPr>
                <w:rFonts w:ascii="Times New Roman" w:hAnsi="Times New Roman" w:cs="Times New Roman"/>
              </w:rPr>
            </w:pPr>
            <w:r w:rsidRPr="00BF3398">
              <w:rPr>
                <w:rFonts w:ascii="Times New Roman" w:hAnsi="Times New Roman" w:cs="Times New Roman"/>
              </w:rPr>
              <w:t>Data holder</w:t>
            </w:r>
          </w:p>
        </w:tc>
        <w:tc>
          <w:tcPr>
            <w:tcW w:w="3104" w:type="dxa"/>
            <w:shd w:val="clear" w:color="auto" w:fill="D9D9D9" w:themeFill="background1" w:themeFillShade="D9"/>
          </w:tcPr>
          <w:p w14:paraId="5D77E985" w14:textId="5A6B669A" w:rsidR="00891AF2" w:rsidRPr="00BF3398" w:rsidRDefault="00473133" w:rsidP="003E2E37">
            <w:pPr>
              <w:tabs>
                <w:tab w:val="left" w:pos="1276"/>
              </w:tabs>
              <w:spacing w:after="120" w:line="360" w:lineRule="auto"/>
              <w:ind w:firstLine="0"/>
              <w:contextualSpacing/>
              <w:mirrorIndents/>
              <w:rPr>
                <w:rFonts w:ascii="Times New Roman" w:hAnsi="Times New Roman" w:cs="Times New Roman"/>
              </w:rPr>
            </w:pPr>
            <w:r>
              <w:rPr>
                <w:rFonts w:ascii="Times New Roman" w:hAnsi="Times New Roman" w:cs="Times New Roman"/>
              </w:rPr>
              <w:t>Em</w:t>
            </w:r>
            <w:r w:rsidRPr="00BF3398">
              <w:rPr>
                <w:rFonts w:ascii="Times New Roman" w:hAnsi="Times New Roman" w:cs="Times New Roman"/>
              </w:rPr>
              <w:t xml:space="preserve">ail </w:t>
            </w:r>
            <w:r w:rsidR="00891AF2" w:rsidRPr="00BF3398">
              <w:rPr>
                <w:rFonts w:ascii="Times New Roman" w:hAnsi="Times New Roman" w:cs="Times New Roman"/>
              </w:rPr>
              <w:t>address</w:t>
            </w:r>
          </w:p>
        </w:tc>
      </w:tr>
      <w:tr w:rsidR="00891AF2" w:rsidRPr="00BF3398" w14:paraId="201E1F33" w14:textId="77777777" w:rsidTr="00535E3A">
        <w:tc>
          <w:tcPr>
            <w:tcW w:w="1523" w:type="dxa"/>
          </w:tcPr>
          <w:p w14:paraId="18C75BD0" w14:textId="77777777" w:rsidR="00891AF2" w:rsidRPr="00BF3398" w:rsidRDefault="00891AF2" w:rsidP="003E2E37">
            <w:pPr>
              <w:tabs>
                <w:tab w:val="left" w:pos="1276"/>
              </w:tabs>
              <w:spacing w:after="120" w:line="360" w:lineRule="auto"/>
              <w:ind w:firstLine="0"/>
              <w:contextualSpacing/>
              <w:mirrorIndents/>
              <w:rPr>
                <w:rFonts w:ascii="Times New Roman" w:hAnsi="Times New Roman" w:cs="Times New Roman"/>
              </w:rPr>
            </w:pPr>
            <w:r w:rsidRPr="00BF3398">
              <w:rPr>
                <w:rFonts w:ascii="Times New Roman" w:hAnsi="Times New Roman" w:cs="Times New Roman"/>
              </w:rPr>
              <w:t>Microcosm experiment</w:t>
            </w:r>
          </w:p>
        </w:tc>
        <w:tc>
          <w:tcPr>
            <w:tcW w:w="1733" w:type="dxa"/>
          </w:tcPr>
          <w:p w14:paraId="3319F8E7" w14:textId="4A6F6AA0" w:rsidR="00891AF2" w:rsidRPr="00BF3398" w:rsidRDefault="00891AF2" w:rsidP="003E2E37">
            <w:pPr>
              <w:tabs>
                <w:tab w:val="left" w:pos="1276"/>
              </w:tabs>
              <w:spacing w:after="120" w:line="360" w:lineRule="auto"/>
              <w:ind w:firstLine="0"/>
              <w:contextualSpacing/>
              <w:mirrorIndents/>
              <w:rPr>
                <w:rFonts w:ascii="Times New Roman" w:hAnsi="Times New Roman" w:cs="Times New Roman"/>
              </w:rPr>
            </w:pPr>
            <w:r w:rsidRPr="00BF3398">
              <w:rPr>
                <w:rFonts w:cs="Times New Roman"/>
              </w:rPr>
              <w:fldChar w:fldCharType="begin"/>
            </w:r>
            <w:r w:rsidR="00CD5D94">
              <w:rPr>
                <w:rFonts w:cs="Times New Roman"/>
              </w:rPr>
              <w:instrText xml:space="preserve"> ADDIN EN.CITE &lt;EndNote&gt;&lt;Cite&gt;&lt;Author&gt;Veraart&lt;/Author&gt;&lt;Year&gt;2012&lt;/Year&gt;&lt;RecNum&gt;7846&lt;/RecNum&gt;&lt;DisplayText&gt;&lt;style face="superscript"&gt;7&lt;/style&gt;&lt;/DisplayText&gt;&lt;record&gt;&lt;rec-number&gt;7846&lt;/rec-number&gt;&lt;foreign-keys&gt;&lt;key app="EN" db-id="9vxrfz59r9sztmepvf6va0v2d9wtpzrd9x2f" timestamp="0"&gt;7846&lt;/key&gt;&lt;/foreign-keys&gt;&lt;ref-type name="Journal Article"&gt;17&lt;/ref-type&gt;&lt;contributors&gt;&lt;authors&gt;&lt;author&gt;Veraart, Annelies J.&lt;/author&gt;&lt;author&gt;Faassen, Elisabeth J.&lt;/author&gt;&lt;author&gt;Dakos, Vasilis&lt;/author&gt;&lt;author&gt;van Nes, Egbert H.&lt;/author&gt;&lt;author&gt;Lurling, Miquel&lt;/author&gt;&lt;author&gt;Scheffer, Marten&lt;/author&gt;&lt;/authors&gt;&lt;/contributors&gt;&lt;titles&gt;&lt;title&gt;Recovery rates reflect distance to a tipping point in a living system&lt;/title&gt;&lt;secondary-title&gt;Nature&lt;/secondary-title&gt;&lt;/titles&gt;&lt;periodical&gt;&lt;full-title&gt;Nature&lt;/full-title&gt;&lt;abbr-1&gt;Nature&lt;/abbr-1&gt;&lt;abbr-2&gt;0028-0836&lt;/abbr-2&gt;&lt;/periodical&gt;&lt;pages&gt;357-359&lt;/pages&gt;&lt;volume&gt;481&lt;/volume&gt;&lt;number&gt;7381&lt;/number&gt;&lt;dates&gt;&lt;year&gt;2012&lt;/year&gt;&lt;/dates&gt;&lt;publisher&gt;Nature Publishing Group, a division of Macmillan Publishers Limited. All Rights Reserved.&lt;/publisher&gt;&lt;isbn&gt;0028-0836&lt;/isbn&gt;&lt;work-type&gt;10.1038/nature10723&lt;/work-type&gt;&lt;urls&gt;&lt;related-urls&gt;&lt;url&gt;&lt;style face="underline" font="default" size="100%"&gt;http://dx.doi.org/10.1038/nature10723 &lt;/style&gt;&lt;style face="normal" font="default" size="100%"&gt;&amp;#xD;file://localhost/Users/chihhaohsieh/reference/eco_warning/tipping_mesocosm.pdf&lt;/style&gt;&lt;/url&gt;&lt;/related-urls&gt;&lt;/urls&gt;&lt;electronic-resource-num&gt;http://www.nature.com/nature/journal/v481/n7381/abs/nature10723.html#supplementary-information&lt;/electronic-resource-num&gt;&lt;/record&gt;&lt;/Cite&gt;&lt;/EndNote&gt;</w:instrText>
            </w:r>
            <w:r w:rsidRPr="00BF3398">
              <w:rPr>
                <w:rFonts w:cs="Times New Roman"/>
              </w:rPr>
              <w:fldChar w:fldCharType="separate"/>
            </w:r>
            <w:r w:rsidR="00CD5D94" w:rsidRPr="00CD5D94">
              <w:rPr>
                <w:rFonts w:cs="Times New Roman"/>
                <w:noProof/>
                <w:vertAlign w:val="superscript"/>
              </w:rPr>
              <w:t>7</w:t>
            </w:r>
            <w:r w:rsidRPr="00BF3398">
              <w:rPr>
                <w:rFonts w:cs="Times New Roman"/>
              </w:rPr>
              <w:fldChar w:fldCharType="end"/>
            </w:r>
          </w:p>
        </w:tc>
        <w:tc>
          <w:tcPr>
            <w:tcW w:w="2103" w:type="dxa"/>
          </w:tcPr>
          <w:p w14:paraId="066E948E" w14:textId="77777777" w:rsidR="00891AF2" w:rsidRPr="00BF3398" w:rsidRDefault="00891AF2" w:rsidP="003E2E37">
            <w:pPr>
              <w:tabs>
                <w:tab w:val="left" w:pos="1276"/>
              </w:tabs>
              <w:spacing w:after="120" w:line="360" w:lineRule="auto"/>
              <w:ind w:firstLine="0"/>
              <w:contextualSpacing/>
              <w:mirrorIndents/>
              <w:rPr>
                <w:rFonts w:ascii="Times New Roman" w:hAnsi="Times New Roman" w:cs="Times New Roman"/>
              </w:rPr>
            </w:pPr>
            <w:r w:rsidRPr="00BF3398">
              <w:rPr>
                <w:rFonts w:ascii="Times New Roman" w:hAnsi="Times New Roman" w:cs="Times New Roman"/>
              </w:rPr>
              <w:t>Egbert H. van Nes</w:t>
            </w:r>
          </w:p>
        </w:tc>
        <w:tc>
          <w:tcPr>
            <w:tcW w:w="3104" w:type="dxa"/>
          </w:tcPr>
          <w:p w14:paraId="5B45CEDF" w14:textId="77777777" w:rsidR="00891AF2" w:rsidRPr="00BF3398" w:rsidRDefault="00891AF2" w:rsidP="003E2E37">
            <w:pPr>
              <w:tabs>
                <w:tab w:val="left" w:pos="1276"/>
              </w:tabs>
              <w:spacing w:after="120" w:line="360" w:lineRule="auto"/>
              <w:ind w:firstLine="0"/>
              <w:contextualSpacing/>
              <w:mirrorIndents/>
              <w:rPr>
                <w:rFonts w:ascii="Times New Roman" w:hAnsi="Times New Roman" w:cs="Times New Roman"/>
              </w:rPr>
            </w:pPr>
            <w:r w:rsidRPr="00BF3398">
              <w:rPr>
                <w:rFonts w:ascii="Times New Roman" w:hAnsi="Times New Roman" w:cs="Times New Roman"/>
              </w:rPr>
              <w:t>egbert.vannes@wur.nl</w:t>
            </w:r>
          </w:p>
        </w:tc>
      </w:tr>
      <w:tr w:rsidR="00891AF2" w:rsidRPr="00BF3398" w14:paraId="364A1166" w14:textId="77777777" w:rsidTr="00535E3A">
        <w:tc>
          <w:tcPr>
            <w:tcW w:w="1523" w:type="dxa"/>
          </w:tcPr>
          <w:p w14:paraId="3E9FA75E" w14:textId="77777777" w:rsidR="00891AF2" w:rsidRPr="00BF3398" w:rsidRDefault="00891AF2" w:rsidP="003E2E37">
            <w:pPr>
              <w:tabs>
                <w:tab w:val="left" w:pos="1276"/>
              </w:tabs>
              <w:spacing w:after="120" w:line="360" w:lineRule="auto"/>
              <w:ind w:firstLine="0"/>
              <w:contextualSpacing/>
              <w:mirrorIndents/>
              <w:rPr>
                <w:rFonts w:ascii="Times New Roman" w:hAnsi="Times New Roman" w:cs="Times New Roman"/>
              </w:rPr>
            </w:pPr>
            <w:r w:rsidRPr="00BF3398">
              <w:rPr>
                <w:rFonts w:ascii="Times New Roman" w:hAnsi="Times New Roman" w:cs="Times New Roman"/>
              </w:rPr>
              <w:t>Voice experiment</w:t>
            </w:r>
          </w:p>
        </w:tc>
        <w:tc>
          <w:tcPr>
            <w:tcW w:w="1733" w:type="dxa"/>
          </w:tcPr>
          <w:p w14:paraId="0DE491B3" w14:textId="77777777" w:rsidR="00891AF2" w:rsidRPr="00BF3398" w:rsidRDefault="00891AF2" w:rsidP="003E2E37">
            <w:pPr>
              <w:tabs>
                <w:tab w:val="left" w:pos="1276"/>
              </w:tabs>
              <w:spacing w:after="120" w:line="360" w:lineRule="auto"/>
              <w:ind w:firstLine="0"/>
              <w:contextualSpacing/>
              <w:mirrorIndents/>
              <w:rPr>
                <w:rFonts w:ascii="Times New Roman" w:hAnsi="Times New Roman" w:cs="Times New Roman"/>
              </w:rPr>
            </w:pPr>
            <w:r>
              <w:rPr>
                <w:rFonts w:ascii="Times New Roman" w:hAnsi="Times New Roman" w:cs="Times New Roman"/>
              </w:rPr>
              <w:t xml:space="preserve">original data, </w:t>
            </w:r>
            <w:r w:rsidRPr="00BF3398">
              <w:rPr>
                <w:rFonts w:ascii="Times New Roman" w:hAnsi="Times New Roman" w:cs="Times New Roman"/>
              </w:rPr>
              <w:t>unpublished</w:t>
            </w:r>
          </w:p>
        </w:tc>
        <w:tc>
          <w:tcPr>
            <w:tcW w:w="2103" w:type="dxa"/>
          </w:tcPr>
          <w:p w14:paraId="14B63D9F" w14:textId="77777777" w:rsidR="00891AF2" w:rsidRPr="00BF3398" w:rsidRDefault="00891AF2" w:rsidP="003E2E37">
            <w:pPr>
              <w:tabs>
                <w:tab w:val="left" w:pos="1276"/>
              </w:tabs>
              <w:spacing w:after="120" w:line="360" w:lineRule="auto"/>
              <w:ind w:firstLine="0"/>
              <w:contextualSpacing/>
              <w:mirrorIndents/>
              <w:rPr>
                <w:rFonts w:ascii="Times New Roman" w:hAnsi="Times New Roman" w:cs="Times New Roman"/>
              </w:rPr>
            </w:pPr>
            <w:r w:rsidRPr="00BF3398">
              <w:rPr>
                <w:rFonts w:ascii="Times New Roman" w:hAnsi="Times New Roman" w:cs="Times New Roman"/>
              </w:rPr>
              <w:t>Isao Tokuda</w:t>
            </w:r>
          </w:p>
        </w:tc>
        <w:tc>
          <w:tcPr>
            <w:tcW w:w="3104" w:type="dxa"/>
          </w:tcPr>
          <w:p w14:paraId="2E66BC14" w14:textId="77777777" w:rsidR="00891AF2" w:rsidRPr="00BF3398" w:rsidRDefault="00891AF2" w:rsidP="003E2E37">
            <w:pPr>
              <w:tabs>
                <w:tab w:val="left" w:pos="1276"/>
              </w:tabs>
              <w:spacing w:after="120" w:line="360" w:lineRule="auto"/>
              <w:ind w:firstLine="0"/>
              <w:contextualSpacing/>
              <w:mirrorIndents/>
              <w:rPr>
                <w:rFonts w:ascii="Times New Roman" w:hAnsi="Times New Roman" w:cs="Times New Roman"/>
              </w:rPr>
            </w:pPr>
            <w:r w:rsidRPr="00BF3398">
              <w:rPr>
                <w:rFonts w:ascii="Times New Roman" w:hAnsi="Times New Roman" w:cs="Times New Roman"/>
              </w:rPr>
              <w:t>isao@fc.ritsumei.ac.jp</w:t>
            </w:r>
          </w:p>
        </w:tc>
      </w:tr>
      <w:tr w:rsidR="00891AF2" w:rsidRPr="00BF3398" w14:paraId="458B669B" w14:textId="77777777" w:rsidTr="00535E3A">
        <w:tc>
          <w:tcPr>
            <w:tcW w:w="1523" w:type="dxa"/>
          </w:tcPr>
          <w:p w14:paraId="528A507E" w14:textId="79E59FBD" w:rsidR="00891AF2" w:rsidRPr="00BF3398" w:rsidRDefault="009B548E" w:rsidP="003E2E37">
            <w:pPr>
              <w:tabs>
                <w:tab w:val="left" w:pos="1276"/>
              </w:tabs>
              <w:spacing w:after="120" w:line="360" w:lineRule="auto"/>
              <w:ind w:firstLine="0"/>
              <w:contextualSpacing/>
              <w:mirrorIndents/>
              <w:rPr>
                <w:rFonts w:ascii="Times New Roman" w:hAnsi="Times New Roman" w:cs="Times New Roman"/>
              </w:rPr>
            </w:pPr>
            <w:r>
              <w:rPr>
                <w:rFonts w:ascii="Times New Roman" w:hAnsi="Times New Roman" w:cs="Times New Roman"/>
              </w:rPr>
              <w:t>C</w:t>
            </w:r>
            <w:r w:rsidRPr="009B548E">
              <w:rPr>
                <w:rFonts w:ascii="Times New Roman" w:hAnsi="Times New Roman" w:cs="Times New Roman"/>
              </w:rPr>
              <w:t>ellular ATP</w:t>
            </w:r>
            <w:r w:rsidR="00891AF2" w:rsidRPr="00BF3398">
              <w:rPr>
                <w:rFonts w:ascii="Times New Roman" w:hAnsi="Times New Roman" w:cs="Times New Roman"/>
              </w:rPr>
              <w:t xml:space="preserve"> experiment</w:t>
            </w:r>
          </w:p>
        </w:tc>
        <w:tc>
          <w:tcPr>
            <w:tcW w:w="1733" w:type="dxa"/>
          </w:tcPr>
          <w:p w14:paraId="1F3ED4D5" w14:textId="364F0EC0" w:rsidR="00891AF2" w:rsidRPr="00BF3398" w:rsidRDefault="00891AF2" w:rsidP="003E2E37">
            <w:pPr>
              <w:tabs>
                <w:tab w:val="left" w:pos="1276"/>
              </w:tabs>
              <w:spacing w:after="120" w:line="360" w:lineRule="auto"/>
              <w:ind w:firstLine="0"/>
              <w:contextualSpacing/>
              <w:mirrorIndents/>
              <w:rPr>
                <w:rFonts w:ascii="Times New Roman" w:hAnsi="Times New Roman" w:cs="Times New Roman"/>
              </w:rPr>
            </w:pPr>
            <w:r w:rsidRPr="00BF3398">
              <w:rPr>
                <w:rFonts w:cs="Times New Roman"/>
              </w:rPr>
              <w:fldChar w:fldCharType="begin"/>
            </w:r>
            <w:r w:rsidR="00CD5D94">
              <w:rPr>
                <w:rFonts w:cs="Times New Roman"/>
              </w:rPr>
              <w:instrText xml:space="preserve"> ADDIN EN.CITE &lt;EndNote&gt;&lt;Cite&gt;&lt;Author&gt;Wagner&lt;/Author&gt;&lt;Year&gt;2019&lt;/Year&gt;&lt;RecNum&gt;10671&lt;/RecNum&gt;&lt;DisplayText&gt;&lt;style face="superscript"&gt;8&lt;/style&gt;&lt;/DisplayText&gt;&lt;record&gt;&lt;rec-number&gt;10671&lt;/rec-number&gt;&lt;foreign-keys&gt;&lt;key app="EN" db-id="9vxrfz59r9sztmepvf6va0v2d9wtpzrd9x2f" timestamp="1583727300"&gt;10671&lt;/key&gt;&lt;/foreign-keys&gt;&lt;ref-type name="Journal Article"&gt;17&lt;/ref-type&gt;&lt;contributors&gt;&lt;authors&gt;&lt;author&gt;Wagner, Stephan&lt;/author&gt;&lt;author&gt;Steinbeck, Janina&lt;/author&gt;&lt;author&gt;Fuchs, Philippe&lt;/author&gt;&lt;author&gt;Lichtenauer, Sophie&lt;/author&gt;&lt;author&gt;Elsässer, Marlene&lt;/author&gt;&lt;author&gt;Schippers, Jos H. M.&lt;/author&gt;&lt;author&gt;Nietzel, Thomas&lt;/author&gt;&lt;author&gt;Ruberti, Cristina&lt;/author&gt;&lt;author&gt;Van Aken, Olivier&lt;/author&gt;&lt;author&gt;Meyer, Andreas J.&lt;/author&gt;&lt;author&gt;Van Dongen, Joost T.&lt;/author&gt;&lt;author&gt;Schmidt, Romy R.&lt;/author&gt;&lt;author&gt;Schwarzländer, Markus&lt;/author&gt;&lt;/authors&gt;&lt;/contributors&gt;&lt;titles&gt;&lt;title&gt;Multiparametric real-time sensing of cytosolic physiology links hypoxia responses to mitochondrial electron transport&lt;/title&gt;&lt;secondary-title&gt;New Phytologist&lt;/secondary-title&gt;&lt;/titles&gt;&lt;periodical&gt;&lt;full-title&gt;New Phytologist&lt;/full-title&gt;&lt;abbr-1&gt;New Phytol.&lt;/abbr-1&gt;&lt;abbr-2&gt;0028-646X&lt;/abbr-2&gt;&lt;/periodical&gt;&lt;pages&gt;1668-1684&lt;/pages&gt;&lt;volume&gt;224&lt;/volume&gt;&lt;number&gt;4&lt;/number&gt;&lt;keywords&gt;&lt;keyword&gt;cytosol&lt;/keyword&gt;&lt;keyword&gt;genetically encoded fluorescent protein sensors&lt;/keyword&gt;&lt;keyword&gt;hypoxia stress&lt;/keyword&gt;&lt;keyword&gt;in vivo sensing&lt;/keyword&gt;&lt;keyword&gt;mitochondrial electron transport chain&lt;/keyword&gt;&lt;keyword&gt;retrograde signalling&lt;/keyword&gt;&lt;/keywords&gt;&lt;dates&gt;&lt;year&gt;2019&lt;/year&gt;&lt;pub-dates&gt;&lt;date&gt;2019/12/01&lt;/date&gt;&lt;/pub-dates&gt;&lt;/dates&gt;&lt;publisher&gt;John Wiley &amp;amp; Sons, Ltd&lt;/publisher&gt;&lt;isbn&gt;0028-646X&lt;/isbn&gt;&lt;urls&gt;&lt;related-urls&gt;&lt;url&gt;https://doi.org/10.1111/nph.16093&lt;/url&gt;&lt;/related-urls&gt;&lt;/urls&gt;&lt;electronic-resource-num&gt;10.1111/nph.16093&lt;/electronic-resource-num&gt;&lt;access-date&gt;2020/03/08&lt;/access-date&gt;&lt;/record&gt;&lt;/Cite&gt;&lt;/EndNote&gt;</w:instrText>
            </w:r>
            <w:r w:rsidRPr="00BF3398">
              <w:rPr>
                <w:rFonts w:cs="Times New Roman"/>
              </w:rPr>
              <w:fldChar w:fldCharType="separate"/>
            </w:r>
            <w:r w:rsidR="00CD5D94" w:rsidRPr="00CD5D94">
              <w:rPr>
                <w:rFonts w:cs="Times New Roman"/>
                <w:noProof/>
                <w:vertAlign w:val="superscript"/>
              </w:rPr>
              <w:t>8</w:t>
            </w:r>
            <w:r w:rsidRPr="00BF3398">
              <w:rPr>
                <w:rFonts w:cs="Times New Roman"/>
              </w:rPr>
              <w:fldChar w:fldCharType="end"/>
            </w:r>
          </w:p>
        </w:tc>
        <w:tc>
          <w:tcPr>
            <w:tcW w:w="2103" w:type="dxa"/>
          </w:tcPr>
          <w:p w14:paraId="4877A7CD" w14:textId="77777777" w:rsidR="00891AF2" w:rsidRPr="00BF3398" w:rsidRDefault="00891AF2" w:rsidP="003E2E37">
            <w:pPr>
              <w:tabs>
                <w:tab w:val="left" w:pos="1276"/>
              </w:tabs>
              <w:spacing w:after="120" w:line="360" w:lineRule="auto"/>
              <w:ind w:firstLine="0"/>
              <w:contextualSpacing/>
              <w:mirrorIndents/>
              <w:rPr>
                <w:rFonts w:ascii="Times New Roman" w:hAnsi="Times New Roman" w:cs="Times New Roman"/>
              </w:rPr>
            </w:pPr>
            <w:r w:rsidRPr="00BF3398">
              <w:rPr>
                <w:rFonts w:ascii="Times New Roman" w:hAnsi="Times New Roman" w:cs="Times New Roman"/>
              </w:rPr>
              <w:t>Markus Schwarzländer</w:t>
            </w:r>
          </w:p>
        </w:tc>
        <w:tc>
          <w:tcPr>
            <w:tcW w:w="3104" w:type="dxa"/>
          </w:tcPr>
          <w:p w14:paraId="316D34B2" w14:textId="77777777" w:rsidR="00891AF2" w:rsidRPr="00BF3398" w:rsidRDefault="00891AF2" w:rsidP="003E2E37">
            <w:pPr>
              <w:tabs>
                <w:tab w:val="left" w:pos="1276"/>
              </w:tabs>
              <w:spacing w:after="120" w:line="360" w:lineRule="auto"/>
              <w:ind w:firstLine="0"/>
              <w:contextualSpacing/>
              <w:mirrorIndents/>
              <w:rPr>
                <w:rFonts w:ascii="Times New Roman" w:hAnsi="Times New Roman" w:cs="Times New Roman"/>
              </w:rPr>
            </w:pPr>
            <w:r w:rsidRPr="00BF3398">
              <w:rPr>
                <w:rFonts w:ascii="Times New Roman" w:hAnsi="Times New Roman" w:cs="Times New Roman"/>
              </w:rPr>
              <w:t>Markus.schwarzländer@uni-muenster.de</w:t>
            </w:r>
          </w:p>
        </w:tc>
      </w:tr>
      <w:tr w:rsidR="00891AF2" w:rsidRPr="00BF3398" w14:paraId="118CB34C" w14:textId="77777777" w:rsidTr="00535E3A">
        <w:tc>
          <w:tcPr>
            <w:tcW w:w="1523" w:type="dxa"/>
          </w:tcPr>
          <w:p w14:paraId="0FEC2F43" w14:textId="77777777" w:rsidR="00891AF2" w:rsidRPr="00BF3398" w:rsidRDefault="00891AF2" w:rsidP="003E2E37">
            <w:pPr>
              <w:tabs>
                <w:tab w:val="left" w:pos="1276"/>
              </w:tabs>
              <w:spacing w:after="120" w:line="360" w:lineRule="auto"/>
              <w:ind w:firstLine="0"/>
              <w:contextualSpacing/>
              <w:mirrorIndents/>
              <w:rPr>
                <w:rFonts w:ascii="Times New Roman" w:hAnsi="Times New Roman" w:cs="Times New Roman"/>
              </w:rPr>
            </w:pPr>
            <w:r w:rsidRPr="00BF3398">
              <w:rPr>
                <w:rFonts w:ascii="Times New Roman" w:hAnsi="Times New Roman" w:cs="Times New Roman"/>
              </w:rPr>
              <w:t>Greenhouse earth</w:t>
            </w:r>
          </w:p>
        </w:tc>
        <w:tc>
          <w:tcPr>
            <w:tcW w:w="1733" w:type="dxa"/>
          </w:tcPr>
          <w:p w14:paraId="72DDE6D7" w14:textId="39530182" w:rsidR="00891AF2" w:rsidRPr="00BF3398" w:rsidRDefault="00891AF2" w:rsidP="003E2E37">
            <w:pPr>
              <w:tabs>
                <w:tab w:val="left" w:pos="1276"/>
              </w:tabs>
              <w:spacing w:after="120" w:line="360" w:lineRule="auto"/>
              <w:ind w:firstLine="0"/>
              <w:contextualSpacing/>
              <w:mirrorIndents/>
              <w:rPr>
                <w:rFonts w:ascii="Times New Roman" w:hAnsi="Times New Roman" w:cs="Times New Roman"/>
              </w:rPr>
            </w:pPr>
            <w:r w:rsidRPr="00BF3398">
              <w:rPr>
                <w:rFonts w:cs="Times New Roman"/>
              </w:rPr>
              <w:fldChar w:fldCharType="begin"/>
            </w:r>
            <w:r w:rsidR="00CD5D94">
              <w:rPr>
                <w:rFonts w:cs="Times New Roman"/>
              </w:rPr>
              <w:instrText xml:space="preserve"> ADDIN EN.CITE &lt;EndNote&gt;&lt;Cite&gt;&lt;Author&gt;Dakos&lt;/Author&gt;&lt;Year&gt;2008&lt;/Year&gt;&lt;RecNum&gt;5727&lt;/RecNum&gt;&lt;DisplayText&gt;&lt;style face="superscript"&gt;9&lt;/style&gt;&lt;/DisplayText&gt;&lt;record&gt;&lt;rec-number&gt;5727&lt;/rec-number&gt;&lt;foreign-keys&gt;&lt;key app="EN" db-id="9vxrfz59r9sztmepvf6va0v2d9wtpzrd9x2f" timestamp="0"&gt;5727&lt;/key&gt;&lt;/foreign-keys&gt;&lt;ref-type name="Journal Article"&gt;17&lt;/ref-type&gt;&lt;contributors&gt;&lt;authors&gt;&lt;author&gt;Dakos, Vasilis&lt;/author&gt;&lt;author&gt;Scheffer, Marten&lt;/author&gt;&lt;author&gt;van Nes, Egbert H.&lt;/author&gt;&lt;author&gt;Brovkin, Victor&lt;/author&gt;&lt;author&gt;Petoukhov, Vladimir&lt;/author&gt;&lt;author&gt;Held, Hermann&lt;/author&gt;&lt;/authors&gt;&lt;/contributors&gt;&lt;titles&gt;&lt;title&gt;Slowing down as an early warning signal for abrupt climate change&lt;/title&gt;&lt;secondary-title&gt;Proceedings of the National Academy of Sciences&lt;/secondary-title&gt;&lt;/titles&gt;&lt;periodical&gt;&lt;full-title&gt;Proceedings of the National Academy of Sciences&lt;/full-title&gt;&lt;abbr-1&gt;Proc. Natl. Acad. Sci. USA&lt;/abbr-1&gt;&lt;/periodical&gt;&lt;pages&gt;-&lt;/pages&gt;&lt;dates&gt;&lt;year&gt;2008&lt;/year&gt;&lt;pub-dates&gt;&lt;date&gt;September 11, 2008&lt;/date&gt;&lt;/pub-dates&gt;&lt;/dates&gt;&lt;urls&gt;&lt;related-urls&gt;&lt;url&gt;&lt;style face="underline" font="default" size="100%"&gt;http://www.pnas.org/content/early/2008/09/10/0802430105.abstract &lt;/style&gt;&lt;/url&gt;&lt;url&gt;&lt;style face="underline" font="default" size="100%"&gt;file://localhost/Users/chihhaohsieh/reference/eco_warning/slowing_down_warning.pdf&lt;/style&gt;&lt;/url&gt;&lt;/related-urls&gt;&lt;/urls&gt;&lt;electronic-resource-num&gt;10.1073/pnas.0802430105&lt;/electronic-resource-num&gt;&lt;/record&gt;&lt;/Cite&gt;&lt;/EndNote&gt;</w:instrText>
            </w:r>
            <w:r w:rsidRPr="00BF3398">
              <w:rPr>
                <w:rFonts w:cs="Times New Roman"/>
              </w:rPr>
              <w:fldChar w:fldCharType="separate"/>
            </w:r>
            <w:r w:rsidR="00CD5D94" w:rsidRPr="00CD5D94">
              <w:rPr>
                <w:rFonts w:cs="Times New Roman"/>
                <w:noProof/>
                <w:vertAlign w:val="superscript"/>
              </w:rPr>
              <w:t>9</w:t>
            </w:r>
            <w:r w:rsidRPr="00BF3398">
              <w:rPr>
                <w:rFonts w:cs="Times New Roman"/>
              </w:rPr>
              <w:fldChar w:fldCharType="end"/>
            </w:r>
          </w:p>
        </w:tc>
        <w:tc>
          <w:tcPr>
            <w:tcW w:w="2103" w:type="dxa"/>
          </w:tcPr>
          <w:p w14:paraId="45EDCD93" w14:textId="77777777" w:rsidR="00891AF2" w:rsidRPr="00BF3398" w:rsidRDefault="00891AF2" w:rsidP="003E2E37">
            <w:pPr>
              <w:tabs>
                <w:tab w:val="left" w:pos="1276"/>
              </w:tabs>
              <w:spacing w:after="120" w:line="360" w:lineRule="auto"/>
              <w:ind w:firstLine="0"/>
              <w:contextualSpacing/>
              <w:mirrorIndents/>
              <w:rPr>
                <w:rFonts w:ascii="Times New Roman" w:hAnsi="Times New Roman" w:cs="Times New Roman"/>
              </w:rPr>
            </w:pPr>
            <w:r w:rsidRPr="00BF3398">
              <w:rPr>
                <w:rFonts w:ascii="Times New Roman" w:hAnsi="Times New Roman" w:cs="Times New Roman"/>
              </w:rPr>
              <w:t>Vasilis Dakos</w:t>
            </w:r>
          </w:p>
        </w:tc>
        <w:tc>
          <w:tcPr>
            <w:tcW w:w="3104" w:type="dxa"/>
          </w:tcPr>
          <w:p w14:paraId="4EF469D3" w14:textId="77777777" w:rsidR="00891AF2" w:rsidRPr="00BF3398" w:rsidRDefault="00891AF2" w:rsidP="003E2E37">
            <w:pPr>
              <w:tabs>
                <w:tab w:val="left" w:pos="1276"/>
              </w:tabs>
              <w:spacing w:after="120" w:line="360" w:lineRule="auto"/>
              <w:ind w:firstLine="0"/>
              <w:contextualSpacing/>
              <w:mirrorIndents/>
              <w:rPr>
                <w:rFonts w:ascii="Times New Roman" w:hAnsi="Times New Roman" w:cs="Times New Roman"/>
              </w:rPr>
            </w:pPr>
            <w:r w:rsidRPr="00BF3398">
              <w:rPr>
                <w:rFonts w:ascii="Times New Roman" w:hAnsi="Times New Roman" w:cs="Times New Roman"/>
              </w:rPr>
              <w:t>vasilis.dakos@umontpellier.fr</w:t>
            </w:r>
          </w:p>
        </w:tc>
      </w:tr>
      <w:tr w:rsidR="00891AF2" w:rsidRPr="00BF3398" w14:paraId="36145894" w14:textId="77777777" w:rsidTr="00535E3A">
        <w:tc>
          <w:tcPr>
            <w:tcW w:w="1523" w:type="dxa"/>
          </w:tcPr>
          <w:p w14:paraId="5DC736CF" w14:textId="77777777" w:rsidR="00891AF2" w:rsidRPr="00BF3398" w:rsidRDefault="00891AF2" w:rsidP="003E2E37">
            <w:pPr>
              <w:tabs>
                <w:tab w:val="left" w:pos="1276"/>
              </w:tabs>
              <w:spacing w:after="120" w:line="360" w:lineRule="auto"/>
              <w:ind w:firstLine="0"/>
              <w:contextualSpacing/>
              <w:mirrorIndents/>
              <w:rPr>
                <w:rFonts w:ascii="Times New Roman" w:hAnsi="Times New Roman" w:cs="Times New Roman"/>
              </w:rPr>
            </w:pPr>
            <w:r w:rsidRPr="00BF3398">
              <w:rPr>
                <w:rFonts w:ascii="Times New Roman" w:hAnsi="Times New Roman" w:cs="Times New Roman"/>
              </w:rPr>
              <w:t>Electricity</w:t>
            </w:r>
          </w:p>
        </w:tc>
        <w:tc>
          <w:tcPr>
            <w:tcW w:w="1733" w:type="dxa"/>
          </w:tcPr>
          <w:p w14:paraId="3E8E98FD" w14:textId="0936E89D" w:rsidR="00891AF2" w:rsidRPr="00BF3398" w:rsidRDefault="00891AF2" w:rsidP="003E2E37">
            <w:pPr>
              <w:tabs>
                <w:tab w:val="left" w:pos="1276"/>
              </w:tabs>
              <w:spacing w:after="120" w:line="360" w:lineRule="auto"/>
              <w:ind w:firstLine="0"/>
              <w:contextualSpacing/>
              <w:mirrorIndents/>
              <w:rPr>
                <w:rFonts w:ascii="Times New Roman" w:hAnsi="Times New Roman" w:cs="Times New Roman"/>
              </w:rPr>
            </w:pPr>
            <w:r w:rsidRPr="00BF3398">
              <w:rPr>
                <w:rFonts w:cs="Times New Roman"/>
              </w:rPr>
              <w:fldChar w:fldCharType="begin"/>
            </w:r>
            <w:r w:rsidR="00CD5D94">
              <w:rPr>
                <w:rFonts w:cs="Times New Roman"/>
              </w:rPr>
              <w:instrText xml:space="preserve"> ADDIN EN.CITE &lt;EndNote&gt;&lt;Cite&gt;&lt;Author&gt;Council&lt;/Author&gt;&lt;Year&gt;1996&lt;/Year&gt;&lt;RecNum&gt;10674&lt;/RecNum&gt;&lt;DisplayText&gt;&lt;style face="superscript"&gt;10&lt;/style&gt;&lt;/DisplayText&gt;&lt;record&gt;&lt;rec-number&gt;10674&lt;/rec-number&gt;&lt;foreign-keys&gt;&lt;key app="EN" db-id="9vxrfz59r9sztmepvf6va0v2d9wtpzrd9x2f" timestamp="1583727629"&gt;10674&lt;/key&gt;&lt;/foreign-keys&gt;&lt;ref-type name="Report"&gt;27&lt;/ref-type&gt;&lt;contributors&gt;&lt;authors&gt;&lt;author&gt;Western Systems Coordinating Council&lt;/author&gt;&lt;/authors&gt;&lt;/contributors&gt;&lt;titles&gt;&lt;title&gt;Western Systems Coordinating Council disturbance report for the power system outages that occurred on the Western Interconnection on July 2, 1996 and July 3, 1996&lt;/title&gt;&lt;/titles&gt;&lt;dates&gt;&lt;year&gt;1996&lt;/year&gt;&lt;/dates&gt;&lt;urls&gt;&lt;/urls&gt;&lt;/record&gt;&lt;/Cite&gt;&lt;/EndNote&gt;</w:instrText>
            </w:r>
            <w:r w:rsidRPr="00BF3398">
              <w:rPr>
                <w:rFonts w:cs="Times New Roman"/>
              </w:rPr>
              <w:fldChar w:fldCharType="separate"/>
            </w:r>
            <w:r w:rsidR="00CD5D94" w:rsidRPr="00CD5D94">
              <w:rPr>
                <w:rFonts w:cs="Times New Roman"/>
                <w:noProof/>
                <w:vertAlign w:val="superscript"/>
              </w:rPr>
              <w:t>10</w:t>
            </w:r>
            <w:r w:rsidRPr="00BF3398">
              <w:rPr>
                <w:rFonts w:cs="Times New Roman"/>
              </w:rPr>
              <w:fldChar w:fldCharType="end"/>
            </w:r>
          </w:p>
        </w:tc>
        <w:tc>
          <w:tcPr>
            <w:tcW w:w="2103" w:type="dxa"/>
          </w:tcPr>
          <w:p w14:paraId="7F8FEA10" w14:textId="77777777" w:rsidR="00891AF2" w:rsidRPr="00BF3398" w:rsidRDefault="00891AF2" w:rsidP="003E2E37">
            <w:pPr>
              <w:tabs>
                <w:tab w:val="left" w:pos="1276"/>
              </w:tabs>
              <w:spacing w:after="120" w:line="360" w:lineRule="auto"/>
              <w:ind w:firstLine="0"/>
              <w:contextualSpacing/>
              <w:mirrorIndents/>
              <w:rPr>
                <w:rFonts w:ascii="Times New Roman" w:hAnsi="Times New Roman" w:cs="Times New Roman"/>
              </w:rPr>
            </w:pPr>
            <w:r w:rsidRPr="00BF3398">
              <w:rPr>
                <w:rFonts w:ascii="Times New Roman" w:hAnsi="Times New Roman" w:cs="Times New Roman"/>
              </w:rPr>
              <w:t>Oliver Kamps</w:t>
            </w:r>
          </w:p>
        </w:tc>
        <w:tc>
          <w:tcPr>
            <w:tcW w:w="3104" w:type="dxa"/>
          </w:tcPr>
          <w:p w14:paraId="4F1364F1" w14:textId="77777777" w:rsidR="00891AF2" w:rsidRPr="00BF3398" w:rsidRDefault="00891AF2" w:rsidP="003E2E37">
            <w:pPr>
              <w:tabs>
                <w:tab w:val="left" w:pos="1276"/>
              </w:tabs>
              <w:spacing w:after="120" w:line="360" w:lineRule="auto"/>
              <w:ind w:firstLine="0"/>
              <w:contextualSpacing/>
              <w:mirrorIndents/>
              <w:rPr>
                <w:rFonts w:ascii="Times New Roman" w:hAnsi="Times New Roman" w:cs="Times New Roman"/>
              </w:rPr>
            </w:pPr>
            <w:r w:rsidRPr="00BF3398">
              <w:rPr>
                <w:rFonts w:ascii="Times New Roman" w:hAnsi="Times New Roman" w:cs="Times New Roman"/>
              </w:rPr>
              <w:t>okamp@uni-muenster.de</w:t>
            </w:r>
          </w:p>
        </w:tc>
      </w:tr>
    </w:tbl>
    <w:p w14:paraId="4596F63D" w14:textId="77777777" w:rsidR="00891AF2" w:rsidRDefault="00891AF2" w:rsidP="003E2E37">
      <w:pPr>
        <w:widowControl/>
        <w:spacing w:line="240" w:lineRule="auto"/>
        <w:ind w:firstLine="0"/>
        <w:rPr>
          <w:rFonts w:cs="Times New Roman"/>
        </w:rPr>
      </w:pPr>
      <w:r w:rsidRPr="00BF3398">
        <w:rPr>
          <w:rFonts w:cs="Times New Roman"/>
        </w:rPr>
        <w:br w:type="page"/>
      </w:r>
    </w:p>
    <w:p w14:paraId="6515DA9A" w14:textId="1E8307FF" w:rsidR="00891AF2" w:rsidRDefault="00891AF2" w:rsidP="003E2E37">
      <w:pPr>
        <w:widowControl/>
        <w:spacing w:line="240" w:lineRule="auto"/>
        <w:ind w:firstLine="0"/>
        <w:rPr>
          <w:rFonts w:cs="Times New Roman"/>
          <w:b/>
          <w:lang w:eastAsia="zh-TW"/>
        </w:rPr>
      </w:pPr>
    </w:p>
    <w:p w14:paraId="01EBA6FD" w14:textId="2C79B7E3" w:rsidR="00F63A81" w:rsidRDefault="00FF5981" w:rsidP="003E2E37">
      <w:pPr>
        <w:spacing w:line="360" w:lineRule="auto"/>
        <w:ind w:firstLine="0"/>
        <w:contextualSpacing/>
        <w:mirrorIndents/>
        <w:rPr>
          <w:rFonts w:cs="Times New Roman"/>
          <w:b/>
          <w:lang w:eastAsia="zh-TW"/>
        </w:rPr>
      </w:pPr>
      <w:r w:rsidRPr="00FF5981">
        <w:rPr>
          <w:b/>
        </w:rPr>
        <w:t xml:space="preserve">SI </w:t>
      </w:r>
      <w:r w:rsidR="00F63A81" w:rsidRPr="00F63A81">
        <w:rPr>
          <w:rFonts w:cs="Times New Roman" w:hint="eastAsia"/>
          <w:b/>
          <w:lang w:eastAsia="zh-TW"/>
        </w:rPr>
        <w:t>R</w:t>
      </w:r>
      <w:r w:rsidR="00F63A81" w:rsidRPr="00F63A81">
        <w:rPr>
          <w:rFonts w:cs="Times New Roman"/>
          <w:b/>
          <w:lang w:eastAsia="zh-TW"/>
        </w:rPr>
        <w:t>eferences</w:t>
      </w:r>
    </w:p>
    <w:p w14:paraId="66C6F6F1" w14:textId="77777777" w:rsidR="00CD5D94" w:rsidRPr="00CD5D94" w:rsidRDefault="00891AF2" w:rsidP="003E2E37">
      <w:pPr>
        <w:pStyle w:val="EndNoteBibliography"/>
        <w:ind w:left="720" w:hanging="720"/>
        <w:jc w:val="left"/>
        <w:rPr>
          <w:noProof/>
        </w:rPr>
      </w:pPr>
      <w:r>
        <w:fldChar w:fldCharType="begin"/>
      </w:r>
      <w:r>
        <w:instrText xml:space="preserve"> ADDIN EN.REFLIST </w:instrText>
      </w:r>
      <w:r>
        <w:fldChar w:fldCharType="separate"/>
      </w:r>
      <w:r w:rsidR="00CD5D94" w:rsidRPr="00CD5D94">
        <w:rPr>
          <w:noProof/>
        </w:rPr>
        <w:t>1</w:t>
      </w:r>
      <w:r w:rsidR="00CD5D94" w:rsidRPr="00CD5D94">
        <w:rPr>
          <w:noProof/>
        </w:rPr>
        <w:tab/>
        <w:t xml:space="preserve">Hastings, A. &amp; Wysham, D. B. Regime shifts in ecological systems can occur with no warning. </w:t>
      </w:r>
      <w:r w:rsidR="00CD5D94" w:rsidRPr="00CD5D94">
        <w:rPr>
          <w:i/>
          <w:noProof/>
        </w:rPr>
        <w:t>Ecology Letters</w:t>
      </w:r>
      <w:r w:rsidR="00CD5D94" w:rsidRPr="00CD5D94">
        <w:rPr>
          <w:noProof/>
        </w:rPr>
        <w:t xml:space="preserve"> </w:t>
      </w:r>
      <w:r w:rsidR="00CD5D94" w:rsidRPr="00CD5D94">
        <w:rPr>
          <w:b/>
          <w:noProof/>
        </w:rPr>
        <w:t>13</w:t>
      </w:r>
      <w:r w:rsidR="00CD5D94" w:rsidRPr="00CD5D94">
        <w:rPr>
          <w:noProof/>
        </w:rPr>
        <w:t>, 464-472 (2010).</w:t>
      </w:r>
    </w:p>
    <w:p w14:paraId="67D70284" w14:textId="77777777" w:rsidR="00CD5D94" w:rsidRPr="00CD5D94" w:rsidRDefault="00CD5D94" w:rsidP="003E2E37">
      <w:pPr>
        <w:pStyle w:val="EndNoteBibliography"/>
        <w:ind w:left="720" w:hanging="720"/>
        <w:jc w:val="left"/>
        <w:rPr>
          <w:noProof/>
        </w:rPr>
      </w:pPr>
      <w:r w:rsidRPr="00CD5D94">
        <w:rPr>
          <w:noProof/>
        </w:rPr>
        <w:t>2</w:t>
      </w:r>
      <w:r w:rsidRPr="00CD5D94">
        <w:rPr>
          <w:noProof/>
        </w:rPr>
        <w:tab/>
        <w:t xml:space="preserve">Deyle, E. R., May, R. M., Munch, S. B. &amp; Sugihara, G. Tracking and forecasting ecosystem interactions in real time. </w:t>
      </w:r>
      <w:r w:rsidRPr="00CD5D94">
        <w:rPr>
          <w:i/>
          <w:noProof/>
        </w:rPr>
        <w:t>Proc. R. Soc. Lond. B. Biol. Sci.</w:t>
      </w:r>
      <w:r w:rsidRPr="00CD5D94">
        <w:rPr>
          <w:noProof/>
        </w:rPr>
        <w:t xml:space="preserve"> </w:t>
      </w:r>
      <w:r w:rsidRPr="00CD5D94">
        <w:rPr>
          <w:b/>
          <w:noProof/>
        </w:rPr>
        <w:t>283</w:t>
      </w:r>
      <w:r w:rsidRPr="00CD5D94">
        <w:rPr>
          <w:noProof/>
        </w:rPr>
        <w:t>, 20152258 (2016).</w:t>
      </w:r>
    </w:p>
    <w:p w14:paraId="160FE90B" w14:textId="77777777" w:rsidR="00CD5D94" w:rsidRPr="00CD5D94" w:rsidRDefault="00CD5D94" w:rsidP="003E2E37">
      <w:pPr>
        <w:pStyle w:val="EndNoteBibliography"/>
        <w:ind w:left="720" w:hanging="720"/>
        <w:jc w:val="left"/>
        <w:rPr>
          <w:noProof/>
        </w:rPr>
      </w:pPr>
      <w:r w:rsidRPr="00CD5D94">
        <w:rPr>
          <w:noProof/>
        </w:rPr>
        <w:t>3</w:t>
      </w:r>
      <w:r w:rsidRPr="00CD5D94">
        <w:rPr>
          <w:noProof/>
        </w:rPr>
        <w:tab/>
        <w:t>Ushio, M.</w:t>
      </w:r>
      <w:r w:rsidRPr="00CD5D94">
        <w:rPr>
          <w:i/>
          <w:noProof/>
        </w:rPr>
        <w:t xml:space="preserve"> et al.</w:t>
      </w:r>
      <w:r w:rsidRPr="00CD5D94">
        <w:rPr>
          <w:noProof/>
        </w:rPr>
        <w:t xml:space="preserve"> Fluctuating interaction network and time-varying stability of a natural fish community. </w:t>
      </w:r>
      <w:r w:rsidRPr="00CD5D94">
        <w:rPr>
          <w:i/>
          <w:noProof/>
        </w:rPr>
        <w:t>Nature</w:t>
      </w:r>
      <w:r w:rsidRPr="00CD5D94">
        <w:rPr>
          <w:noProof/>
        </w:rPr>
        <w:t xml:space="preserve"> </w:t>
      </w:r>
      <w:r w:rsidRPr="00CD5D94">
        <w:rPr>
          <w:b/>
          <w:noProof/>
        </w:rPr>
        <w:t>554</w:t>
      </w:r>
      <w:r w:rsidRPr="00CD5D94">
        <w:rPr>
          <w:noProof/>
        </w:rPr>
        <w:t>, 360-363 (2018).</w:t>
      </w:r>
    </w:p>
    <w:p w14:paraId="6ECC3BBF" w14:textId="77777777" w:rsidR="00CD5D94" w:rsidRPr="00CD5D94" w:rsidRDefault="00CD5D94" w:rsidP="003E2E37">
      <w:pPr>
        <w:pStyle w:val="EndNoteBibliography"/>
        <w:ind w:left="720" w:hanging="720"/>
        <w:jc w:val="left"/>
        <w:rPr>
          <w:noProof/>
        </w:rPr>
      </w:pPr>
      <w:r w:rsidRPr="00CD5D94">
        <w:rPr>
          <w:noProof/>
        </w:rPr>
        <w:t>4</w:t>
      </w:r>
      <w:r w:rsidRPr="00CD5D94">
        <w:rPr>
          <w:noProof/>
        </w:rPr>
        <w:tab/>
        <w:t xml:space="preserve">Dakos, V., Carpenter, S. R., Nes, E. H. v. &amp; Scheffer, M. Resilience indicators: prospects and limitations for early warnings of regime shifts. </w:t>
      </w:r>
      <w:r w:rsidRPr="00CD5D94">
        <w:rPr>
          <w:i/>
          <w:noProof/>
        </w:rPr>
        <w:t>Philosophical Transactions of the Royal Society B: Biological Sciences</w:t>
      </w:r>
      <w:r w:rsidRPr="00CD5D94">
        <w:rPr>
          <w:noProof/>
        </w:rPr>
        <w:t xml:space="preserve"> </w:t>
      </w:r>
      <w:r w:rsidRPr="00CD5D94">
        <w:rPr>
          <w:b/>
          <w:noProof/>
        </w:rPr>
        <w:t>370</w:t>
      </w:r>
      <w:r w:rsidRPr="00CD5D94">
        <w:rPr>
          <w:noProof/>
        </w:rPr>
        <w:t>, 20130263 (2015).</w:t>
      </w:r>
    </w:p>
    <w:p w14:paraId="2C6FE0F6" w14:textId="77777777" w:rsidR="00CD5D94" w:rsidRPr="00CD5D94" w:rsidRDefault="00CD5D94" w:rsidP="003E2E37">
      <w:pPr>
        <w:pStyle w:val="EndNoteBibliography"/>
        <w:ind w:left="720" w:hanging="720"/>
        <w:jc w:val="left"/>
        <w:rPr>
          <w:noProof/>
        </w:rPr>
      </w:pPr>
      <w:r w:rsidRPr="00CD5D94">
        <w:rPr>
          <w:noProof/>
        </w:rPr>
        <w:t>5</w:t>
      </w:r>
      <w:r w:rsidRPr="00CD5D94">
        <w:rPr>
          <w:noProof/>
        </w:rPr>
        <w:tab/>
        <w:t xml:space="preserve">Scheffer, M., Carpenter, S., Foley, J. A., Folke, C. &amp; Walker, B. Catastrophic shifts in ecosystems. </w:t>
      </w:r>
      <w:r w:rsidRPr="00CD5D94">
        <w:rPr>
          <w:i/>
          <w:noProof/>
        </w:rPr>
        <w:t>Nature</w:t>
      </w:r>
      <w:r w:rsidRPr="00CD5D94">
        <w:rPr>
          <w:noProof/>
        </w:rPr>
        <w:t xml:space="preserve"> </w:t>
      </w:r>
      <w:r w:rsidRPr="00CD5D94">
        <w:rPr>
          <w:b/>
          <w:noProof/>
        </w:rPr>
        <w:t>413</w:t>
      </w:r>
      <w:r w:rsidRPr="00CD5D94">
        <w:rPr>
          <w:noProof/>
        </w:rPr>
        <w:t>, 591-596 (2001).</w:t>
      </w:r>
    </w:p>
    <w:p w14:paraId="76D33CF6" w14:textId="77777777" w:rsidR="00CD5D94" w:rsidRPr="00CD5D94" w:rsidRDefault="00CD5D94" w:rsidP="003E2E37">
      <w:pPr>
        <w:pStyle w:val="EndNoteBibliography"/>
        <w:ind w:left="720" w:hanging="720"/>
        <w:jc w:val="left"/>
        <w:rPr>
          <w:noProof/>
        </w:rPr>
      </w:pPr>
      <w:r w:rsidRPr="00CD5D94">
        <w:rPr>
          <w:noProof/>
        </w:rPr>
        <w:t>6</w:t>
      </w:r>
      <w:r w:rsidRPr="00CD5D94">
        <w:rPr>
          <w:noProof/>
        </w:rPr>
        <w:tab/>
        <w:t xml:space="preserve">Hsieh, C.-h., Glaser, S. M., Lucas, A. J. &amp; Sugihara, G. Distinguishing random environmental fluctuations from ecological catastrophes for the North Pacific Ocean. </w:t>
      </w:r>
      <w:r w:rsidRPr="00CD5D94">
        <w:rPr>
          <w:i/>
          <w:noProof/>
        </w:rPr>
        <w:t>Nature</w:t>
      </w:r>
      <w:r w:rsidRPr="00CD5D94">
        <w:rPr>
          <w:noProof/>
        </w:rPr>
        <w:t xml:space="preserve"> </w:t>
      </w:r>
      <w:r w:rsidRPr="00CD5D94">
        <w:rPr>
          <w:b/>
          <w:noProof/>
        </w:rPr>
        <w:t>435</w:t>
      </w:r>
      <w:r w:rsidRPr="00CD5D94">
        <w:rPr>
          <w:noProof/>
        </w:rPr>
        <w:t>, 336-340 (2005).</w:t>
      </w:r>
    </w:p>
    <w:p w14:paraId="230C8B48" w14:textId="77777777" w:rsidR="00CD5D94" w:rsidRPr="00CD5D94" w:rsidRDefault="00CD5D94" w:rsidP="003E2E37">
      <w:pPr>
        <w:pStyle w:val="EndNoteBibliography"/>
        <w:ind w:left="720" w:hanging="720"/>
        <w:jc w:val="left"/>
        <w:rPr>
          <w:noProof/>
        </w:rPr>
      </w:pPr>
      <w:r w:rsidRPr="00CD5D94">
        <w:rPr>
          <w:noProof/>
        </w:rPr>
        <w:t>7</w:t>
      </w:r>
      <w:r w:rsidRPr="00CD5D94">
        <w:rPr>
          <w:noProof/>
        </w:rPr>
        <w:tab/>
        <w:t>Veraart, A. J.</w:t>
      </w:r>
      <w:r w:rsidRPr="00CD5D94">
        <w:rPr>
          <w:i/>
          <w:noProof/>
        </w:rPr>
        <w:t xml:space="preserve"> et al.</w:t>
      </w:r>
      <w:r w:rsidRPr="00CD5D94">
        <w:rPr>
          <w:noProof/>
        </w:rPr>
        <w:t xml:space="preserve"> Recovery rates reflect distance to a tipping point in a living system. </w:t>
      </w:r>
      <w:r w:rsidRPr="00CD5D94">
        <w:rPr>
          <w:i/>
          <w:noProof/>
        </w:rPr>
        <w:t>Nature</w:t>
      </w:r>
      <w:r w:rsidRPr="00CD5D94">
        <w:rPr>
          <w:noProof/>
        </w:rPr>
        <w:t xml:space="preserve"> </w:t>
      </w:r>
      <w:r w:rsidRPr="00CD5D94">
        <w:rPr>
          <w:b/>
          <w:noProof/>
        </w:rPr>
        <w:t>481</w:t>
      </w:r>
      <w:r w:rsidRPr="00CD5D94">
        <w:rPr>
          <w:noProof/>
        </w:rPr>
        <w:t>, 357-359 (2012).</w:t>
      </w:r>
    </w:p>
    <w:p w14:paraId="63582993" w14:textId="77777777" w:rsidR="00CD5D94" w:rsidRPr="00CD5D94" w:rsidRDefault="00CD5D94" w:rsidP="003E2E37">
      <w:pPr>
        <w:pStyle w:val="EndNoteBibliography"/>
        <w:ind w:left="720" w:hanging="720"/>
        <w:jc w:val="left"/>
        <w:rPr>
          <w:noProof/>
        </w:rPr>
      </w:pPr>
      <w:r w:rsidRPr="00CD5D94">
        <w:rPr>
          <w:noProof/>
        </w:rPr>
        <w:t>8</w:t>
      </w:r>
      <w:r w:rsidRPr="00CD5D94">
        <w:rPr>
          <w:noProof/>
        </w:rPr>
        <w:tab/>
        <w:t>Wagner, S.</w:t>
      </w:r>
      <w:r w:rsidRPr="00CD5D94">
        <w:rPr>
          <w:i/>
          <w:noProof/>
        </w:rPr>
        <w:t xml:space="preserve"> et al.</w:t>
      </w:r>
      <w:r w:rsidRPr="00CD5D94">
        <w:rPr>
          <w:noProof/>
        </w:rPr>
        <w:t xml:space="preserve"> Multiparametric real-time sensing of cytosolic physiology links hypoxia responses to mitochondrial electron transport. </w:t>
      </w:r>
      <w:r w:rsidRPr="00CD5D94">
        <w:rPr>
          <w:i/>
          <w:noProof/>
        </w:rPr>
        <w:t>New Phytol.</w:t>
      </w:r>
      <w:r w:rsidRPr="00CD5D94">
        <w:rPr>
          <w:noProof/>
        </w:rPr>
        <w:t xml:space="preserve"> </w:t>
      </w:r>
      <w:r w:rsidRPr="00CD5D94">
        <w:rPr>
          <w:b/>
          <w:noProof/>
        </w:rPr>
        <w:t>224</w:t>
      </w:r>
      <w:r w:rsidRPr="00CD5D94">
        <w:rPr>
          <w:noProof/>
        </w:rPr>
        <w:t>, 1668-1684 (2019).</w:t>
      </w:r>
    </w:p>
    <w:p w14:paraId="56BE0F7B" w14:textId="77777777" w:rsidR="00CD5D94" w:rsidRPr="00CD5D94" w:rsidRDefault="00CD5D94" w:rsidP="003E2E37">
      <w:pPr>
        <w:pStyle w:val="EndNoteBibliography"/>
        <w:ind w:left="720" w:hanging="720"/>
        <w:jc w:val="left"/>
        <w:rPr>
          <w:noProof/>
        </w:rPr>
      </w:pPr>
      <w:r w:rsidRPr="00CD5D94">
        <w:rPr>
          <w:noProof/>
        </w:rPr>
        <w:t>9</w:t>
      </w:r>
      <w:r w:rsidRPr="00CD5D94">
        <w:rPr>
          <w:noProof/>
        </w:rPr>
        <w:tab/>
        <w:t>Dakos, V.</w:t>
      </w:r>
      <w:r w:rsidRPr="00CD5D94">
        <w:rPr>
          <w:i/>
          <w:noProof/>
        </w:rPr>
        <w:t xml:space="preserve"> et al.</w:t>
      </w:r>
      <w:r w:rsidRPr="00CD5D94">
        <w:rPr>
          <w:noProof/>
        </w:rPr>
        <w:t xml:space="preserve"> Slowing down as an early warning signal for abrupt climate change. </w:t>
      </w:r>
      <w:r w:rsidRPr="00CD5D94">
        <w:rPr>
          <w:i/>
          <w:noProof/>
        </w:rPr>
        <w:t>Proc. Natl. Acad. Sci. USA</w:t>
      </w:r>
      <w:r w:rsidRPr="00CD5D94">
        <w:rPr>
          <w:noProof/>
        </w:rPr>
        <w:t>, - (2008).</w:t>
      </w:r>
    </w:p>
    <w:p w14:paraId="3D260AD7" w14:textId="77777777" w:rsidR="00CD5D94" w:rsidRPr="00CD5D94" w:rsidRDefault="00CD5D94" w:rsidP="003E2E37">
      <w:pPr>
        <w:pStyle w:val="EndNoteBibliography"/>
        <w:ind w:left="720" w:hanging="720"/>
        <w:jc w:val="left"/>
        <w:rPr>
          <w:noProof/>
        </w:rPr>
      </w:pPr>
      <w:r w:rsidRPr="00CD5D94">
        <w:rPr>
          <w:noProof/>
        </w:rPr>
        <w:t>10</w:t>
      </w:r>
      <w:r w:rsidRPr="00CD5D94">
        <w:rPr>
          <w:noProof/>
        </w:rPr>
        <w:tab/>
        <w:t>Council, W. S. C. Western Systems Coordinating Council disturbance report for the power system outages that occurred on the Western Interconnection on July 2, 1996 and July 3, 1996. (1996).</w:t>
      </w:r>
    </w:p>
    <w:p w14:paraId="70D2ED0C" w14:textId="38BCC6DE" w:rsidR="00BF3398" w:rsidRPr="00BF3398" w:rsidRDefault="00891AF2" w:rsidP="003E2E37">
      <w:pPr>
        <w:spacing w:line="360" w:lineRule="auto"/>
        <w:contextualSpacing/>
        <w:mirrorIndents/>
        <w:rPr>
          <w:rFonts w:cs="Times New Roman"/>
        </w:rPr>
      </w:pPr>
      <w:r>
        <w:rPr>
          <w:rFonts w:cs="Times New Roman"/>
        </w:rPr>
        <w:fldChar w:fldCharType="end"/>
      </w:r>
    </w:p>
    <w:sectPr w:rsidR="00BF3398" w:rsidRPr="00BF3398" w:rsidSect="00840F36">
      <w:footerReference w:type="default" r:id="rId30"/>
      <w:pgSz w:w="12240" w:h="15840"/>
      <w:pgMar w:top="1440" w:right="1797" w:bottom="1440" w:left="1797" w:header="851" w:footer="992" w:gutter="0"/>
      <w:lnNumType w:countBy="1" w:restart="continuou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319F99" w14:textId="77777777" w:rsidR="007020FB" w:rsidRDefault="007020FB" w:rsidP="00BD3392">
      <w:pPr>
        <w:spacing w:line="240" w:lineRule="auto"/>
      </w:pPr>
      <w:r>
        <w:separator/>
      </w:r>
    </w:p>
  </w:endnote>
  <w:endnote w:type="continuationSeparator" w:id="0">
    <w:p w14:paraId="4ACDEE16" w14:textId="77777777" w:rsidR="007020FB" w:rsidRDefault="007020FB" w:rsidP="00BD339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MingLiU">
    <w:altName w:val="細明體"/>
    <w:panose1 w:val="02020509000000000000"/>
    <w:charset w:val="88"/>
    <w:family w:val="modern"/>
    <w:pitch w:val="fixed"/>
    <w:sig w:usb0="A00002FF" w:usb1="28CFFCFA" w:usb2="00000016" w:usb3="00000000" w:csb0="00100001"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PMingLiU">
    <w:altName w:val="新細明體"/>
    <w:panose1 w:val="02020500000000000000"/>
    <w:charset w:val="88"/>
    <w:family w:val="roman"/>
    <w:pitch w:val="variable"/>
    <w:sig w:usb0="A00002FF" w:usb1="28CFFCFA" w:usb2="00000016" w:usb3="00000000" w:csb0="00100001" w:csb1="00000000"/>
  </w:font>
  <w:font w:name="Arial Unicode MS">
    <w:panose1 w:val="020B0604020202020204"/>
    <w:charset w:val="80"/>
    <w:family w:val="swiss"/>
    <w:pitch w:val="variable"/>
    <w:sig w:usb0="F7FFAFFF" w:usb1="E9DFFFFF" w:usb2="0000003F" w:usb3="00000000" w:csb0="003F01FF" w:csb1="00000000"/>
  </w:font>
  <w:font w:name="Helvetica Neue">
    <w:altName w:val="Sylfaen"/>
    <w:panose1 w:val="02000503000000020004"/>
    <w:charset w:val="00"/>
    <w:family w:val="auto"/>
    <w:pitch w:val="variable"/>
    <w:sig w:usb0="E50002FF" w:usb1="500079DB" w:usb2="00000010" w:usb3="00000000" w:csb0="00000001" w:csb1="00000000"/>
  </w:font>
  <w:font w:name="Tahoma">
    <w:panose1 w:val="020B0604030504040204"/>
    <w:charset w:val="00"/>
    <w:family w:val="swiss"/>
    <w:pitch w:val="variable"/>
    <w:sig w:usb0="E1002EFF" w:usb1="C000605B" w:usb2="00000029" w:usb3="00000000" w:csb0="000101FF" w:csb1="00000000"/>
  </w:font>
  <w:font w:name="Courier">
    <w:panose1 w:val="00000000000000000000"/>
    <w:charset w:val="00"/>
    <w:family w:val="auto"/>
    <w:pitch w:val="variable"/>
    <w:sig w:usb0="00000003"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1CB5A8" w14:textId="01602D75" w:rsidR="00107085" w:rsidRDefault="00107085">
    <w:pPr>
      <w:pStyle w:val="Footer"/>
      <w:jc w:val="right"/>
    </w:pPr>
    <w:r>
      <w:fldChar w:fldCharType="begin"/>
    </w:r>
    <w:r>
      <w:instrText xml:space="preserve"> PAGE </w:instrText>
    </w:r>
    <w:r>
      <w:fldChar w:fldCharType="separate"/>
    </w:r>
    <w:r>
      <w:rPr>
        <w:noProof/>
      </w:rPr>
      <w:t>37</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029E05" w14:textId="77777777" w:rsidR="007020FB" w:rsidRDefault="007020FB" w:rsidP="00BD3392">
      <w:pPr>
        <w:spacing w:line="240" w:lineRule="auto"/>
      </w:pPr>
      <w:r>
        <w:separator/>
      </w:r>
    </w:p>
  </w:footnote>
  <w:footnote w:type="continuationSeparator" w:id="0">
    <w:p w14:paraId="3BED0364" w14:textId="77777777" w:rsidR="007020FB" w:rsidRDefault="007020FB" w:rsidP="00BD3392">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18362D"/>
    <w:multiLevelType w:val="hybridMultilevel"/>
    <w:tmpl w:val="3124AD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D57A25"/>
    <w:multiLevelType w:val="multilevel"/>
    <w:tmpl w:val="4DBC9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B7734E"/>
    <w:multiLevelType w:val="hybridMultilevel"/>
    <w:tmpl w:val="EE1A25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293098"/>
    <w:multiLevelType w:val="hybridMultilevel"/>
    <w:tmpl w:val="751C275A"/>
    <w:lvl w:ilvl="0" w:tplc="02B41F84">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 w15:restartNumberingAfterBreak="0">
    <w:nsid w:val="13FC59B4"/>
    <w:multiLevelType w:val="hybridMultilevel"/>
    <w:tmpl w:val="5FA496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6574F14"/>
    <w:multiLevelType w:val="multilevel"/>
    <w:tmpl w:val="E94CC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A005B56"/>
    <w:multiLevelType w:val="multilevel"/>
    <w:tmpl w:val="7A463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1080A09"/>
    <w:multiLevelType w:val="hybridMultilevel"/>
    <w:tmpl w:val="DB3E92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3293E2E"/>
    <w:multiLevelType w:val="hybridMultilevel"/>
    <w:tmpl w:val="16F6573C"/>
    <w:lvl w:ilvl="0" w:tplc="9A7ADA24">
      <w:start w:val="1"/>
      <w:numFmt w:val="decimal"/>
      <w:lvlText w:val="%1."/>
      <w:lvlJc w:val="left"/>
      <w:pPr>
        <w:ind w:left="840" w:hanging="360"/>
      </w:pPr>
      <w:rPr>
        <w:rFonts w:hint="default"/>
      </w:rPr>
    </w:lvl>
    <w:lvl w:ilvl="1" w:tplc="04070019" w:tentative="1">
      <w:start w:val="1"/>
      <w:numFmt w:val="lowerLetter"/>
      <w:lvlText w:val="%2."/>
      <w:lvlJc w:val="left"/>
      <w:pPr>
        <w:ind w:left="1560" w:hanging="360"/>
      </w:pPr>
    </w:lvl>
    <w:lvl w:ilvl="2" w:tplc="0407001B" w:tentative="1">
      <w:start w:val="1"/>
      <w:numFmt w:val="lowerRoman"/>
      <w:lvlText w:val="%3."/>
      <w:lvlJc w:val="right"/>
      <w:pPr>
        <w:ind w:left="2280" w:hanging="180"/>
      </w:pPr>
    </w:lvl>
    <w:lvl w:ilvl="3" w:tplc="0407000F" w:tentative="1">
      <w:start w:val="1"/>
      <w:numFmt w:val="decimal"/>
      <w:lvlText w:val="%4."/>
      <w:lvlJc w:val="left"/>
      <w:pPr>
        <w:ind w:left="3000" w:hanging="360"/>
      </w:pPr>
    </w:lvl>
    <w:lvl w:ilvl="4" w:tplc="04070019" w:tentative="1">
      <w:start w:val="1"/>
      <w:numFmt w:val="lowerLetter"/>
      <w:lvlText w:val="%5."/>
      <w:lvlJc w:val="left"/>
      <w:pPr>
        <w:ind w:left="3720" w:hanging="360"/>
      </w:pPr>
    </w:lvl>
    <w:lvl w:ilvl="5" w:tplc="0407001B" w:tentative="1">
      <w:start w:val="1"/>
      <w:numFmt w:val="lowerRoman"/>
      <w:lvlText w:val="%6."/>
      <w:lvlJc w:val="right"/>
      <w:pPr>
        <w:ind w:left="4440" w:hanging="180"/>
      </w:pPr>
    </w:lvl>
    <w:lvl w:ilvl="6" w:tplc="0407000F" w:tentative="1">
      <w:start w:val="1"/>
      <w:numFmt w:val="decimal"/>
      <w:lvlText w:val="%7."/>
      <w:lvlJc w:val="left"/>
      <w:pPr>
        <w:ind w:left="5160" w:hanging="360"/>
      </w:pPr>
    </w:lvl>
    <w:lvl w:ilvl="7" w:tplc="04070019" w:tentative="1">
      <w:start w:val="1"/>
      <w:numFmt w:val="lowerLetter"/>
      <w:lvlText w:val="%8."/>
      <w:lvlJc w:val="left"/>
      <w:pPr>
        <w:ind w:left="5880" w:hanging="360"/>
      </w:pPr>
    </w:lvl>
    <w:lvl w:ilvl="8" w:tplc="0407001B" w:tentative="1">
      <w:start w:val="1"/>
      <w:numFmt w:val="lowerRoman"/>
      <w:lvlText w:val="%9."/>
      <w:lvlJc w:val="right"/>
      <w:pPr>
        <w:ind w:left="6600" w:hanging="180"/>
      </w:pPr>
    </w:lvl>
  </w:abstractNum>
  <w:abstractNum w:abstractNumId="9" w15:restartNumberingAfterBreak="0">
    <w:nsid w:val="435D1B91"/>
    <w:multiLevelType w:val="multilevel"/>
    <w:tmpl w:val="6C86E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3DA337F"/>
    <w:multiLevelType w:val="hybridMultilevel"/>
    <w:tmpl w:val="D29EB610"/>
    <w:lvl w:ilvl="0" w:tplc="218ECAA0">
      <w:numFmt w:val="bullet"/>
      <w:lvlText w:val="-"/>
      <w:lvlJc w:val="left"/>
      <w:pPr>
        <w:ind w:left="720" w:hanging="360"/>
      </w:pPr>
      <w:rPr>
        <w:rFonts w:ascii="Arial" w:eastAsiaTheme="majorEastAsia"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40C33F5"/>
    <w:multiLevelType w:val="hybridMultilevel"/>
    <w:tmpl w:val="04A2374E"/>
    <w:lvl w:ilvl="0" w:tplc="1F14992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7670CD4"/>
    <w:multiLevelType w:val="hybridMultilevel"/>
    <w:tmpl w:val="DB3E92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A8F23E1"/>
    <w:multiLevelType w:val="hybridMultilevel"/>
    <w:tmpl w:val="D5F25D98"/>
    <w:lvl w:ilvl="0" w:tplc="FCD62AD0">
      <w:numFmt w:val="bullet"/>
      <w:lvlText w:val="-"/>
      <w:lvlJc w:val="left"/>
      <w:pPr>
        <w:ind w:left="720" w:hanging="360"/>
      </w:pPr>
      <w:rPr>
        <w:rFonts w:ascii="Calibri" w:eastAsia="MS Mincho" w:hAnsi="Calibri" w:cs="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2861ABB"/>
    <w:multiLevelType w:val="hybridMultilevel"/>
    <w:tmpl w:val="4544B7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3B625D7"/>
    <w:multiLevelType w:val="multilevel"/>
    <w:tmpl w:val="BC92BB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57123B1"/>
    <w:multiLevelType w:val="hybridMultilevel"/>
    <w:tmpl w:val="08527A2E"/>
    <w:lvl w:ilvl="0" w:tplc="83C486D4">
      <w:start w:val="1"/>
      <w:numFmt w:val="decimal"/>
      <w:lvlText w:val="%1)"/>
      <w:lvlJc w:val="left"/>
      <w:pPr>
        <w:ind w:left="840" w:hanging="360"/>
      </w:pPr>
      <w:rPr>
        <w:rFonts w:hint="default"/>
      </w:rPr>
    </w:lvl>
    <w:lvl w:ilvl="1" w:tplc="04070019" w:tentative="1">
      <w:start w:val="1"/>
      <w:numFmt w:val="lowerLetter"/>
      <w:lvlText w:val="%2."/>
      <w:lvlJc w:val="left"/>
      <w:pPr>
        <w:ind w:left="1560" w:hanging="360"/>
      </w:pPr>
    </w:lvl>
    <w:lvl w:ilvl="2" w:tplc="0407001B" w:tentative="1">
      <w:start w:val="1"/>
      <w:numFmt w:val="lowerRoman"/>
      <w:lvlText w:val="%3."/>
      <w:lvlJc w:val="right"/>
      <w:pPr>
        <w:ind w:left="2280" w:hanging="180"/>
      </w:pPr>
    </w:lvl>
    <w:lvl w:ilvl="3" w:tplc="0407000F" w:tentative="1">
      <w:start w:val="1"/>
      <w:numFmt w:val="decimal"/>
      <w:lvlText w:val="%4."/>
      <w:lvlJc w:val="left"/>
      <w:pPr>
        <w:ind w:left="3000" w:hanging="360"/>
      </w:pPr>
    </w:lvl>
    <w:lvl w:ilvl="4" w:tplc="04070019" w:tentative="1">
      <w:start w:val="1"/>
      <w:numFmt w:val="lowerLetter"/>
      <w:lvlText w:val="%5."/>
      <w:lvlJc w:val="left"/>
      <w:pPr>
        <w:ind w:left="3720" w:hanging="360"/>
      </w:pPr>
    </w:lvl>
    <w:lvl w:ilvl="5" w:tplc="0407001B" w:tentative="1">
      <w:start w:val="1"/>
      <w:numFmt w:val="lowerRoman"/>
      <w:lvlText w:val="%6."/>
      <w:lvlJc w:val="right"/>
      <w:pPr>
        <w:ind w:left="4440" w:hanging="180"/>
      </w:pPr>
    </w:lvl>
    <w:lvl w:ilvl="6" w:tplc="0407000F" w:tentative="1">
      <w:start w:val="1"/>
      <w:numFmt w:val="decimal"/>
      <w:lvlText w:val="%7."/>
      <w:lvlJc w:val="left"/>
      <w:pPr>
        <w:ind w:left="5160" w:hanging="360"/>
      </w:pPr>
    </w:lvl>
    <w:lvl w:ilvl="7" w:tplc="04070019" w:tentative="1">
      <w:start w:val="1"/>
      <w:numFmt w:val="lowerLetter"/>
      <w:lvlText w:val="%8."/>
      <w:lvlJc w:val="left"/>
      <w:pPr>
        <w:ind w:left="5880" w:hanging="360"/>
      </w:pPr>
    </w:lvl>
    <w:lvl w:ilvl="8" w:tplc="0407001B" w:tentative="1">
      <w:start w:val="1"/>
      <w:numFmt w:val="lowerRoman"/>
      <w:lvlText w:val="%9."/>
      <w:lvlJc w:val="right"/>
      <w:pPr>
        <w:ind w:left="6600" w:hanging="180"/>
      </w:pPr>
    </w:lvl>
  </w:abstractNum>
  <w:abstractNum w:abstractNumId="17" w15:restartNumberingAfterBreak="0">
    <w:nsid w:val="5DF971BC"/>
    <w:multiLevelType w:val="hybridMultilevel"/>
    <w:tmpl w:val="FFDAE232"/>
    <w:lvl w:ilvl="0" w:tplc="6A827BC0">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6B754030"/>
    <w:multiLevelType w:val="multilevel"/>
    <w:tmpl w:val="08527A2E"/>
    <w:styleLink w:val="CurrentList1"/>
    <w:lvl w:ilvl="0">
      <w:start w:val="1"/>
      <w:numFmt w:val="decimal"/>
      <w:lvlText w:val="%1)"/>
      <w:lvlJc w:val="left"/>
      <w:pPr>
        <w:ind w:left="840" w:hanging="360"/>
      </w:pPr>
      <w:rPr>
        <w:rFonts w:hint="default"/>
      </w:rPr>
    </w:lvl>
    <w:lvl w:ilvl="1">
      <w:start w:val="1"/>
      <w:numFmt w:val="lowerLetter"/>
      <w:lvlText w:val="%2."/>
      <w:lvlJc w:val="left"/>
      <w:pPr>
        <w:ind w:left="1560" w:hanging="360"/>
      </w:pPr>
    </w:lvl>
    <w:lvl w:ilvl="2">
      <w:start w:val="1"/>
      <w:numFmt w:val="lowerRoman"/>
      <w:lvlText w:val="%3."/>
      <w:lvlJc w:val="right"/>
      <w:pPr>
        <w:ind w:left="2280" w:hanging="180"/>
      </w:pPr>
    </w:lvl>
    <w:lvl w:ilvl="3">
      <w:start w:val="1"/>
      <w:numFmt w:val="decimal"/>
      <w:lvlText w:val="%4."/>
      <w:lvlJc w:val="left"/>
      <w:pPr>
        <w:ind w:left="3000" w:hanging="360"/>
      </w:pPr>
    </w:lvl>
    <w:lvl w:ilvl="4">
      <w:start w:val="1"/>
      <w:numFmt w:val="lowerLetter"/>
      <w:lvlText w:val="%5."/>
      <w:lvlJc w:val="left"/>
      <w:pPr>
        <w:ind w:left="3720" w:hanging="360"/>
      </w:pPr>
    </w:lvl>
    <w:lvl w:ilvl="5">
      <w:start w:val="1"/>
      <w:numFmt w:val="lowerRoman"/>
      <w:lvlText w:val="%6."/>
      <w:lvlJc w:val="right"/>
      <w:pPr>
        <w:ind w:left="4440" w:hanging="180"/>
      </w:pPr>
    </w:lvl>
    <w:lvl w:ilvl="6">
      <w:start w:val="1"/>
      <w:numFmt w:val="decimal"/>
      <w:lvlText w:val="%7."/>
      <w:lvlJc w:val="left"/>
      <w:pPr>
        <w:ind w:left="5160" w:hanging="360"/>
      </w:pPr>
    </w:lvl>
    <w:lvl w:ilvl="7">
      <w:start w:val="1"/>
      <w:numFmt w:val="lowerLetter"/>
      <w:lvlText w:val="%8."/>
      <w:lvlJc w:val="left"/>
      <w:pPr>
        <w:ind w:left="5880" w:hanging="360"/>
      </w:pPr>
    </w:lvl>
    <w:lvl w:ilvl="8">
      <w:start w:val="1"/>
      <w:numFmt w:val="lowerRoman"/>
      <w:lvlText w:val="%9."/>
      <w:lvlJc w:val="right"/>
      <w:pPr>
        <w:ind w:left="6600" w:hanging="180"/>
      </w:pPr>
    </w:lvl>
  </w:abstractNum>
  <w:abstractNum w:abstractNumId="19" w15:restartNumberingAfterBreak="0">
    <w:nsid w:val="729C2E5D"/>
    <w:multiLevelType w:val="hybridMultilevel"/>
    <w:tmpl w:val="E3DCF5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AB723CB"/>
    <w:multiLevelType w:val="hybridMultilevel"/>
    <w:tmpl w:val="C24A2E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B5B15A4"/>
    <w:multiLevelType w:val="hybridMultilevel"/>
    <w:tmpl w:val="948405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13"/>
  </w:num>
  <w:num w:numId="3">
    <w:abstractNumId w:val="11"/>
  </w:num>
  <w:num w:numId="4">
    <w:abstractNumId w:val="21"/>
  </w:num>
  <w:num w:numId="5">
    <w:abstractNumId w:val="14"/>
  </w:num>
  <w:num w:numId="6">
    <w:abstractNumId w:val="2"/>
  </w:num>
  <w:num w:numId="7">
    <w:abstractNumId w:val="20"/>
  </w:num>
  <w:num w:numId="8">
    <w:abstractNumId w:val="4"/>
  </w:num>
  <w:num w:numId="9">
    <w:abstractNumId w:val="15"/>
  </w:num>
  <w:num w:numId="10">
    <w:abstractNumId w:val="7"/>
  </w:num>
  <w:num w:numId="11">
    <w:abstractNumId w:val="12"/>
  </w:num>
  <w:num w:numId="12">
    <w:abstractNumId w:val="1"/>
  </w:num>
  <w:num w:numId="13">
    <w:abstractNumId w:val="6"/>
  </w:num>
  <w:num w:numId="14">
    <w:abstractNumId w:val="5"/>
  </w:num>
  <w:num w:numId="15">
    <w:abstractNumId w:val="9"/>
  </w:num>
  <w:num w:numId="16">
    <w:abstractNumId w:val="0"/>
  </w:num>
  <w:num w:numId="17">
    <w:abstractNumId w:val="17"/>
  </w:num>
  <w:num w:numId="18">
    <w:abstractNumId w:val="19"/>
  </w:num>
  <w:num w:numId="19">
    <w:abstractNumId w:val="10"/>
  </w:num>
  <w:num w:numId="20">
    <w:abstractNumId w:val="8"/>
  </w:num>
  <w:num w:numId="21">
    <w:abstractNumId w:val="16"/>
  </w:num>
  <w:num w:numId="2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1"/>
  <w:displayBackgroundShape/>
  <w:bordersDoNotSurroundHeader/>
  <w:bordersDoNotSurroundFooter/>
  <w:activeWritingStyle w:appName="MSWord" w:lang="en-US" w:vendorID="64" w:dllVersion="6" w:nlCheck="1" w:checkStyle="0"/>
  <w:activeWritingStyle w:appName="MSWord" w:lang="en-GB" w:vendorID="64" w:dllVersion="6" w:nlCheck="1" w:checkStyle="0"/>
  <w:activeWritingStyle w:appName="MSWord" w:lang="en-US" w:vendorID="64" w:dllVersion="0" w:nlCheck="1" w:checkStyle="0"/>
  <w:activeWritingStyle w:appName="MSWord" w:lang="en-GB" w:vendorID="64" w:dllVersion="0" w:nlCheck="1" w:checkStyle="0"/>
  <w:activeWritingStyle w:appName="MSWord" w:lang="fr-FR" w:vendorID="64" w:dllVersion="0" w:nlCheck="1" w:checkStyle="0"/>
  <w:activeWritingStyle w:appName="MSWord" w:lang="zh-TW" w:vendorID="64" w:dllVersion="0" w:nlCheck="1" w:checkStyle="1"/>
  <w:activeWritingStyle w:appName="MSWord" w:lang="en-US" w:vendorID="64" w:dllVersion="4096" w:nlCheck="1" w:checkStyle="0"/>
  <w:activeWritingStyle w:appName="MSWord" w:lang="en-GB" w:vendorID="64" w:dllVersion="4096" w:nlCheck="1" w:checkStyle="0"/>
  <w:activeWritingStyle w:appName="MSWord" w:lang="de-DE" w:vendorID="64" w:dllVersion="4096" w:nlCheck="1" w:checkStyle="0"/>
  <w:proofState w:grammar="clean"/>
  <w:defaultTabStop w:val="648"/>
  <w:hyphenationZone w:val="425"/>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_Cop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2pzd5dayrt09lewpvbpefpx09vz5att9wda&quot;&gt;Clark-Converted&lt;record-ids&gt;&lt;item&gt;451&lt;/item&gt;&lt;item&gt;773&lt;/item&gt;&lt;item&gt;996&lt;/item&gt;&lt;item&gt;1034&lt;/item&gt;&lt;/record-ids&gt;&lt;/item&gt;&lt;/Libraries&gt;"/>
  </w:docVars>
  <w:rsids>
    <w:rsidRoot w:val="00BD3392"/>
    <w:rsid w:val="000011ED"/>
    <w:rsid w:val="0000126C"/>
    <w:rsid w:val="0000228E"/>
    <w:rsid w:val="00007942"/>
    <w:rsid w:val="0001002A"/>
    <w:rsid w:val="00012449"/>
    <w:rsid w:val="00013647"/>
    <w:rsid w:val="00014E71"/>
    <w:rsid w:val="000161A1"/>
    <w:rsid w:val="000225AB"/>
    <w:rsid w:val="00023D13"/>
    <w:rsid w:val="00023D90"/>
    <w:rsid w:val="00025301"/>
    <w:rsid w:val="00030175"/>
    <w:rsid w:val="0003309B"/>
    <w:rsid w:val="000344CF"/>
    <w:rsid w:val="000352B7"/>
    <w:rsid w:val="000352F8"/>
    <w:rsid w:val="000411BB"/>
    <w:rsid w:val="00041864"/>
    <w:rsid w:val="00042182"/>
    <w:rsid w:val="00042FC5"/>
    <w:rsid w:val="0004393E"/>
    <w:rsid w:val="000443CA"/>
    <w:rsid w:val="00044455"/>
    <w:rsid w:val="00050336"/>
    <w:rsid w:val="000519E1"/>
    <w:rsid w:val="00051B72"/>
    <w:rsid w:val="00051D8E"/>
    <w:rsid w:val="00052B81"/>
    <w:rsid w:val="00053288"/>
    <w:rsid w:val="0005519F"/>
    <w:rsid w:val="00056A7B"/>
    <w:rsid w:val="00061051"/>
    <w:rsid w:val="00065A03"/>
    <w:rsid w:val="000660D0"/>
    <w:rsid w:val="000661D9"/>
    <w:rsid w:val="00066568"/>
    <w:rsid w:val="00071162"/>
    <w:rsid w:val="0007219F"/>
    <w:rsid w:val="00072440"/>
    <w:rsid w:val="00073366"/>
    <w:rsid w:val="0007427A"/>
    <w:rsid w:val="00075353"/>
    <w:rsid w:val="000812F8"/>
    <w:rsid w:val="00086600"/>
    <w:rsid w:val="00091F3B"/>
    <w:rsid w:val="0009561F"/>
    <w:rsid w:val="000A2246"/>
    <w:rsid w:val="000A22AE"/>
    <w:rsid w:val="000A7A24"/>
    <w:rsid w:val="000B1E5C"/>
    <w:rsid w:val="000B2563"/>
    <w:rsid w:val="000B3613"/>
    <w:rsid w:val="000B51AC"/>
    <w:rsid w:val="000B67FB"/>
    <w:rsid w:val="000B748A"/>
    <w:rsid w:val="000C2629"/>
    <w:rsid w:val="000C4066"/>
    <w:rsid w:val="000C5F2B"/>
    <w:rsid w:val="000D10E3"/>
    <w:rsid w:val="000D17C4"/>
    <w:rsid w:val="000E0363"/>
    <w:rsid w:val="000E2358"/>
    <w:rsid w:val="000E3509"/>
    <w:rsid w:val="000E3E5B"/>
    <w:rsid w:val="000E6D1D"/>
    <w:rsid w:val="000F208C"/>
    <w:rsid w:val="001030E5"/>
    <w:rsid w:val="00103292"/>
    <w:rsid w:val="00103C9C"/>
    <w:rsid w:val="001050D3"/>
    <w:rsid w:val="00107085"/>
    <w:rsid w:val="00110152"/>
    <w:rsid w:val="00110C6C"/>
    <w:rsid w:val="00112EB5"/>
    <w:rsid w:val="001161B5"/>
    <w:rsid w:val="001177E7"/>
    <w:rsid w:val="001225C5"/>
    <w:rsid w:val="00130DF1"/>
    <w:rsid w:val="00131140"/>
    <w:rsid w:val="00133550"/>
    <w:rsid w:val="00137667"/>
    <w:rsid w:val="00140B6F"/>
    <w:rsid w:val="00144ABF"/>
    <w:rsid w:val="0014520C"/>
    <w:rsid w:val="001476F7"/>
    <w:rsid w:val="00151CB6"/>
    <w:rsid w:val="00151FF3"/>
    <w:rsid w:val="00153F5C"/>
    <w:rsid w:val="00154BFD"/>
    <w:rsid w:val="001560B4"/>
    <w:rsid w:val="00156404"/>
    <w:rsid w:val="00156B18"/>
    <w:rsid w:val="00160694"/>
    <w:rsid w:val="00164ECF"/>
    <w:rsid w:val="00170728"/>
    <w:rsid w:val="00172C2B"/>
    <w:rsid w:val="00180A48"/>
    <w:rsid w:val="00180AC8"/>
    <w:rsid w:val="001832EB"/>
    <w:rsid w:val="00187B7D"/>
    <w:rsid w:val="00190AD7"/>
    <w:rsid w:val="00191D99"/>
    <w:rsid w:val="00193529"/>
    <w:rsid w:val="00196D7D"/>
    <w:rsid w:val="00197DF9"/>
    <w:rsid w:val="00197ED0"/>
    <w:rsid w:val="001A1DCC"/>
    <w:rsid w:val="001A3F3F"/>
    <w:rsid w:val="001A4D84"/>
    <w:rsid w:val="001B1AA4"/>
    <w:rsid w:val="001B357B"/>
    <w:rsid w:val="001B47BE"/>
    <w:rsid w:val="001B63B3"/>
    <w:rsid w:val="001C2E02"/>
    <w:rsid w:val="001C4E25"/>
    <w:rsid w:val="001C503A"/>
    <w:rsid w:val="001C5E34"/>
    <w:rsid w:val="001D2F25"/>
    <w:rsid w:val="001D4CC8"/>
    <w:rsid w:val="001D50F9"/>
    <w:rsid w:val="001E2915"/>
    <w:rsid w:val="001F302B"/>
    <w:rsid w:val="001F332C"/>
    <w:rsid w:val="001F5D09"/>
    <w:rsid w:val="00202D37"/>
    <w:rsid w:val="00203D26"/>
    <w:rsid w:val="0020411B"/>
    <w:rsid w:val="0020590A"/>
    <w:rsid w:val="00206052"/>
    <w:rsid w:val="00206068"/>
    <w:rsid w:val="0020643E"/>
    <w:rsid w:val="002072A0"/>
    <w:rsid w:val="00211033"/>
    <w:rsid w:val="00211FE2"/>
    <w:rsid w:val="002120F8"/>
    <w:rsid w:val="00212477"/>
    <w:rsid w:val="002125AC"/>
    <w:rsid w:val="00214BB8"/>
    <w:rsid w:val="00214EB6"/>
    <w:rsid w:val="00216732"/>
    <w:rsid w:val="00216D1B"/>
    <w:rsid w:val="00220113"/>
    <w:rsid w:val="00223540"/>
    <w:rsid w:val="00223C7B"/>
    <w:rsid w:val="002243A7"/>
    <w:rsid w:val="00225A90"/>
    <w:rsid w:val="00225EC0"/>
    <w:rsid w:val="0022687F"/>
    <w:rsid w:val="002305D3"/>
    <w:rsid w:val="00230AB0"/>
    <w:rsid w:val="00233F18"/>
    <w:rsid w:val="00235893"/>
    <w:rsid w:val="00241DDD"/>
    <w:rsid w:val="00247EFA"/>
    <w:rsid w:val="00247FB0"/>
    <w:rsid w:val="002522B5"/>
    <w:rsid w:val="0025319A"/>
    <w:rsid w:val="00254F22"/>
    <w:rsid w:val="002552BE"/>
    <w:rsid w:val="002565B1"/>
    <w:rsid w:val="00257CAA"/>
    <w:rsid w:val="002631F7"/>
    <w:rsid w:val="002647AF"/>
    <w:rsid w:val="00266636"/>
    <w:rsid w:val="002716E8"/>
    <w:rsid w:val="00271E18"/>
    <w:rsid w:val="00277194"/>
    <w:rsid w:val="00277271"/>
    <w:rsid w:val="00284C28"/>
    <w:rsid w:val="0029060A"/>
    <w:rsid w:val="002A077C"/>
    <w:rsid w:val="002A2A91"/>
    <w:rsid w:val="002A2B1A"/>
    <w:rsid w:val="002A6782"/>
    <w:rsid w:val="002B0B07"/>
    <w:rsid w:val="002B23E3"/>
    <w:rsid w:val="002B34C2"/>
    <w:rsid w:val="002B7FBE"/>
    <w:rsid w:val="002C015C"/>
    <w:rsid w:val="002C1796"/>
    <w:rsid w:val="002C3828"/>
    <w:rsid w:val="002C3DCC"/>
    <w:rsid w:val="002C76FA"/>
    <w:rsid w:val="002D1638"/>
    <w:rsid w:val="002D43E2"/>
    <w:rsid w:val="002D489F"/>
    <w:rsid w:val="002E01FE"/>
    <w:rsid w:val="002E318B"/>
    <w:rsid w:val="002E4186"/>
    <w:rsid w:val="002F2D21"/>
    <w:rsid w:val="002F42AD"/>
    <w:rsid w:val="002F6724"/>
    <w:rsid w:val="003035A0"/>
    <w:rsid w:val="00304B52"/>
    <w:rsid w:val="00307E98"/>
    <w:rsid w:val="00310ED0"/>
    <w:rsid w:val="00316229"/>
    <w:rsid w:val="003178AC"/>
    <w:rsid w:val="00320047"/>
    <w:rsid w:val="00321C44"/>
    <w:rsid w:val="00322D72"/>
    <w:rsid w:val="003250FF"/>
    <w:rsid w:val="00334B35"/>
    <w:rsid w:val="00335089"/>
    <w:rsid w:val="0033635B"/>
    <w:rsid w:val="0034154B"/>
    <w:rsid w:val="00347619"/>
    <w:rsid w:val="0034797D"/>
    <w:rsid w:val="00350E21"/>
    <w:rsid w:val="003566B2"/>
    <w:rsid w:val="003570A5"/>
    <w:rsid w:val="003604D0"/>
    <w:rsid w:val="00360CE8"/>
    <w:rsid w:val="00362A55"/>
    <w:rsid w:val="0036697A"/>
    <w:rsid w:val="00367FB8"/>
    <w:rsid w:val="00370D7A"/>
    <w:rsid w:val="00371A39"/>
    <w:rsid w:val="00372A26"/>
    <w:rsid w:val="003741DC"/>
    <w:rsid w:val="00374CEA"/>
    <w:rsid w:val="00377F26"/>
    <w:rsid w:val="003812B5"/>
    <w:rsid w:val="00382CE4"/>
    <w:rsid w:val="003852EC"/>
    <w:rsid w:val="003862DC"/>
    <w:rsid w:val="00386B83"/>
    <w:rsid w:val="003900D9"/>
    <w:rsid w:val="0039073C"/>
    <w:rsid w:val="00394635"/>
    <w:rsid w:val="00395BE0"/>
    <w:rsid w:val="003A1A6C"/>
    <w:rsid w:val="003A2BCD"/>
    <w:rsid w:val="003A7F83"/>
    <w:rsid w:val="003B16C6"/>
    <w:rsid w:val="003B16E0"/>
    <w:rsid w:val="003B1DDE"/>
    <w:rsid w:val="003B6890"/>
    <w:rsid w:val="003C2493"/>
    <w:rsid w:val="003C2527"/>
    <w:rsid w:val="003C39AC"/>
    <w:rsid w:val="003C796A"/>
    <w:rsid w:val="003D0542"/>
    <w:rsid w:val="003D1963"/>
    <w:rsid w:val="003D7156"/>
    <w:rsid w:val="003E2E37"/>
    <w:rsid w:val="003E38D8"/>
    <w:rsid w:val="003E50E5"/>
    <w:rsid w:val="003E7260"/>
    <w:rsid w:val="003E74A5"/>
    <w:rsid w:val="003F245B"/>
    <w:rsid w:val="003F34B0"/>
    <w:rsid w:val="003F5495"/>
    <w:rsid w:val="003F54FE"/>
    <w:rsid w:val="00401F93"/>
    <w:rsid w:val="004044DE"/>
    <w:rsid w:val="004105B8"/>
    <w:rsid w:val="00410C5A"/>
    <w:rsid w:val="00410C8C"/>
    <w:rsid w:val="0041371C"/>
    <w:rsid w:val="00413FD3"/>
    <w:rsid w:val="00415054"/>
    <w:rsid w:val="00417DDA"/>
    <w:rsid w:val="004215FE"/>
    <w:rsid w:val="00421A36"/>
    <w:rsid w:val="00421A37"/>
    <w:rsid w:val="0042501F"/>
    <w:rsid w:val="00435BB4"/>
    <w:rsid w:val="00436DB4"/>
    <w:rsid w:val="00442917"/>
    <w:rsid w:val="004433B8"/>
    <w:rsid w:val="0044527A"/>
    <w:rsid w:val="00446E41"/>
    <w:rsid w:val="0045084B"/>
    <w:rsid w:val="00450E3A"/>
    <w:rsid w:val="00454379"/>
    <w:rsid w:val="004620F0"/>
    <w:rsid w:val="00462C92"/>
    <w:rsid w:val="00465368"/>
    <w:rsid w:val="00465CE2"/>
    <w:rsid w:val="00466C8C"/>
    <w:rsid w:val="0046750F"/>
    <w:rsid w:val="00467996"/>
    <w:rsid w:val="00470D0A"/>
    <w:rsid w:val="00473133"/>
    <w:rsid w:val="004748D0"/>
    <w:rsid w:val="00476087"/>
    <w:rsid w:val="004776E2"/>
    <w:rsid w:val="00483656"/>
    <w:rsid w:val="00486844"/>
    <w:rsid w:val="00486899"/>
    <w:rsid w:val="004947B4"/>
    <w:rsid w:val="004A009C"/>
    <w:rsid w:val="004A1BD8"/>
    <w:rsid w:val="004A1DBF"/>
    <w:rsid w:val="004A311A"/>
    <w:rsid w:val="004A44F0"/>
    <w:rsid w:val="004A6FF3"/>
    <w:rsid w:val="004B1026"/>
    <w:rsid w:val="004C355B"/>
    <w:rsid w:val="004C43EA"/>
    <w:rsid w:val="004C484E"/>
    <w:rsid w:val="004C67E0"/>
    <w:rsid w:val="004C685F"/>
    <w:rsid w:val="004C7125"/>
    <w:rsid w:val="004C7947"/>
    <w:rsid w:val="004D2602"/>
    <w:rsid w:val="004D5F84"/>
    <w:rsid w:val="004D6B75"/>
    <w:rsid w:val="004D70D4"/>
    <w:rsid w:val="004E45CC"/>
    <w:rsid w:val="004E4858"/>
    <w:rsid w:val="004E6638"/>
    <w:rsid w:val="004F0721"/>
    <w:rsid w:val="004F2353"/>
    <w:rsid w:val="004F57B6"/>
    <w:rsid w:val="004F6C21"/>
    <w:rsid w:val="00501E5B"/>
    <w:rsid w:val="0050211C"/>
    <w:rsid w:val="00502236"/>
    <w:rsid w:val="0050310D"/>
    <w:rsid w:val="00507923"/>
    <w:rsid w:val="00512680"/>
    <w:rsid w:val="00514001"/>
    <w:rsid w:val="0051401F"/>
    <w:rsid w:val="00514752"/>
    <w:rsid w:val="00521161"/>
    <w:rsid w:val="00521936"/>
    <w:rsid w:val="00522625"/>
    <w:rsid w:val="00523A35"/>
    <w:rsid w:val="00530829"/>
    <w:rsid w:val="00535BFD"/>
    <w:rsid w:val="00537D04"/>
    <w:rsid w:val="00541809"/>
    <w:rsid w:val="005471FC"/>
    <w:rsid w:val="00551CC8"/>
    <w:rsid w:val="00551FD3"/>
    <w:rsid w:val="00553333"/>
    <w:rsid w:val="0055449A"/>
    <w:rsid w:val="00554DC1"/>
    <w:rsid w:val="00556B9A"/>
    <w:rsid w:val="005573F5"/>
    <w:rsid w:val="00557677"/>
    <w:rsid w:val="00564D94"/>
    <w:rsid w:val="00566C3F"/>
    <w:rsid w:val="005703E6"/>
    <w:rsid w:val="005741F4"/>
    <w:rsid w:val="005749AB"/>
    <w:rsid w:val="00576ADD"/>
    <w:rsid w:val="005772F1"/>
    <w:rsid w:val="00582F69"/>
    <w:rsid w:val="00590E23"/>
    <w:rsid w:val="00592386"/>
    <w:rsid w:val="00592F3C"/>
    <w:rsid w:val="00594986"/>
    <w:rsid w:val="00594EB0"/>
    <w:rsid w:val="00596608"/>
    <w:rsid w:val="005A10D0"/>
    <w:rsid w:val="005A46E8"/>
    <w:rsid w:val="005A47F8"/>
    <w:rsid w:val="005A5B10"/>
    <w:rsid w:val="005B43A8"/>
    <w:rsid w:val="005B652D"/>
    <w:rsid w:val="005B6689"/>
    <w:rsid w:val="005B7722"/>
    <w:rsid w:val="005C023C"/>
    <w:rsid w:val="005C0567"/>
    <w:rsid w:val="005C062B"/>
    <w:rsid w:val="005C0798"/>
    <w:rsid w:val="005C2B16"/>
    <w:rsid w:val="005C3DA2"/>
    <w:rsid w:val="005C59AD"/>
    <w:rsid w:val="005C5E83"/>
    <w:rsid w:val="005C708A"/>
    <w:rsid w:val="005C79B9"/>
    <w:rsid w:val="005C7B34"/>
    <w:rsid w:val="005C7CF1"/>
    <w:rsid w:val="005D1432"/>
    <w:rsid w:val="005D59FA"/>
    <w:rsid w:val="005D5E6E"/>
    <w:rsid w:val="005E147A"/>
    <w:rsid w:val="005E5D98"/>
    <w:rsid w:val="005F0A61"/>
    <w:rsid w:val="005F48A1"/>
    <w:rsid w:val="005F6A13"/>
    <w:rsid w:val="00601A4B"/>
    <w:rsid w:val="006021B1"/>
    <w:rsid w:val="006036A1"/>
    <w:rsid w:val="00604603"/>
    <w:rsid w:val="006071B9"/>
    <w:rsid w:val="00607B0D"/>
    <w:rsid w:val="00610468"/>
    <w:rsid w:val="0061082C"/>
    <w:rsid w:val="0061267D"/>
    <w:rsid w:val="0061415B"/>
    <w:rsid w:val="0061533E"/>
    <w:rsid w:val="00615698"/>
    <w:rsid w:val="00615AB7"/>
    <w:rsid w:val="00620FD3"/>
    <w:rsid w:val="006243CC"/>
    <w:rsid w:val="0062627B"/>
    <w:rsid w:val="00626EFF"/>
    <w:rsid w:val="00630186"/>
    <w:rsid w:val="0063204B"/>
    <w:rsid w:val="00633CE1"/>
    <w:rsid w:val="0063474E"/>
    <w:rsid w:val="006367F7"/>
    <w:rsid w:val="00642172"/>
    <w:rsid w:val="006428E8"/>
    <w:rsid w:val="006451E5"/>
    <w:rsid w:val="0064742C"/>
    <w:rsid w:val="0065006C"/>
    <w:rsid w:val="00650C88"/>
    <w:rsid w:val="00650D7B"/>
    <w:rsid w:val="00651E90"/>
    <w:rsid w:val="00651FC1"/>
    <w:rsid w:val="00652FB3"/>
    <w:rsid w:val="0065442A"/>
    <w:rsid w:val="006624E2"/>
    <w:rsid w:val="0066661F"/>
    <w:rsid w:val="0066737B"/>
    <w:rsid w:val="00667C91"/>
    <w:rsid w:val="0067259C"/>
    <w:rsid w:val="006749FD"/>
    <w:rsid w:val="00676464"/>
    <w:rsid w:val="00676EF0"/>
    <w:rsid w:val="00677484"/>
    <w:rsid w:val="006775A6"/>
    <w:rsid w:val="006807BB"/>
    <w:rsid w:val="00684C2E"/>
    <w:rsid w:val="0068586B"/>
    <w:rsid w:val="006958CA"/>
    <w:rsid w:val="006A15BD"/>
    <w:rsid w:val="006A4163"/>
    <w:rsid w:val="006A42C1"/>
    <w:rsid w:val="006A46CF"/>
    <w:rsid w:val="006A49B7"/>
    <w:rsid w:val="006A6243"/>
    <w:rsid w:val="006B0910"/>
    <w:rsid w:val="006B42CB"/>
    <w:rsid w:val="006B4BB8"/>
    <w:rsid w:val="006B78EA"/>
    <w:rsid w:val="006C072A"/>
    <w:rsid w:val="006D40B4"/>
    <w:rsid w:val="006D51F5"/>
    <w:rsid w:val="006D7685"/>
    <w:rsid w:val="006E0842"/>
    <w:rsid w:val="006E2768"/>
    <w:rsid w:val="006F2EDE"/>
    <w:rsid w:val="006F3E43"/>
    <w:rsid w:val="006F4082"/>
    <w:rsid w:val="007020FB"/>
    <w:rsid w:val="00702AB3"/>
    <w:rsid w:val="00704204"/>
    <w:rsid w:val="00705D1E"/>
    <w:rsid w:val="00710D3F"/>
    <w:rsid w:val="007158D6"/>
    <w:rsid w:val="00723B3F"/>
    <w:rsid w:val="00724BE9"/>
    <w:rsid w:val="00724D5E"/>
    <w:rsid w:val="00733C47"/>
    <w:rsid w:val="007346D6"/>
    <w:rsid w:val="00735C81"/>
    <w:rsid w:val="00745734"/>
    <w:rsid w:val="00755D18"/>
    <w:rsid w:val="00756E67"/>
    <w:rsid w:val="00760FEF"/>
    <w:rsid w:val="00770A41"/>
    <w:rsid w:val="0077135A"/>
    <w:rsid w:val="00771688"/>
    <w:rsid w:val="00771845"/>
    <w:rsid w:val="00772527"/>
    <w:rsid w:val="00773261"/>
    <w:rsid w:val="007736FC"/>
    <w:rsid w:val="0077773E"/>
    <w:rsid w:val="00780437"/>
    <w:rsid w:val="007842E0"/>
    <w:rsid w:val="00785341"/>
    <w:rsid w:val="00794F9B"/>
    <w:rsid w:val="0079688C"/>
    <w:rsid w:val="00797FAE"/>
    <w:rsid w:val="007A1AFC"/>
    <w:rsid w:val="007A339E"/>
    <w:rsid w:val="007A7FF5"/>
    <w:rsid w:val="007B0A69"/>
    <w:rsid w:val="007B0BE2"/>
    <w:rsid w:val="007B0D0B"/>
    <w:rsid w:val="007B21A7"/>
    <w:rsid w:val="007B4D9E"/>
    <w:rsid w:val="007B675B"/>
    <w:rsid w:val="007B79CA"/>
    <w:rsid w:val="007C0191"/>
    <w:rsid w:val="007C1D58"/>
    <w:rsid w:val="007C2A09"/>
    <w:rsid w:val="007C54E4"/>
    <w:rsid w:val="007D3F8D"/>
    <w:rsid w:val="007D45C9"/>
    <w:rsid w:val="007D51E6"/>
    <w:rsid w:val="007D5ED2"/>
    <w:rsid w:val="007E553B"/>
    <w:rsid w:val="007F05EF"/>
    <w:rsid w:val="007F0A3C"/>
    <w:rsid w:val="007F2AAC"/>
    <w:rsid w:val="007F327D"/>
    <w:rsid w:val="007F4197"/>
    <w:rsid w:val="007F4EA1"/>
    <w:rsid w:val="007F6797"/>
    <w:rsid w:val="007F6E2A"/>
    <w:rsid w:val="00800C89"/>
    <w:rsid w:val="00801B53"/>
    <w:rsid w:val="008024BD"/>
    <w:rsid w:val="008036D7"/>
    <w:rsid w:val="00806CBE"/>
    <w:rsid w:val="00811BA7"/>
    <w:rsid w:val="00811F0E"/>
    <w:rsid w:val="0081247F"/>
    <w:rsid w:val="00812E44"/>
    <w:rsid w:val="00816D54"/>
    <w:rsid w:val="00823965"/>
    <w:rsid w:val="008327C1"/>
    <w:rsid w:val="008373C7"/>
    <w:rsid w:val="00837464"/>
    <w:rsid w:val="00840F36"/>
    <w:rsid w:val="0084151C"/>
    <w:rsid w:val="00842EF9"/>
    <w:rsid w:val="008442AD"/>
    <w:rsid w:val="00846D32"/>
    <w:rsid w:val="00852DC8"/>
    <w:rsid w:val="00853807"/>
    <w:rsid w:val="0085528D"/>
    <w:rsid w:val="00855A35"/>
    <w:rsid w:val="00857F1A"/>
    <w:rsid w:val="00860C13"/>
    <w:rsid w:val="00862BC7"/>
    <w:rsid w:val="00864F24"/>
    <w:rsid w:val="00870321"/>
    <w:rsid w:val="00870AA8"/>
    <w:rsid w:val="00871802"/>
    <w:rsid w:val="0087399D"/>
    <w:rsid w:val="00885558"/>
    <w:rsid w:val="00890E89"/>
    <w:rsid w:val="008914A5"/>
    <w:rsid w:val="00891AF2"/>
    <w:rsid w:val="00892AC2"/>
    <w:rsid w:val="00897F80"/>
    <w:rsid w:val="008A0E93"/>
    <w:rsid w:val="008A183E"/>
    <w:rsid w:val="008A19A8"/>
    <w:rsid w:val="008A625A"/>
    <w:rsid w:val="008A62F5"/>
    <w:rsid w:val="008A7DF4"/>
    <w:rsid w:val="008B223F"/>
    <w:rsid w:val="008B34B0"/>
    <w:rsid w:val="008B4196"/>
    <w:rsid w:val="008B7781"/>
    <w:rsid w:val="008C2287"/>
    <w:rsid w:val="008C7B38"/>
    <w:rsid w:val="008D2ED2"/>
    <w:rsid w:val="008D314A"/>
    <w:rsid w:val="008D32E4"/>
    <w:rsid w:val="008D3496"/>
    <w:rsid w:val="008D75C6"/>
    <w:rsid w:val="008E50E3"/>
    <w:rsid w:val="008F1136"/>
    <w:rsid w:val="008F6837"/>
    <w:rsid w:val="008F74FB"/>
    <w:rsid w:val="00901294"/>
    <w:rsid w:val="0090609A"/>
    <w:rsid w:val="00910833"/>
    <w:rsid w:val="00913854"/>
    <w:rsid w:val="00914EAA"/>
    <w:rsid w:val="00920AC6"/>
    <w:rsid w:val="0092179D"/>
    <w:rsid w:val="009222AB"/>
    <w:rsid w:val="009259F6"/>
    <w:rsid w:val="0093167B"/>
    <w:rsid w:val="00933E05"/>
    <w:rsid w:val="00942A24"/>
    <w:rsid w:val="009601CB"/>
    <w:rsid w:val="00965AF8"/>
    <w:rsid w:val="00966E93"/>
    <w:rsid w:val="00970DF6"/>
    <w:rsid w:val="00971386"/>
    <w:rsid w:val="0097178F"/>
    <w:rsid w:val="00972D5D"/>
    <w:rsid w:val="00974E44"/>
    <w:rsid w:val="00975868"/>
    <w:rsid w:val="00980192"/>
    <w:rsid w:val="009849D4"/>
    <w:rsid w:val="00984FEC"/>
    <w:rsid w:val="0099041C"/>
    <w:rsid w:val="00994451"/>
    <w:rsid w:val="009A096C"/>
    <w:rsid w:val="009A4C1D"/>
    <w:rsid w:val="009A59E4"/>
    <w:rsid w:val="009A67CE"/>
    <w:rsid w:val="009B0F78"/>
    <w:rsid w:val="009B548E"/>
    <w:rsid w:val="009B63F4"/>
    <w:rsid w:val="009C3902"/>
    <w:rsid w:val="009D0BB4"/>
    <w:rsid w:val="009D0F8F"/>
    <w:rsid w:val="009D1A62"/>
    <w:rsid w:val="009D2302"/>
    <w:rsid w:val="009D3AF4"/>
    <w:rsid w:val="009D5C4B"/>
    <w:rsid w:val="009F1B98"/>
    <w:rsid w:val="009F37EC"/>
    <w:rsid w:val="00A009D0"/>
    <w:rsid w:val="00A02CCF"/>
    <w:rsid w:val="00A05BFF"/>
    <w:rsid w:val="00A07E12"/>
    <w:rsid w:val="00A115D4"/>
    <w:rsid w:val="00A117E8"/>
    <w:rsid w:val="00A11C21"/>
    <w:rsid w:val="00A13F93"/>
    <w:rsid w:val="00A15F47"/>
    <w:rsid w:val="00A20CDF"/>
    <w:rsid w:val="00A249F2"/>
    <w:rsid w:val="00A27CDE"/>
    <w:rsid w:val="00A334F5"/>
    <w:rsid w:val="00A34BEA"/>
    <w:rsid w:val="00A350FA"/>
    <w:rsid w:val="00A35D5E"/>
    <w:rsid w:val="00A363F1"/>
    <w:rsid w:val="00A41CBC"/>
    <w:rsid w:val="00A43BF2"/>
    <w:rsid w:val="00A469D5"/>
    <w:rsid w:val="00A50409"/>
    <w:rsid w:val="00A504C5"/>
    <w:rsid w:val="00A50CCB"/>
    <w:rsid w:val="00A51CC2"/>
    <w:rsid w:val="00A605B1"/>
    <w:rsid w:val="00A61950"/>
    <w:rsid w:val="00A62C15"/>
    <w:rsid w:val="00A62CF4"/>
    <w:rsid w:val="00A63DFE"/>
    <w:rsid w:val="00A647AD"/>
    <w:rsid w:val="00A65382"/>
    <w:rsid w:val="00A671D4"/>
    <w:rsid w:val="00A71A6A"/>
    <w:rsid w:val="00A72095"/>
    <w:rsid w:val="00A73971"/>
    <w:rsid w:val="00A74585"/>
    <w:rsid w:val="00A819A6"/>
    <w:rsid w:val="00A82016"/>
    <w:rsid w:val="00A82F15"/>
    <w:rsid w:val="00A8462A"/>
    <w:rsid w:val="00A851C9"/>
    <w:rsid w:val="00A87A84"/>
    <w:rsid w:val="00A87D42"/>
    <w:rsid w:val="00A90244"/>
    <w:rsid w:val="00A92BF5"/>
    <w:rsid w:val="00A94A37"/>
    <w:rsid w:val="00AA4D31"/>
    <w:rsid w:val="00AA5C8A"/>
    <w:rsid w:val="00AB0703"/>
    <w:rsid w:val="00AB08E1"/>
    <w:rsid w:val="00AB0EC0"/>
    <w:rsid w:val="00AB2BEA"/>
    <w:rsid w:val="00AB3FA9"/>
    <w:rsid w:val="00AB425A"/>
    <w:rsid w:val="00AB61A3"/>
    <w:rsid w:val="00AC17E4"/>
    <w:rsid w:val="00AC4B47"/>
    <w:rsid w:val="00AC5492"/>
    <w:rsid w:val="00AC584D"/>
    <w:rsid w:val="00AC6FA9"/>
    <w:rsid w:val="00AD1D7D"/>
    <w:rsid w:val="00AD238E"/>
    <w:rsid w:val="00AD396F"/>
    <w:rsid w:val="00AD4F97"/>
    <w:rsid w:val="00AD644E"/>
    <w:rsid w:val="00AE2033"/>
    <w:rsid w:val="00AE260C"/>
    <w:rsid w:val="00AE3833"/>
    <w:rsid w:val="00AE72F0"/>
    <w:rsid w:val="00AF071C"/>
    <w:rsid w:val="00AF3F1A"/>
    <w:rsid w:val="00AF43E6"/>
    <w:rsid w:val="00B002E3"/>
    <w:rsid w:val="00B01BBC"/>
    <w:rsid w:val="00B02891"/>
    <w:rsid w:val="00B043B8"/>
    <w:rsid w:val="00B050CE"/>
    <w:rsid w:val="00B0714E"/>
    <w:rsid w:val="00B07478"/>
    <w:rsid w:val="00B07D70"/>
    <w:rsid w:val="00B10380"/>
    <w:rsid w:val="00B1090D"/>
    <w:rsid w:val="00B13DAF"/>
    <w:rsid w:val="00B17740"/>
    <w:rsid w:val="00B17E83"/>
    <w:rsid w:val="00B20C23"/>
    <w:rsid w:val="00B21320"/>
    <w:rsid w:val="00B222F8"/>
    <w:rsid w:val="00B240DD"/>
    <w:rsid w:val="00B2435D"/>
    <w:rsid w:val="00B2546D"/>
    <w:rsid w:val="00B3123A"/>
    <w:rsid w:val="00B3190F"/>
    <w:rsid w:val="00B32071"/>
    <w:rsid w:val="00B32499"/>
    <w:rsid w:val="00B3284E"/>
    <w:rsid w:val="00B3341A"/>
    <w:rsid w:val="00B33A6F"/>
    <w:rsid w:val="00B35D57"/>
    <w:rsid w:val="00B35EC3"/>
    <w:rsid w:val="00B4428C"/>
    <w:rsid w:val="00B44510"/>
    <w:rsid w:val="00B520C1"/>
    <w:rsid w:val="00B52ADC"/>
    <w:rsid w:val="00B536E6"/>
    <w:rsid w:val="00B557E5"/>
    <w:rsid w:val="00B61F9C"/>
    <w:rsid w:val="00B632F5"/>
    <w:rsid w:val="00B640BD"/>
    <w:rsid w:val="00B70B90"/>
    <w:rsid w:val="00B712D4"/>
    <w:rsid w:val="00B732BE"/>
    <w:rsid w:val="00B810DD"/>
    <w:rsid w:val="00B811B9"/>
    <w:rsid w:val="00B815C3"/>
    <w:rsid w:val="00B82605"/>
    <w:rsid w:val="00B8352B"/>
    <w:rsid w:val="00B859D4"/>
    <w:rsid w:val="00B862C2"/>
    <w:rsid w:val="00B86747"/>
    <w:rsid w:val="00B90D68"/>
    <w:rsid w:val="00B92B14"/>
    <w:rsid w:val="00B92BAA"/>
    <w:rsid w:val="00B94441"/>
    <w:rsid w:val="00B96C18"/>
    <w:rsid w:val="00BA1AD5"/>
    <w:rsid w:val="00BA3E6A"/>
    <w:rsid w:val="00BA3F5D"/>
    <w:rsid w:val="00BA5015"/>
    <w:rsid w:val="00BA53B4"/>
    <w:rsid w:val="00BB1488"/>
    <w:rsid w:val="00BB2BA3"/>
    <w:rsid w:val="00BB326A"/>
    <w:rsid w:val="00BB370F"/>
    <w:rsid w:val="00BB3F2A"/>
    <w:rsid w:val="00BB5214"/>
    <w:rsid w:val="00BB629A"/>
    <w:rsid w:val="00BB6356"/>
    <w:rsid w:val="00BB722A"/>
    <w:rsid w:val="00BB73C9"/>
    <w:rsid w:val="00BB7C21"/>
    <w:rsid w:val="00BC0DD3"/>
    <w:rsid w:val="00BC2C48"/>
    <w:rsid w:val="00BC70A7"/>
    <w:rsid w:val="00BC7A01"/>
    <w:rsid w:val="00BD3392"/>
    <w:rsid w:val="00BD7B75"/>
    <w:rsid w:val="00BE03E6"/>
    <w:rsid w:val="00BE2125"/>
    <w:rsid w:val="00BE5EF6"/>
    <w:rsid w:val="00BE62BD"/>
    <w:rsid w:val="00BE7E7B"/>
    <w:rsid w:val="00BF02B1"/>
    <w:rsid w:val="00BF2D7C"/>
    <w:rsid w:val="00BF3398"/>
    <w:rsid w:val="00BF3C40"/>
    <w:rsid w:val="00BF58A6"/>
    <w:rsid w:val="00BF7323"/>
    <w:rsid w:val="00C00916"/>
    <w:rsid w:val="00C078CD"/>
    <w:rsid w:val="00C11771"/>
    <w:rsid w:val="00C125DA"/>
    <w:rsid w:val="00C15D9F"/>
    <w:rsid w:val="00C167F2"/>
    <w:rsid w:val="00C17598"/>
    <w:rsid w:val="00C20192"/>
    <w:rsid w:val="00C27EBB"/>
    <w:rsid w:val="00C3222E"/>
    <w:rsid w:val="00C323B8"/>
    <w:rsid w:val="00C42A85"/>
    <w:rsid w:val="00C436CD"/>
    <w:rsid w:val="00C44D07"/>
    <w:rsid w:val="00C45F20"/>
    <w:rsid w:val="00C468ED"/>
    <w:rsid w:val="00C47DBA"/>
    <w:rsid w:val="00C5033E"/>
    <w:rsid w:val="00C517B9"/>
    <w:rsid w:val="00C53B67"/>
    <w:rsid w:val="00C57AB8"/>
    <w:rsid w:val="00C604D6"/>
    <w:rsid w:val="00C61980"/>
    <w:rsid w:val="00C625DE"/>
    <w:rsid w:val="00C64B0A"/>
    <w:rsid w:val="00C723ED"/>
    <w:rsid w:val="00C7571F"/>
    <w:rsid w:val="00C83B72"/>
    <w:rsid w:val="00C847DA"/>
    <w:rsid w:val="00C857B7"/>
    <w:rsid w:val="00C900CA"/>
    <w:rsid w:val="00C9018A"/>
    <w:rsid w:val="00C9696B"/>
    <w:rsid w:val="00CA0491"/>
    <w:rsid w:val="00CA07BA"/>
    <w:rsid w:val="00CA2051"/>
    <w:rsid w:val="00CA217B"/>
    <w:rsid w:val="00CA43E0"/>
    <w:rsid w:val="00CB0858"/>
    <w:rsid w:val="00CB3AC4"/>
    <w:rsid w:val="00CB42FD"/>
    <w:rsid w:val="00CB5E2F"/>
    <w:rsid w:val="00CC602C"/>
    <w:rsid w:val="00CC6DB8"/>
    <w:rsid w:val="00CC70B1"/>
    <w:rsid w:val="00CC7F5A"/>
    <w:rsid w:val="00CD05B9"/>
    <w:rsid w:val="00CD0600"/>
    <w:rsid w:val="00CD5D0C"/>
    <w:rsid w:val="00CD5D94"/>
    <w:rsid w:val="00CD5E10"/>
    <w:rsid w:val="00CD687E"/>
    <w:rsid w:val="00CE3125"/>
    <w:rsid w:val="00CE32BA"/>
    <w:rsid w:val="00CE70E1"/>
    <w:rsid w:val="00CE7D88"/>
    <w:rsid w:val="00CF2AD5"/>
    <w:rsid w:val="00CF5145"/>
    <w:rsid w:val="00CF6514"/>
    <w:rsid w:val="00D01829"/>
    <w:rsid w:val="00D0201E"/>
    <w:rsid w:val="00D02A32"/>
    <w:rsid w:val="00D04164"/>
    <w:rsid w:val="00D0531D"/>
    <w:rsid w:val="00D06B97"/>
    <w:rsid w:val="00D0740B"/>
    <w:rsid w:val="00D11596"/>
    <w:rsid w:val="00D12A1F"/>
    <w:rsid w:val="00D17831"/>
    <w:rsid w:val="00D17A4F"/>
    <w:rsid w:val="00D17B6D"/>
    <w:rsid w:val="00D246AA"/>
    <w:rsid w:val="00D26999"/>
    <w:rsid w:val="00D30521"/>
    <w:rsid w:val="00D31C7F"/>
    <w:rsid w:val="00D32407"/>
    <w:rsid w:val="00D3256A"/>
    <w:rsid w:val="00D408AF"/>
    <w:rsid w:val="00D41C8E"/>
    <w:rsid w:val="00D42DD0"/>
    <w:rsid w:val="00D4332D"/>
    <w:rsid w:val="00D438BF"/>
    <w:rsid w:val="00D449C7"/>
    <w:rsid w:val="00D469B8"/>
    <w:rsid w:val="00D57EB8"/>
    <w:rsid w:val="00D66279"/>
    <w:rsid w:val="00D669B2"/>
    <w:rsid w:val="00D7415B"/>
    <w:rsid w:val="00D7420E"/>
    <w:rsid w:val="00D7599A"/>
    <w:rsid w:val="00D82D86"/>
    <w:rsid w:val="00D8684F"/>
    <w:rsid w:val="00D908BD"/>
    <w:rsid w:val="00D93B99"/>
    <w:rsid w:val="00D962B4"/>
    <w:rsid w:val="00D96DA7"/>
    <w:rsid w:val="00DA33E1"/>
    <w:rsid w:val="00DB0DC2"/>
    <w:rsid w:val="00DB4628"/>
    <w:rsid w:val="00DB5C70"/>
    <w:rsid w:val="00DD1114"/>
    <w:rsid w:val="00DD20AD"/>
    <w:rsid w:val="00DD5665"/>
    <w:rsid w:val="00DD7DBF"/>
    <w:rsid w:val="00DE0F30"/>
    <w:rsid w:val="00DF07F4"/>
    <w:rsid w:val="00DF15E0"/>
    <w:rsid w:val="00DF2096"/>
    <w:rsid w:val="00DF20E7"/>
    <w:rsid w:val="00DF33B0"/>
    <w:rsid w:val="00DF55B4"/>
    <w:rsid w:val="00E02EB9"/>
    <w:rsid w:val="00E02ECB"/>
    <w:rsid w:val="00E04924"/>
    <w:rsid w:val="00E11221"/>
    <w:rsid w:val="00E11A5A"/>
    <w:rsid w:val="00E13C37"/>
    <w:rsid w:val="00E143CA"/>
    <w:rsid w:val="00E14882"/>
    <w:rsid w:val="00E14C9A"/>
    <w:rsid w:val="00E200D9"/>
    <w:rsid w:val="00E2076C"/>
    <w:rsid w:val="00E20AFB"/>
    <w:rsid w:val="00E21A8D"/>
    <w:rsid w:val="00E23708"/>
    <w:rsid w:val="00E253F5"/>
    <w:rsid w:val="00E30605"/>
    <w:rsid w:val="00E44CB5"/>
    <w:rsid w:val="00E45F2F"/>
    <w:rsid w:val="00E46842"/>
    <w:rsid w:val="00E47382"/>
    <w:rsid w:val="00E50023"/>
    <w:rsid w:val="00E532D6"/>
    <w:rsid w:val="00E54926"/>
    <w:rsid w:val="00E55B48"/>
    <w:rsid w:val="00E62EBD"/>
    <w:rsid w:val="00E64647"/>
    <w:rsid w:val="00E737F9"/>
    <w:rsid w:val="00E76FAE"/>
    <w:rsid w:val="00E770A7"/>
    <w:rsid w:val="00E80546"/>
    <w:rsid w:val="00E81F4C"/>
    <w:rsid w:val="00E83410"/>
    <w:rsid w:val="00E842BF"/>
    <w:rsid w:val="00E849CB"/>
    <w:rsid w:val="00E8515C"/>
    <w:rsid w:val="00E916DE"/>
    <w:rsid w:val="00E924C7"/>
    <w:rsid w:val="00E9412C"/>
    <w:rsid w:val="00E94B74"/>
    <w:rsid w:val="00EA2148"/>
    <w:rsid w:val="00EA26D7"/>
    <w:rsid w:val="00EB087A"/>
    <w:rsid w:val="00EB1D48"/>
    <w:rsid w:val="00EB39C1"/>
    <w:rsid w:val="00EB3A1E"/>
    <w:rsid w:val="00EB5FE1"/>
    <w:rsid w:val="00EC1136"/>
    <w:rsid w:val="00EC2EF2"/>
    <w:rsid w:val="00EC5F80"/>
    <w:rsid w:val="00EC61BE"/>
    <w:rsid w:val="00ED21C4"/>
    <w:rsid w:val="00ED31D4"/>
    <w:rsid w:val="00ED31E3"/>
    <w:rsid w:val="00ED552D"/>
    <w:rsid w:val="00ED627E"/>
    <w:rsid w:val="00ED6B56"/>
    <w:rsid w:val="00ED7A6D"/>
    <w:rsid w:val="00EE249E"/>
    <w:rsid w:val="00EE24D5"/>
    <w:rsid w:val="00EE4568"/>
    <w:rsid w:val="00EE79DB"/>
    <w:rsid w:val="00EF0C2D"/>
    <w:rsid w:val="00EF1137"/>
    <w:rsid w:val="00EF1615"/>
    <w:rsid w:val="00EF1BEE"/>
    <w:rsid w:val="00EF229C"/>
    <w:rsid w:val="00EF2902"/>
    <w:rsid w:val="00EF509C"/>
    <w:rsid w:val="00EF748E"/>
    <w:rsid w:val="00EF7AE8"/>
    <w:rsid w:val="00EF7E9F"/>
    <w:rsid w:val="00F002B6"/>
    <w:rsid w:val="00F00612"/>
    <w:rsid w:val="00F01670"/>
    <w:rsid w:val="00F0234A"/>
    <w:rsid w:val="00F03348"/>
    <w:rsid w:val="00F04F61"/>
    <w:rsid w:val="00F05E10"/>
    <w:rsid w:val="00F0705D"/>
    <w:rsid w:val="00F07149"/>
    <w:rsid w:val="00F07ADE"/>
    <w:rsid w:val="00F07B79"/>
    <w:rsid w:val="00F1215D"/>
    <w:rsid w:val="00F158C8"/>
    <w:rsid w:val="00F26BC3"/>
    <w:rsid w:val="00F33074"/>
    <w:rsid w:val="00F34823"/>
    <w:rsid w:val="00F367BD"/>
    <w:rsid w:val="00F44500"/>
    <w:rsid w:val="00F45568"/>
    <w:rsid w:val="00F555E5"/>
    <w:rsid w:val="00F63A81"/>
    <w:rsid w:val="00F6433E"/>
    <w:rsid w:val="00F6458D"/>
    <w:rsid w:val="00F660A1"/>
    <w:rsid w:val="00F73D4C"/>
    <w:rsid w:val="00F743DB"/>
    <w:rsid w:val="00F7682B"/>
    <w:rsid w:val="00F77508"/>
    <w:rsid w:val="00F82CE0"/>
    <w:rsid w:val="00F85068"/>
    <w:rsid w:val="00F9150D"/>
    <w:rsid w:val="00F9612A"/>
    <w:rsid w:val="00F97403"/>
    <w:rsid w:val="00FA27EA"/>
    <w:rsid w:val="00FA2A24"/>
    <w:rsid w:val="00FA2BEE"/>
    <w:rsid w:val="00FA6132"/>
    <w:rsid w:val="00FB0DE1"/>
    <w:rsid w:val="00FB0FAE"/>
    <w:rsid w:val="00FB1EEA"/>
    <w:rsid w:val="00FB5562"/>
    <w:rsid w:val="00FB62C3"/>
    <w:rsid w:val="00FC0F0C"/>
    <w:rsid w:val="00FC411A"/>
    <w:rsid w:val="00FC7A5F"/>
    <w:rsid w:val="00FD5FDC"/>
    <w:rsid w:val="00FD7DED"/>
    <w:rsid w:val="00FE283D"/>
    <w:rsid w:val="00FE2C33"/>
    <w:rsid w:val="00FE2F2D"/>
    <w:rsid w:val="00FE55D6"/>
    <w:rsid w:val="00FF51F7"/>
    <w:rsid w:val="00FF5981"/>
    <w:rsid w:val="00FF5D61"/>
    <w:rsid w:val="00FF6643"/>
    <w:rsid w:val="00FF7C53"/>
    <w:rsid w:val="00FF7DDE"/>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2F49A90B"/>
  <w15:docId w15:val="{BF984F36-7BF8-4D92-8549-92FEF9DAA8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bdr w:val="nil"/>
        <w:lang w:val="fr-FR" w:eastAsia="fr-FR"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BD3392"/>
    <w:pPr>
      <w:widowControl w:val="0"/>
      <w:spacing w:line="480" w:lineRule="auto"/>
      <w:ind w:firstLine="480"/>
    </w:pPr>
    <w:rPr>
      <w:rFonts w:cs="Arial Unicode MS"/>
      <w:color w:val="000000"/>
      <w:kern w:val="2"/>
      <w:sz w:val="24"/>
      <w:szCs w:val="24"/>
      <w:u w:color="000000"/>
      <w:lang w:val="en-US"/>
    </w:rPr>
  </w:style>
  <w:style w:type="paragraph" w:styleId="Heading1">
    <w:name w:val="heading 1"/>
    <w:basedOn w:val="Normal"/>
    <w:next w:val="Normal"/>
    <w:link w:val="Heading1Char"/>
    <w:uiPriority w:val="9"/>
    <w:qFormat/>
    <w:rsid w:val="00642172"/>
    <w:pPr>
      <w:widowControl/>
      <w:pBdr>
        <w:top w:val="none" w:sz="0" w:space="0" w:color="auto"/>
        <w:left w:val="none" w:sz="0" w:space="0" w:color="auto"/>
        <w:bottom w:val="none" w:sz="0" w:space="0" w:color="auto"/>
        <w:right w:val="none" w:sz="0" w:space="0" w:color="auto"/>
        <w:between w:val="none" w:sz="0" w:space="0" w:color="auto"/>
        <w:bar w:val="none" w:sz="0" w:color="auto"/>
      </w:pBdr>
      <w:spacing w:before="480" w:line="276" w:lineRule="auto"/>
      <w:ind w:firstLine="0"/>
      <w:contextualSpacing/>
      <w:outlineLvl w:val="0"/>
    </w:pPr>
    <w:rPr>
      <w:rFonts w:asciiTheme="majorHAnsi" w:eastAsiaTheme="majorEastAsia" w:hAnsiTheme="majorHAnsi" w:cstheme="majorBidi"/>
      <w:smallCaps/>
      <w:color w:val="auto"/>
      <w:spacing w:val="5"/>
      <w:kern w:val="0"/>
      <w:sz w:val="36"/>
      <w:szCs w:val="36"/>
      <w:bdr w:val="none" w:sz="0" w:space="0" w:color="auto"/>
      <w:lang w:val="de-DE" w:eastAsia="en-US"/>
    </w:rPr>
  </w:style>
  <w:style w:type="paragraph" w:styleId="Heading2">
    <w:name w:val="heading 2"/>
    <w:basedOn w:val="Normal"/>
    <w:next w:val="Normal"/>
    <w:link w:val="Heading2Char"/>
    <w:uiPriority w:val="9"/>
    <w:unhideWhenUsed/>
    <w:qFormat/>
    <w:rsid w:val="00642172"/>
    <w:pPr>
      <w:widowControl/>
      <w:pBdr>
        <w:top w:val="none" w:sz="0" w:space="0" w:color="auto"/>
        <w:left w:val="none" w:sz="0" w:space="0" w:color="auto"/>
        <w:bottom w:val="none" w:sz="0" w:space="0" w:color="auto"/>
        <w:right w:val="none" w:sz="0" w:space="0" w:color="auto"/>
        <w:between w:val="none" w:sz="0" w:space="0" w:color="auto"/>
        <w:bar w:val="none" w:sz="0" w:color="auto"/>
      </w:pBdr>
      <w:spacing w:before="200" w:line="271" w:lineRule="auto"/>
      <w:ind w:firstLine="0"/>
      <w:outlineLvl w:val="1"/>
    </w:pPr>
    <w:rPr>
      <w:rFonts w:asciiTheme="majorHAnsi" w:eastAsiaTheme="majorEastAsia" w:hAnsiTheme="majorHAnsi" w:cstheme="majorBidi"/>
      <w:smallCaps/>
      <w:color w:val="auto"/>
      <w:kern w:val="0"/>
      <w:sz w:val="28"/>
      <w:szCs w:val="28"/>
      <w:bdr w:val="none" w:sz="0" w:space="0" w:color="auto"/>
      <w:lang w:val="de-DE" w:eastAsia="en-US"/>
    </w:rPr>
  </w:style>
  <w:style w:type="paragraph" w:styleId="Heading3">
    <w:name w:val="heading 3"/>
    <w:basedOn w:val="Normal"/>
    <w:next w:val="Normal"/>
    <w:link w:val="Heading3Char"/>
    <w:uiPriority w:val="9"/>
    <w:unhideWhenUsed/>
    <w:qFormat/>
    <w:rsid w:val="00642172"/>
    <w:pPr>
      <w:widowControl/>
      <w:pBdr>
        <w:top w:val="none" w:sz="0" w:space="0" w:color="auto"/>
        <w:left w:val="none" w:sz="0" w:space="0" w:color="auto"/>
        <w:bottom w:val="none" w:sz="0" w:space="0" w:color="auto"/>
        <w:right w:val="none" w:sz="0" w:space="0" w:color="auto"/>
        <w:between w:val="none" w:sz="0" w:space="0" w:color="auto"/>
        <w:bar w:val="none" w:sz="0" w:color="auto"/>
      </w:pBdr>
      <w:spacing w:before="200" w:line="271" w:lineRule="auto"/>
      <w:ind w:firstLine="0"/>
      <w:outlineLvl w:val="2"/>
    </w:pPr>
    <w:rPr>
      <w:rFonts w:asciiTheme="majorHAnsi" w:eastAsiaTheme="majorEastAsia" w:hAnsiTheme="majorHAnsi" w:cstheme="majorBidi"/>
      <w:i/>
      <w:iCs/>
      <w:smallCaps/>
      <w:color w:val="auto"/>
      <w:spacing w:val="5"/>
      <w:kern w:val="0"/>
      <w:sz w:val="26"/>
      <w:szCs w:val="26"/>
      <w:bdr w:val="none" w:sz="0" w:space="0" w:color="auto"/>
      <w:lang w:val="de-DE" w:eastAsia="en-US"/>
    </w:rPr>
  </w:style>
  <w:style w:type="paragraph" w:styleId="Heading4">
    <w:name w:val="heading 4"/>
    <w:basedOn w:val="Normal"/>
    <w:next w:val="Normal"/>
    <w:link w:val="Heading4Char"/>
    <w:uiPriority w:val="9"/>
    <w:unhideWhenUsed/>
    <w:qFormat/>
    <w:rsid w:val="00642172"/>
    <w:pPr>
      <w:widowControl/>
      <w:pBdr>
        <w:top w:val="none" w:sz="0" w:space="0" w:color="auto"/>
        <w:left w:val="none" w:sz="0" w:space="0" w:color="auto"/>
        <w:bottom w:val="none" w:sz="0" w:space="0" w:color="auto"/>
        <w:right w:val="none" w:sz="0" w:space="0" w:color="auto"/>
        <w:between w:val="none" w:sz="0" w:space="0" w:color="auto"/>
        <w:bar w:val="none" w:sz="0" w:color="auto"/>
      </w:pBdr>
      <w:spacing w:line="271" w:lineRule="auto"/>
      <w:ind w:firstLine="0"/>
      <w:outlineLvl w:val="3"/>
    </w:pPr>
    <w:rPr>
      <w:rFonts w:asciiTheme="majorHAnsi" w:eastAsiaTheme="majorEastAsia" w:hAnsiTheme="majorHAnsi" w:cstheme="majorBidi"/>
      <w:b/>
      <w:bCs/>
      <w:color w:val="auto"/>
      <w:spacing w:val="5"/>
      <w:kern w:val="0"/>
      <w:bdr w:val="none" w:sz="0" w:space="0" w:color="auto"/>
      <w:lang w:val="de-DE" w:eastAsia="en-US"/>
    </w:rPr>
  </w:style>
  <w:style w:type="paragraph" w:styleId="Heading5">
    <w:name w:val="heading 5"/>
    <w:basedOn w:val="Normal"/>
    <w:next w:val="Normal"/>
    <w:link w:val="Heading5Char"/>
    <w:uiPriority w:val="9"/>
    <w:semiHidden/>
    <w:unhideWhenUsed/>
    <w:qFormat/>
    <w:rsid w:val="00642172"/>
    <w:pPr>
      <w:widowControl/>
      <w:pBdr>
        <w:top w:val="none" w:sz="0" w:space="0" w:color="auto"/>
        <w:left w:val="none" w:sz="0" w:space="0" w:color="auto"/>
        <w:bottom w:val="none" w:sz="0" w:space="0" w:color="auto"/>
        <w:right w:val="none" w:sz="0" w:space="0" w:color="auto"/>
        <w:between w:val="none" w:sz="0" w:space="0" w:color="auto"/>
        <w:bar w:val="none" w:sz="0" w:color="auto"/>
      </w:pBdr>
      <w:spacing w:line="271" w:lineRule="auto"/>
      <w:ind w:firstLine="0"/>
      <w:outlineLvl w:val="4"/>
    </w:pPr>
    <w:rPr>
      <w:rFonts w:asciiTheme="majorHAnsi" w:eastAsiaTheme="majorEastAsia" w:hAnsiTheme="majorHAnsi" w:cstheme="majorBidi"/>
      <w:i/>
      <w:iCs/>
      <w:color w:val="auto"/>
      <w:kern w:val="0"/>
      <w:bdr w:val="none" w:sz="0" w:space="0" w:color="auto"/>
      <w:lang w:val="de-DE" w:eastAsia="en-US"/>
    </w:rPr>
  </w:style>
  <w:style w:type="paragraph" w:styleId="Heading6">
    <w:name w:val="heading 6"/>
    <w:basedOn w:val="Normal"/>
    <w:next w:val="Normal"/>
    <w:link w:val="Heading6Char"/>
    <w:uiPriority w:val="9"/>
    <w:semiHidden/>
    <w:unhideWhenUsed/>
    <w:qFormat/>
    <w:rsid w:val="00642172"/>
    <w:pPr>
      <w:widowControl/>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271" w:lineRule="auto"/>
      <w:ind w:firstLine="0"/>
      <w:outlineLvl w:val="5"/>
    </w:pPr>
    <w:rPr>
      <w:rFonts w:asciiTheme="majorHAnsi" w:eastAsiaTheme="majorEastAsia" w:hAnsiTheme="majorHAnsi" w:cstheme="majorBidi"/>
      <w:b/>
      <w:bCs/>
      <w:color w:val="595959" w:themeColor="text1" w:themeTint="A6"/>
      <w:spacing w:val="5"/>
      <w:kern w:val="0"/>
      <w:sz w:val="22"/>
      <w:szCs w:val="22"/>
      <w:bdr w:val="none" w:sz="0" w:space="0" w:color="auto"/>
      <w:lang w:val="de-DE" w:eastAsia="en-US"/>
    </w:rPr>
  </w:style>
  <w:style w:type="paragraph" w:styleId="Heading7">
    <w:name w:val="heading 7"/>
    <w:basedOn w:val="Normal"/>
    <w:next w:val="Normal"/>
    <w:link w:val="Heading7Char"/>
    <w:uiPriority w:val="9"/>
    <w:semiHidden/>
    <w:unhideWhenUsed/>
    <w:qFormat/>
    <w:rsid w:val="00642172"/>
    <w:pPr>
      <w:widowControl/>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firstLine="0"/>
      <w:outlineLvl w:val="6"/>
    </w:pPr>
    <w:rPr>
      <w:rFonts w:asciiTheme="majorHAnsi" w:eastAsiaTheme="majorEastAsia" w:hAnsiTheme="majorHAnsi" w:cstheme="majorBidi"/>
      <w:b/>
      <w:bCs/>
      <w:i/>
      <w:iCs/>
      <w:color w:val="5A5A5A" w:themeColor="text1" w:themeTint="A5"/>
      <w:kern w:val="0"/>
      <w:sz w:val="20"/>
      <w:szCs w:val="20"/>
      <w:bdr w:val="none" w:sz="0" w:space="0" w:color="auto"/>
      <w:lang w:val="de-DE" w:eastAsia="en-US"/>
    </w:rPr>
  </w:style>
  <w:style w:type="paragraph" w:styleId="Heading8">
    <w:name w:val="heading 8"/>
    <w:basedOn w:val="Normal"/>
    <w:next w:val="Normal"/>
    <w:link w:val="Heading8Char"/>
    <w:uiPriority w:val="9"/>
    <w:semiHidden/>
    <w:unhideWhenUsed/>
    <w:qFormat/>
    <w:rsid w:val="00642172"/>
    <w:pPr>
      <w:widowControl/>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firstLine="0"/>
      <w:outlineLvl w:val="7"/>
    </w:pPr>
    <w:rPr>
      <w:rFonts w:asciiTheme="majorHAnsi" w:eastAsiaTheme="majorEastAsia" w:hAnsiTheme="majorHAnsi" w:cstheme="majorBidi"/>
      <w:b/>
      <w:bCs/>
      <w:color w:val="7F7F7F" w:themeColor="text1" w:themeTint="80"/>
      <w:kern w:val="0"/>
      <w:sz w:val="20"/>
      <w:szCs w:val="20"/>
      <w:bdr w:val="none" w:sz="0" w:space="0" w:color="auto"/>
      <w:lang w:val="de-DE" w:eastAsia="en-US"/>
    </w:rPr>
  </w:style>
  <w:style w:type="paragraph" w:styleId="Heading9">
    <w:name w:val="heading 9"/>
    <w:basedOn w:val="Normal"/>
    <w:next w:val="Normal"/>
    <w:link w:val="Heading9Char"/>
    <w:uiPriority w:val="9"/>
    <w:semiHidden/>
    <w:unhideWhenUsed/>
    <w:qFormat/>
    <w:rsid w:val="00642172"/>
    <w:pPr>
      <w:widowControl/>
      <w:pBdr>
        <w:top w:val="none" w:sz="0" w:space="0" w:color="auto"/>
        <w:left w:val="none" w:sz="0" w:space="0" w:color="auto"/>
        <w:bottom w:val="none" w:sz="0" w:space="0" w:color="auto"/>
        <w:right w:val="none" w:sz="0" w:space="0" w:color="auto"/>
        <w:between w:val="none" w:sz="0" w:space="0" w:color="auto"/>
        <w:bar w:val="none" w:sz="0" w:color="auto"/>
      </w:pBdr>
      <w:spacing w:line="271" w:lineRule="auto"/>
      <w:ind w:firstLine="0"/>
      <w:outlineLvl w:val="8"/>
    </w:pPr>
    <w:rPr>
      <w:rFonts w:asciiTheme="majorHAnsi" w:eastAsiaTheme="majorEastAsia" w:hAnsiTheme="majorHAnsi" w:cstheme="majorBidi"/>
      <w:b/>
      <w:bCs/>
      <w:i/>
      <w:iCs/>
      <w:color w:val="7F7F7F" w:themeColor="text1" w:themeTint="80"/>
      <w:kern w:val="0"/>
      <w:sz w:val="18"/>
      <w:szCs w:val="18"/>
      <w:bdr w:val="none" w:sz="0" w:space="0" w:color="auto"/>
      <w:lang w:val="de-DE"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BD3392"/>
    <w:rPr>
      <w:u w:val="single"/>
    </w:rPr>
  </w:style>
  <w:style w:type="table" w:customStyle="1" w:styleId="TableNormal1">
    <w:name w:val="Table Normal1"/>
    <w:rsid w:val="00BD3392"/>
    <w:tblPr>
      <w:tblInd w:w="0" w:type="dxa"/>
      <w:tblCellMar>
        <w:top w:w="0" w:type="dxa"/>
        <w:left w:w="0" w:type="dxa"/>
        <w:bottom w:w="0" w:type="dxa"/>
        <w:right w:w="0" w:type="dxa"/>
      </w:tblCellMar>
    </w:tblPr>
  </w:style>
  <w:style w:type="paragraph" w:customStyle="1" w:styleId="HeaderFooter">
    <w:name w:val="Header &amp; Footer"/>
    <w:rsid w:val="00BD3392"/>
    <w:pPr>
      <w:tabs>
        <w:tab w:val="right" w:pos="9020"/>
      </w:tabs>
    </w:pPr>
    <w:rPr>
      <w:rFonts w:ascii="Helvetica Neue" w:hAnsi="Helvetica Neue" w:cs="Arial Unicode MS"/>
      <w:color w:val="000000"/>
      <w:sz w:val="24"/>
      <w:szCs w:val="24"/>
    </w:rPr>
  </w:style>
  <w:style w:type="paragraph" w:styleId="Footer">
    <w:name w:val="footer"/>
    <w:link w:val="FooterChar"/>
    <w:uiPriority w:val="99"/>
    <w:rsid w:val="00BD3392"/>
    <w:pPr>
      <w:widowControl w:val="0"/>
      <w:tabs>
        <w:tab w:val="center" w:pos="4153"/>
        <w:tab w:val="right" w:pos="8306"/>
      </w:tabs>
    </w:pPr>
    <w:rPr>
      <w:rFonts w:ascii="Calibri" w:eastAsia="Calibri" w:hAnsi="Calibri" w:cs="Calibri"/>
      <w:color w:val="000000"/>
      <w:kern w:val="2"/>
      <w:sz w:val="24"/>
      <w:szCs w:val="24"/>
      <w:u w:color="000000"/>
      <w:lang w:val="en-US"/>
    </w:rPr>
  </w:style>
  <w:style w:type="paragraph" w:customStyle="1" w:styleId="Default">
    <w:name w:val="Default"/>
    <w:rsid w:val="00BD3392"/>
    <w:rPr>
      <w:rFonts w:ascii="Helvetica Neue" w:eastAsia="Helvetica Neue" w:hAnsi="Helvetica Neue" w:cs="Helvetica Neue"/>
      <w:color w:val="000000"/>
      <w:sz w:val="22"/>
      <w:szCs w:val="22"/>
    </w:rPr>
  </w:style>
  <w:style w:type="paragraph" w:customStyle="1" w:styleId="Heading">
    <w:name w:val="Heading"/>
    <w:qFormat/>
    <w:rsid w:val="00BD3392"/>
    <w:pPr>
      <w:widowControl w:val="0"/>
      <w:spacing w:line="480" w:lineRule="auto"/>
    </w:pPr>
    <w:rPr>
      <w:rFonts w:cs="Arial Unicode MS"/>
      <w:b/>
      <w:bCs/>
      <w:color w:val="000000"/>
      <w:kern w:val="2"/>
      <w:sz w:val="24"/>
      <w:szCs w:val="24"/>
      <w:u w:color="000000"/>
      <w:lang w:val="en-US"/>
    </w:rPr>
  </w:style>
  <w:style w:type="paragraph" w:customStyle="1" w:styleId="31">
    <w:name w:val="見出し 31"/>
    <w:rsid w:val="00BD3392"/>
    <w:pPr>
      <w:widowControl w:val="0"/>
      <w:spacing w:line="480" w:lineRule="auto"/>
    </w:pPr>
    <w:rPr>
      <w:rFonts w:cs="Arial Unicode MS"/>
      <w:b/>
      <w:bCs/>
      <w:color w:val="000000"/>
      <w:kern w:val="2"/>
      <w:sz w:val="24"/>
      <w:szCs w:val="24"/>
      <w:u w:color="000000"/>
      <w:lang w:val="en-US"/>
    </w:rPr>
  </w:style>
  <w:style w:type="paragraph" w:customStyle="1" w:styleId="EndNoteBibliography">
    <w:name w:val="EndNote Bibliography"/>
    <w:link w:val="EndNoteBibliographyChar"/>
    <w:rsid w:val="00BD3392"/>
    <w:pPr>
      <w:widowControl w:val="0"/>
      <w:jc w:val="both"/>
    </w:pPr>
    <w:rPr>
      <w:color w:val="000000"/>
      <w:kern w:val="2"/>
      <w:sz w:val="24"/>
      <w:szCs w:val="24"/>
      <w:u w:color="000000"/>
      <w:lang w:val="en-US"/>
    </w:rPr>
  </w:style>
  <w:style w:type="paragraph" w:styleId="BodyText">
    <w:name w:val="Body Text"/>
    <w:link w:val="BodyTextChar"/>
    <w:rsid w:val="00BD3392"/>
    <w:pPr>
      <w:widowControl w:val="0"/>
      <w:ind w:left="20"/>
    </w:pPr>
    <w:rPr>
      <w:rFonts w:ascii="Arial" w:eastAsia="Arial" w:hAnsi="Arial" w:cs="Arial"/>
      <w:color w:val="000000"/>
      <w:kern w:val="2"/>
      <w:sz w:val="18"/>
      <w:szCs w:val="18"/>
      <w:u w:color="000000"/>
      <w:lang w:val="en-US"/>
    </w:rPr>
  </w:style>
  <w:style w:type="paragraph" w:styleId="CommentText">
    <w:name w:val="annotation text"/>
    <w:basedOn w:val="Normal"/>
    <w:link w:val="CommentTextChar"/>
    <w:uiPriority w:val="99"/>
    <w:unhideWhenUsed/>
    <w:qFormat/>
    <w:rsid w:val="00BD3392"/>
    <w:pPr>
      <w:spacing w:line="240" w:lineRule="auto"/>
    </w:pPr>
    <w:rPr>
      <w:sz w:val="20"/>
      <w:szCs w:val="20"/>
    </w:rPr>
  </w:style>
  <w:style w:type="character" w:customStyle="1" w:styleId="CommentTextChar">
    <w:name w:val="Comment Text Char"/>
    <w:basedOn w:val="DefaultParagraphFont"/>
    <w:link w:val="CommentText"/>
    <w:uiPriority w:val="99"/>
    <w:rsid w:val="00BD3392"/>
    <w:rPr>
      <w:rFonts w:cs="Arial Unicode MS"/>
      <w:color w:val="000000"/>
      <w:kern w:val="2"/>
      <w:u w:color="000000"/>
      <w:lang w:val="en-US"/>
    </w:rPr>
  </w:style>
  <w:style w:type="character" w:styleId="CommentReference">
    <w:name w:val="annotation reference"/>
    <w:basedOn w:val="DefaultParagraphFont"/>
    <w:uiPriority w:val="99"/>
    <w:semiHidden/>
    <w:unhideWhenUsed/>
    <w:qFormat/>
    <w:rsid w:val="00BD3392"/>
    <w:rPr>
      <w:sz w:val="16"/>
      <w:szCs w:val="16"/>
    </w:rPr>
  </w:style>
  <w:style w:type="paragraph" w:styleId="BalloonText">
    <w:name w:val="Balloon Text"/>
    <w:basedOn w:val="Normal"/>
    <w:link w:val="BalloonTextChar"/>
    <w:uiPriority w:val="99"/>
    <w:semiHidden/>
    <w:unhideWhenUsed/>
    <w:rsid w:val="00B632F5"/>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632F5"/>
    <w:rPr>
      <w:rFonts w:ascii="Tahoma" w:hAnsi="Tahoma" w:cs="Tahoma"/>
      <w:color w:val="000000"/>
      <w:kern w:val="2"/>
      <w:sz w:val="16"/>
      <w:szCs w:val="16"/>
      <w:u w:color="000000"/>
      <w:lang w:val="en-US"/>
    </w:rPr>
  </w:style>
  <w:style w:type="paragraph" w:styleId="CommentSubject">
    <w:name w:val="annotation subject"/>
    <w:basedOn w:val="CommentText"/>
    <w:next w:val="CommentText"/>
    <w:link w:val="CommentSubjectChar"/>
    <w:uiPriority w:val="99"/>
    <w:semiHidden/>
    <w:unhideWhenUsed/>
    <w:rsid w:val="00B94441"/>
    <w:rPr>
      <w:b/>
      <w:bCs/>
    </w:rPr>
  </w:style>
  <w:style w:type="character" w:customStyle="1" w:styleId="CommentSubjectChar">
    <w:name w:val="Comment Subject Char"/>
    <w:basedOn w:val="CommentTextChar"/>
    <w:link w:val="CommentSubject"/>
    <w:uiPriority w:val="99"/>
    <w:semiHidden/>
    <w:rsid w:val="00B94441"/>
    <w:rPr>
      <w:rFonts w:cs="Arial Unicode MS"/>
      <w:b/>
      <w:bCs/>
      <w:color w:val="000000"/>
      <w:kern w:val="2"/>
      <w:u w:color="000000"/>
      <w:lang w:val="en-US"/>
    </w:rPr>
  </w:style>
  <w:style w:type="paragraph" w:styleId="Header">
    <w:name w:val="header"/>
    <w:basedOn w:val="Normal"/>
    <w:link w:val="HeaderChar"/>
    <w:uiPriority w:val="99"/>
    <w:unhideWhenUsed/>
    <w:rsid w:val="00576ADD"/>
    <w:pPr>
      <w:tabs>
        <w:tab w:val="center" w:pos="4153"/>
        <w:tab w:val="right" w:pos="8306"/>
      </w:tabs>
      <w:snapToGrid w:val="0"/>
    </w:pPr>
    <w:rPr>
      <w:sz w:val="20"/>
      <w:szCs w:val="20"/>
    </w:rPr>
  </w:style>
  <w:style w:type="character" w:customStyle="1" w:styleId="HeaderChar">
    <w:name w:val="Header Char"/>
    <w:basedOn w:val="DefaultParagraphFont"/>
    <w:link w:val="Header"/>
    <w:uiPriority w:val="99"/>
    <w:rsid w:val="00576ADD"/>
    <w:rPr>
      <w:rFonts w:cs="Arial Unicode MS"/>
      <w:color w:val="000000"/>
      <w:kern w:val="2"/>
      <w:u w:color="000000"/>
      <w:lang w:val="en-US"/>
    </w:rPr>
  </w:style>
  <w:style w:type="paragraph" w:customStyle="1" w:styleId="EndNoteBibliographyTitle">
    <w:name w:val="EndNote Bibliography Title"/>
    <w:basedOn w:val="Normal"/>
    <w:link w:val="EndNoteBibliographyTitle0"/>
    <w:rsid w:val="00576ADD"/>
    <w:pPr>
      <w:jc w:val="center"/>
    </w:pPr>
    <w:rPr>
      <w:rFonts w:cs="Times New Roman"/>
      <w:noProof/>
      <w:lang w:val="fr-FR"/>
    </w:rPr>
  </w:style>
  <w:style w:type="character" w:customStyle="1" w:styleId="EndNoteBibliographyTitle0">
    <w:name w:val="EndNote Bibliography Title 字元"/>
    <w:basedOn w:val="DefaultParagraphFont"/>
    <w:link w:val="EndNoteBibliographyTitle"/>
    <w:rsid w:val="00576ADD"/>
    <w:rPr>
      <w:noProof/>
      <w:color w:val="000000"/>
      <w:kern w:val="2"/>
      <w:sz w:val="24"/>
      <w:szCs w:val="24"/>
      <w:u w:color="000000"/>
    </w:rPr>
  </w:style>
  <w:style w:type="character" w:styleId="PageNumber">
    <w:name w:val="page number"/>
    <w:basedOn w:val="DefaultParagraphFont"/>
    <w:uiPriority w:val="99"/>
    <w:semiHidden/>
    <w:unhideWhenUsed/>
    <w:rsid w:val="0081247F"/>
  </w:style>
  <w:style w:type="character" w:customStyle="1" w:styleId="Heading1Char">
    <w:name w:val="Heading 1 Char"/>
    <w:basedOn w:val="DefaultParagraphFont"/>
    <w:link w:val="Heading1"/>
    <w:uiPriority w:val="9"/>
    <w:rsid w:val="00642172"/>
    <w:rPr>
      <w:rFonts w:asciiTheme="majorHAnsi" w:eastAsiaTheme="majorEastAsia" w:hAnsiTheme="majorHAnsi" w:cstheme="majorBidi"/>
      <w:smallCaps/>
      <w:spacing w:val="5"/>
      <w:sz w:val="36"/>
      <w:szCs w:val="36"/>
      <w:bdr w:val="none" w:sz="0" w:space="0" w:color="auto"/>
      <w:lang w:val="de-DE" w:eastAsia="en-US"/>
    </w:rPr>
  </w:style>
  <w:style w:type="character" w:customStyle="1" w:styleId="Heading2Char">
    <w:name w:val="Heading 2 Char"/>
    <w:basedOn w:val="DefaultParagraphFont"/>
    <w:link w:val="Heading2"/>
    <w:uiPriority w:val="9"/>
    <w:rsid w:val="00642172"/>
    <w:rPr>
      <w:rFonts w:asciiTheme="majorHAnsi" w:eastAsiaTheme="majorEastAsia" w:hAnsiTheme="majorHAnsi" w:cstheme="majorBidi"/>
      <w:smallCaps/>
      <w:sz w:val="28"/>
      <w:szCs w:val="28"/>
      <w:bdr w:val="none" w:sz="0" w:space="0" w:color="auto"/>
      <w:lang w:val="de-DE" w:eastAsia="en-US"/>
    </w:rPr>
  </w:style>
  <w:style w:type="character" w:customStyle="1" w:styleId="Heading3Char">
    <w:name w:val="Heading 3 Char"/>
    <w:basedOn w:val="DefaultParagraphFont"/>
    <w:link w:val="Heading3"/>
    <w:uiPriority w:val="9"/>
    <w:rsid w:val="00642172"/>
    <w:rPr>
      <w:rFonts w:asciiTheme="majorHAnsi" w:eastAsiaTheme="majorEastAsia" w:hAnsiTheme="majorHAnsi" w:cstheme="majorBidi"/>
      <w:i/>
      <w:iCs/>
      <w:smallCaps/>
      <w:spacing w:val="5"/>
      <w:sz w:val="26"/>
      <w:szCs w:val="26"/>
      <w:bdr w:val="none" w:sz="0" w:space="0" w:color="auto"/>
      <w:lang w:val="de-DE" w:eastAsia="en-US"/>
    </w:rPr>
  </w:style>
  <w:style w:type="character" w:customStyle="1" w:styleId="Heading4Char">
    <w:name w:val="Heading 4 Char"/>
    <w:basedOn w:val="DefaultParagraphFont"/>
    <w:link w:val="Heading4"/>
    <w:uiPriority w:val="9"/>
    <w:rsid w:val="00642172"/>
    <w:rPr>
      <w:rFonts w:asciiTheme="majorHAnsi" w:eastAsiaTheme="majorEastAsia" w:hAnsiTheme="majorHAnsi" w:cstheme="majorBidi"/>
      <w:b/>
      <w:bCs/>
      <w:spacing w:val="5"/>
      <w:sz w:val="24"/>
      <w:szCs w:val="24"/>
      <w:bdr w:val="none" w:sz="0" w:space="0" w:color="auto"/>
      <w:lang w:val="de-DE" w:eastAsia="en-US"/>
    </w:rPr>
  </w:style>
  <w:style w:type="character" w:customStyle="1" w:styleId="Heading5Char">
    <w:name w:val="Heading 5 Char"/>
    <w:basedOn w:val="DefaultParagraphFont"/>
    <w:link w:val="Heading5"/>
    <w:uiPriority w:val="9"/>
    <w:semiHidden/>
    <w:rsid w:val="00642172"/>
    <w:rPr>
      <w:rFonts w:asciiTheme="majorHAnsi" w:eastAsiaTheme="majorEastAsia" w:hAnsiTheme="majorHAnsi" w:cstheme="majorBidi"/>
      <w:i/>
      <w:iCs/>
      <w:sz w:val="24"/>
      <w:szCs w:val="24"/>
      <w:bdr w:val="none" w:sz="0" w:space="0" w:color="auto"/>
      <w:lang w:val="de-DE" w:eastAsia="en-US"/>
    </w:rPr>
  </w:style>
  <w:style w:type="character" w:customStyle="1" w:styleId="Heading6Char">
    <w:name w:val="Heading 6 Char"/>
    <w:basedOn w:val="DefaultParagraphFont"/>
    <w:link w:val="Heading6"/>
    <w:uiPriority w:val="9"/>
    <w:semiHidden/>
    <w:rsid w:val="00642172"/>
    <w:rPr>
      <w:rFonts w:asciiTheme="majorHAnsi" w:eastAsiaTheme="majorEastAsia" w:hAnsiTheme="majorHAnsi" w:cstheme="majorBidi"/>
      <w:b/>
      <w:bCs/>
      <w:color w:val="595959" w:themeColor="text1" w:themeTint="A6"/>
      <w:spacing w:val="5"/>
      <w:sz w:val="22"/>
      <w:szCs w:val="22"/>
      <w:bdr w:val="none" w:sz="0" w:space="0" w:color="auto"/>
      <w:shd w:val="clear" w:color="auto" w:fill="FFFFFF" w:themeFill="background1"/>
      <w:lang w:val="de-DE" w:eastAsia="en-US"/>
    </w:rPr>
  </w:style>
  <w:style w:type="character" w:customStyle="1" w:styleId="Heading7Char">
    <w:name w:val="Heading 7 Char"/>
    <w:basedOn w:val="DefaultParagraphFont"/>
    <w:link w:val="Heading7"/>
    <w:uiPriority w:val="9"/>
    <w:semiHidden/>
    <w:rsid w:val="00642172"/>
    <w:rPr>
      <w:rFonts w:asciiTheme="majorHAnsi" w:eastAsiaTheme="majorEastAsia" w:hAnsiTheme="majorHAnsi" w:cstheme="majorBidi"/>
      <w:b/>
      <w:bCs/>
      <w:i/>
      <w:iCs/>
      <w:color w:val="5A5A5A" w:themeColor="text1" w:themeTint="A5"/>
      <w:bdr w:val="none" w:sz="0" w:space="0" w:color="auto"/>
      <w:lang w:val="de-DE" w:eastAsia="en-US"/>
    </w:rPr>
  </w:style>
  <w:style w:type="character" w:customStyle="1" w:styleId="Heading8Char">
    <w:name w:val="Heading 8 Char"/>
    <w:basedOn w:val="DefaultParagraphFont"/>
    <w:link w:val="Heading8"/>
    <w:uiPriority w:val="9"/>
    <w:semiHidden/>
    <w:rsid w:val="00642172"/>
    <w:rPr>
      <w:rFonts w:asciiTheme="majorHAnsi" w:eastAsiaTheme="majorEastAsia" w:hAnsiTheme="majorHAnsi" w:cstheme="majorBidi"/>
      <w:b/>
      <w:bCs/>
      <w:color w:val="7F7F7F" w:themeColor="text1" w:themeTint="80"/>
      <w:bdr w:val="none" w:sz="0" w:space="0" w:color="auto"/>
      <w:lang w:val="de-DE" w:eastAsia="en-US"/>
    </w:rPr>
  </w:style>
  <w:style w:type="character" w:customStyle="1" w:styleId="Heading9Char">
    <w:name w:val="Heading 9 Char"/>
    <w:basedOn w:val="DefaultParagraphFont"/>
    <w:link w:val="Heading9"/>
    <w:uiPriority w:val="9"/>
    <w:semiHidden/>
    <w:rsid w:val="00642172"/>
    <w:rPr>
      <w:rFonts w:asciiTheme="majorHAnsi" w:eastAsiaTheme="majorEastAsia" w:hAnsiTheme="majorHAnsi" w:cstheme="majorBidi"/>
      <w:b/>
      <w:bCs/>
      <w:i/>
      <w:iCs/>
      <w:color w:val="7F7F7F" w:themeColor="text1" w:themeTint="80"/>
      <w:sz w:val="18"/>
      <w:szCs w:val="18"/>
      <w:bdr w:val="none" w:sz="0" w:space="0" w:color="auto"/>
      <w:lang w:val="de-DE" w:eastAsia="en-US"/>
    </w:rPr>
  </w:style>
  <w:style w:type="paragraph" w:styleId="HTMLPreformatted">
    <w:name w:val="HTML Preformatted"/>
    <w:basedOn w:val="Normal"/>
    <w:link w:val="HTMLPreformattedChar"/>
    <w:uiPriority w:val="99"/>
    <w:unhideWhenUsed/>
    <w:rsid w:val="00642172"/>
    <w:pPr>
      <w:widowControl/>
      <w:pBdr>
        <w:top w:val="none" w:sz="0" w:space="0" w:color="auto"/>
        <w:left w:val="none" w:sz="0" w:space="0" w:color="auto"/>
        <w:bottom w:val="none" w:sz="0" w:space="0" w:color="auto"/>
        <w:right w:val="none" w:sz="0" w:space="0" w:color="auto"/>
        <w:between w:val="none" w:sz="0" w:space="0" w:color="auto"/>
        <w:bar w:val="none" w:sz="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ind w:firstLine="0"/>
    </w:pPr>
    <w:rPr>
      <w:rFonts w:ascii="Courier" w:eastAsiaTheme="majorEastAsia" w:hAnsi="Courier" w:cs="Courier"/>
      <w:color w:val="auto"/>
      <w:kern w:val="0"/>
      <w:sz w:val="20"/>
      <w:szCs w:val="20"/>
      <w:bdr w:val="none" w:sz="0" w:space="0" w:color="auto"/>
      <w:lang w:val="de-DE" w:eastAsia="en-US"/>
    </w:rPr>
  </w:style>
  <w:style w:type="character" w:customStyle="1" w:styleId="HTMLPreformattedChar">
    <w:name w:val="HTML Preformatted Char"/>
    <w:basedOn w:val="DefaultParagraphFont"/>
    <w:link w:val="HTMLPreformatted"/>
    <w:uiPriority w:val="99"/>
    <w:rsid w:val="00642172"/>
    <w:rPr>
      <w:rFonts w:ascii="Courier" w:eastAsiaTheme="majorEastAsia" w:hAnsi="Courier" w:cs="Courier"/>
      <w:bdr w:val="none" w:sz="0" w:space="0" w:color="auto"/>
      <w:lang w:val="de-DE" w:eastAsia="en-US"/>
    </w:rPr>
  </w:style>
  <w:style w:type="paragraph" w:styleId="Subtitle">
    <w:name w:val="Subtitle"/>
    <w:basedOn w:val="Normal"/>
    <w:next w:val="Normal"/>
    <w:link w:val="SubtitleChar"/>
    <w:uiPriority w:val="11"/>
    <w:qFormat/>
    <w:rsid w:val="00642172"/>
    <w:pPr>
      <w:widowControl/>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0"/>
    </w:pPr>
    <w:rPr>
      <w:rFonts w:asciiTheme="majorHAnsi" w:eastAsiaTheme="majorEastAsia" w:hAnsiTheme="majorHAnsi" w:cstheme="majorBidi"/>
      <w:i/>
      <w:iCs/>
      <w:smallCaps/>
      <w:color w:val="auto"/>
      <w:spacing w:val="10"/>
      <w:kern w:val="0"/>
      <w:sz w:val="28"/>
      <w:szCs w:val="28"/>
      <w:bdr w:val="none" w:sz="0" w:space="0" w:color="auto"/>
      <w:lang w:val="de-DE" w:eastAsia="en-US"/>
    </w:rPr>
  </w:style>
  <w:style w:type="character" w:customStyle="1" w:styleId="SubtitleChar">
    <w:name w:val="Subtitle Char"/>
    <w:basedOn w:val="DefaultParagraphFont"/>
    <w:link w:val="Subtitle"/>
    <w:uiPriority w:val="11"/>
    <w:rsid w:val="00642172"/>
    <w:rPr>
      <w:rFonts w:asciiTheme="majorHAnsi" w:eastAsiaTheme="majorEastAsia" w:hAnsiTheme="majorHAnsi" w:cstheme="majorBidi"/>
      <w:i/>
      <w:iCs/>
      <w:smallCaps/>
      <w:spacing w:val="10"/>
      <w:sz w:val="28"/>
      <w:szCs w:val="28"/>
      <w:bdr w:val="none" w:sz="0" w:space="0" w:color="auto"/>
      <w:lang w:val="de-DE" w:eastAsia="en-US"/>
    </w:rPr>
  </w:style>
  <w:style w:type="character" w:customStyle="1" w:styleId="FooterChar">
    <w:name w:val="Footer Char"/>
    <w:basedOn w:val="DefaultParagraphFont"/>
    <w:link w:val="Footer"/>
    <w:uiPriority w:val="99"/>
    <w:rsid w:val="00642172"/>
    <w:rPr>
      <w:rFonts w:ascii="Calibri" w:eastAsia="Calibri" w:hAnsi="Calibri" w:cs="Calibri"/>
      <w:color w:val="000000"/>
      <w:kern w:val="2"/>
      <w:sz w:val="24"/>
      <w:szCs w:val="24"/>
      <w:u w:color="000000"/>
      <w:lang w:val="en-US"/>
    </w:rPr>
  </w:style>
  <w:style w:type="paragraph" w:styleId="ListParagraph">
    <w:name w:val="List Paragraph"/>
    <w:basedOn w:val="Normal"/>
    <w:uiPriority w:val="34"/>
    <w:qFormat/>
    <w:rsid w:val="00642172"/>
    <w:pPr>
      <w:widowControl/>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left="720" w:firstLine="0"/>
      <w:contextualSpacing/>
    </w:pPr>
    <w:rPr>
      <w:rFonts w:asciiTheme="majorHAnsi" w:eastAsiaTheme="majorEastAsia" w:hAnsiTheme="majorHAnsi" w:cstheme="majorBidi"/>
      <w:color w:val="auto"/>
      <w:kern w:val="0"/>
      <w:sz w:val="22"/>
      <w:szCs w:val="22"/>
      <w:bdr w:val="none" w:sz="0" w:space="0" w:color="auto"/>
      <w:lang w:val="de-DE" w:eastAsia="en-US"/>
    </w:rPr>
  </w:style>
  <w:style w:type="character" w:styleId="LineNumber">
    <w:name w:val="line number"/>
    <w:basedOn w:val="DefaultParagraphFont"/>
    <w:uiPriority w:val="99"/>
    <w:semiHidden/>
    <w:unhideWhenUsed/>
    <w:rsid w:val="00642172"/>
  </w:style>
  <w:style w:type="paragraph" w:styleId="Title">
    <w:name w:val="Title"/>
    <w:basedOn w:val="Normal"/>
    <w:next w:val="Normal"/>
    <w:link w:val="TitleChar"/>
    <w:uiPriority w:val="10"/>
    <w:qFormat/>
    <w:rsid w:val="00642172"/>
    <w:pPr>
      <w:widowControl/>
      <w:pBdr>
        <w:top w:val="none" w:sz="0" w:space="0" w:color="auto"/>
        <w:left w:val="none" w:sz="0" w:space="0" w:color="auto"/>
        <w:bottom w:val="none" w:sz="0" w:space="0" w:color="auto"/>
        <w:right w:val="none" w:sz="0" w:space="0" w:color="auto"/>
        <w:between w:val="none" w:sz="0" w:space="0" w:color="auto"/>
        <w:bar w:val="none" w:sz="0" w:color="auto"/>
      </w:pBdr>
      <w:spacing w:after="300" w:line="240" w:lineRule="auto"/>
      <w:ind w:firstLine="0"/>
      <w:contextualSpacing/>
    </w:pPr>
    <w:rPr>
      <w:rFonts w:asciiTheme="majorHAnsi" w:eastAsiaTheme="majorEastAsia" w:hAnsiTheme="majorHAnsi" w:cstheme="majorBidi"/>
      <w:smallCaps/>
      <w:color w:val="auto"/>
      <w:kern w:val="0"/>
      <w:sz w:val="52"/>
      <w:szCs w:val="52"/>
      <w:bdr w:val="none" w:sz="0" w:space="0" w:color="auto"/>
      <w:lang w:val="de-DE" w:eastAsia="en-US"/>
    </w:rPr>
  </w:style>
  <w:style w:type="character" w:customStyle="1" w:styleId="TitleChar">
    <w:name w:val="Title Char"/>
    <w:basedOn w:val="DefaultParagraphFont"/>
    <w:link w:val="Title"/>
    <w:uiPriority w:val="10"/>
    <w:rsid w:val="00642172"/>
    <w:rPr>
      <w:rFonts w:asciiTheme="majorHAnsi" w:eastAsiaTheme="majorEastAsia" w:hAnsiTheme="majorHAnsi" w:cstheme="majorBidi"/>
      <w:smallCaps/>
      <w:sz w:val="52"/>
      <w:szCs w:val="52"/>
      <w:bdr w:val="none" w:sz="0" w:space="0" w:color="auto"/>
      <w:lang w:val="de-DE" w:eastAsia="en-US"/>
    </w:rPr>
  </w:style>
  <w:style w:type="character" w:styleId="PlaceholderText">
    <w:name w:val="Placeholder Text"/>
    <w:basedOn w:val="DefaultParagraphFont"/>
    <w:uiPriority w:val="99"/>
    <w:semiHidden/>
    <w:rsid w:val="00642172"/>
    <w:rPr>
      <w:color w:val="808080"/>
    </w:rPr>
  </w:style>
  <w:style w:type="character" w:styleId="Strong">
    <w:name w:val="Strong"/>
    <w:uiPriority w:val="22"/>
    <w:qFormat/>
    <w:rsid w:val="00642172"/>
    <w:rPr>
      <w:b/>
      <w:bCs/>
    </w:rPr>
  </w:style>
  <w:style w:type="character" w:styleId="Emphasis">
    <w:name w:val="Emphasis"/>
    <w:uiPriority w:val="20"/>
    <w:qFormat/>
    <w:rsid w:val="00642172"/>
    <w:rPr>
      <w:b/>
      <w:bCs/>
      <w:i/>
      <w:iCs/>
      <w:spacing w:val="10"/>
    </w:rPr>
  </w:style>
  <w:style w:type="paragraph" w:styleId="NoSpacing">
    <w:name w:val="No Spacing"/>
    <w:basedOn w:val="Normal"/>
    <w:link w:val="NoSpacingChar"/>
    <w:uiPriority w:val="1"/>
    <w:qFormat/>
    <w:rsid w:val="00642172"/>
    <w:pPr>
      <w:widowControl/>
      <w:pBdr>
        <w:top w:val="none" w:sz="0" w:space="0" w:color="auto"/>
        <w:left w:val="none" w:sz="0" w:space="0" w:color="auto"/>
        <w:bottom w:val="none" w:sz="0" w:space="0" w:color="auto"/>
        <w:right w:val="none" w:sz="0" w:space="0" w:color="auto"/>
        <w:between w:val="none" w:sz="0" w:space="0" w:color="auto"/>
        <w:bar w:val="none" w:sz="0" w:color="auto"/>
      </w:pBdr>
      <w:spacing w:line="240" w:lineRule="auto"/>
      <w:ind w:firstLine="0"/>
    </w:pPr>
    <w:rPr>
      <w:rFonts w:asciiTheme="majorHAnsi" w:eastAsiaTheme="majorEastAsia" w:hAnsiTheme="majorHAnsi" w:cstheme="majorBidi"/>
      <w:color w:val="auto"/>
      <w:kern w:val="0"/>
      <w:sz w:val="22"/>
      <w:szCs w:val="22"/>
      <w:bdr w:val="none" w:sz="0" w:space="0" w:color="auto"/>
      <w:lang w:val="de-DE" w:eastAsia="en-US"/>
    </w:rPr>
  </w:style>
  <w:style w:type="paragraph" w:styleId="Quote">
    <w:name w:val="Quote"/>
    <w:basedOn w:val="Normal"/>
    <w:next w:val="Normal"/>
    <w:link w:val="QuoteChar"/>
    <w:uiPriority w:val="29"/>
    <w:qFormat/>
    <w:rsid w:val="00642172"/>
    <w:pPr>
      <w:widowControl/>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0"/>
    </w:pPr>
    <w:rPr>
      <w:rFonts w:asciiTheme="majorHAnsi" w:eastAsiaTheme="majorEastAsia" w:hAnsiTheme="majorHAnsi" w:cstheme="majorBidi"/>
      <w:i/>
      <w:iCs/>
      <w:color w:val="auto"/>
      <w:kern w:val="0"/>
      <w:sz w:val="22"/>
      <w:szCs w:val="22"/>
      <w:bdr w:val="none" w:sz="0" w:space="0" w:color="auto"/>
      <w:lang w:val="de-DE" w:eastAsia="en-US"/>
    </w:rPr>
  </w:style>
  <w:style w:type="character" w:customStyle="1" w:styleId="QuoteChar">
    <w:name w:val="Quote Char"/>
    <w:basedOn w:val="DefaultParagraphFont"/>
    <w:link w:val="Quote"/>
    <w:uiPriority w:val="29"/>
    <w:rsid w:val="00642172"/>
    <w:rPr>
      <w:rFonts w:asciiTheme="majorHAnsi" w:eastAsiaTheme="majorEastAsia" w:hAnsiTheme="majorHAnsi" w:cstheme="majorBidi"/>
      <w:i/>
      <w:iCs/>
      <w:sz w:val="22"/>
      <w:szCs w:val="22"/>
      <w:bdr w:val="none" w:sz="0" w:space="0" w:color="auto"/>
      <w:lang w:val="de-DE" w:eastAsia="en-US"/>
    </w:rPr>
  </w:style>
  <w:style w:type="paragraph" w:styleId="IntenseQuote">
    <w:name w:val="Intense Quote"/>
    <w:basedOn w:val="Normal"/>
    <w:next w:val="Normal"/>
    <w:link w:val="IntenseQuoteChar"/>
    <w:uiPriority w:val="30"/>
    <w:qFormat/>
    <w:rsid w:val="00642172"/>
    <w:pPr>
      <w:widowControl/>
      <w:pBdr>
        <w:top w:val="single" w:sz="4" w:space="10" w:color="auto"/>
        <w:left w:val="none" w:sz="0" w:space="0" w:color="auto"/>
        <w:bottom w:val="single" w:sz="4" w:space="10" w:color="auto"/>
        <w:right w:val="none" w:sz="0" w:space="0" w:color="auto"/>
        <w:between w:val="none" w:sz="0" w:space="0" w:color="auto"/>
        <w:bar w:val="none" w:sz="0" w:color="auto"/>
      </w:pBdr>
      <w:spacing w:before="240" w:after="240" w:line="300" w:lineRule="auto"/>
      <w:ind w:left="1152" w:right="1152" w:firstLine="0"/>
      <w:jc w:val="both"/>
    </w:pPr>
    <w:rPr>
      <w:rFonts w:asciiTheme="majorHAnsi" w:eastAsiaTheme="majorEastAsia" w:hAnsiTheme="majorHAnsi" w:cstheme="majorBidi"/>
      <w:i/>
      <w:iCs/>
      <w:color w:val="auto"/>
      <w:kern w:val="0"/>
      <w:sz w:val="22"/>
      <w:szCs w:val="22"/>
      <w:bdr w:val="none" w:sz="0" w:space="0" w:color="auto"/>
      <w:lang w:val="de-DE" w:eastAsia="en-US"/>
    </w:rPr>
  </w:style>
  <w:style w:type="character" w:customStyle="1" w:styleId="IntenseQuoteChar">
    <w:name w:val="Intense Quote Char"/>
    <w:basedOn w:val="DefaultParagraphFont"/>
    <w:link w:val="IntenseQuote"/>
    <w:uiPriority w:val="30"/>
    <w:rsid w:val="00642172"/>
    <w:rPr>
      <w:rFonts w:asciiTheme="majorHAnsi" w:eastAsiaTheme="majorEastAsia" w:hAnsiTheme="majorHAnsi" w:cstheme="majorBidi"/>
      <w:i/>
      <w:iCs/>
      <w:sz w:val="22"/>
      <w:szCs w:val="22"/>
      <w:bdr w:val="none" w:sz="0" w:space="0" w:color="auto"/>
      <w:lang w:val="de-DE" w:eastAsia="en-US"/>
    </w:rPr>
  </w:style>
  <w:style w:type="character" w:styleId="SubtleEmphasis">
    <w:name w:val="Subtle Emphasis"/>
    <w:uiPriority w:val="19"/>
    <w:qFormat/>
    <w:rsid w:val="00642172"/>
    <w:rPr>
      <w:i/>
      <w:iCs/>
    </w:rPr>
  </w:style>
  <w:style w:type="character" w:styleId="IntenseEmphasis">
    <w:name w:val="Intense Emphasis"/>
    <w:uiPriority w:val="21"/>
    <w:qFormat/>
    <w:rsid w:val="00642172"/>
    <w:rPr>
      <w:b/>
      <w:bCs/>
      <w:i/>
      <w:iCs/>
    </w:rPr>
  </w:style>
  <w:style w:type="character" w:styleId="SubtleReference">
    <w:name w:val="Subtle Reference"/>
    <w:basedOn w:val="DefaultParagraphFont"/>
    <w:uiPriority w:val="31"/>
    <w:qFormat/>
    <w:rsid w:val="00642172"/>
    <w:rPr>
      <w:smallCaps/>
    </w:rPr>
  </w:style>
  <w:style w:type="character" w:styleId="IntenseReference">
    <w:name w:val="Intense Reference"/>
    <w:uiPriority w:val="32"/>
    <w:qFormat/>
    <w:rsid w:val="00642172"/>
    <w:rPr>
      <w:b/>
      <w:bCs/>
      <w:smallCaps/>
    </w:rPr>
  </w:style>
  <w:style w:type="character" w:styleId="BookTitle">
    <w:name w:val="Book Title"/>
    <w:basedOn w:val="DefaultParagraphFont"/>
    <w:uiPriority w:val="33"/>
    <w:qFormat/>
    <w:rsid w:val="00642172"/>
    <w:rPr>
      <w:i/>
      <w:iCs/>
      <w:smallCaps/>
      <w:spacing w:val="5"/>
    </w:rPr>
  </w:style>
  <w:style w:type="paragraph" w:styleId="TOCHeading">
    <w:name w:val="TOC Heading"/>
    <w:basedOn w:val="Heading1"/>
    <w:next w:val="Normal"/>
    <w:uiPriority w:val="39"/>
    <w:semiHidden/>
    <w:unhideWhenUsed/>
    <w:qFormat/>
    <w:rsid w:val="00642172"/>
    <w:pPr>
      <w:outlineLvl w:val="9"/>
    </w:pPr>
    <w:rPr>
      <w:lang w:bidi="en-US"/>
    </w:rPr>
  </w:style>
  <w:style w:type="paragraph" w:styleId="Caption">
    <w:name w:val="caption"/>
    <w:basedOn w:val="Normal"/>
    <w:next w:val="Normal"/>
    <w:uiPriority w:val="35"/>
    <w:semiHidden/>
    <w:unhideWhenUsed/>
    <w:rsid w:val="00642172"/>
    <w:pPr>
      <w:widowControl/>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0"/>
    </w:pPr>
    <w:rPr>
      <w:rFonts w:asciiTheme="majorHAnsi" w:eastAsiaTheme="majorEastAsia" w:hAnsiTheme="majorHAnsi" w:cstheme="majorBidi"/>
      <w:b/>
      <w:bCs/>
      <w:smallCaps/>
      <w:color w:val="A7A7A7" w:themeColor="text2"/>
      <w:spacing w:val="10"/>
      <w:kern w:val="0"/>
      <w:sz w:val="18"/>
      <w:szCs w:val="18"/>
      <w:bdr w:val="none" w:sz="0" w:space="0" w:color="auto"/>
      <w:lang w:val="de-DE" w:eastAsia="en-US"/>
    </w:rPr>
  </w:style>
  <w:style w:type="character" w:customStyle="1" w:styleId="NoSpacingChar">
    <w:name w:val="No Spacing Char"/>
    <w:basedOn w:val="DefaultParagraphFont"/>
    <w:link w:val="NoSpacing"/>
    <w:uiPriority w:val="1"/>
    <w:rsid w:val="00642172"/>
    <w:rPr>
      <w:rFonts w:asciiTheme="majorHAnsi" w:eastAsiaTheme="majorEastAsia" w:hAnsiTheme="majorHAnsi" w:cstheme="majorBidi"/>
      <w:sz w:val="22"/>
      <w:szCs w:val="22"/>
      <w:bdr w:val="none" w:sz="0" w:space="0" w:color="auto"/>
      <w:lang w:val="de-DE" w:eastAsia="en-US"/>
    </w:rPr>
  </w:style>
  <w:style w:type="paragraph" w:styleId="FootnoteText">
    <w:name w:val="footnote text"/>
    <w:basedOn w:val="Normal"/>
    <w:link w:val="FootnoteTextChar"/>
    <w:uiPriority w:val="99"/>
    <w:unhideWhenUsed/>
    <w:rsid w:val="00642172"/>
    <w:pPr>
      <w:widowControl/>
      <w:pBdr>
        <w:top w:val="none" w:sz="0" w:space="0" w:color="auto"/>
        <w:left w:val="none" w:sz="0" w:space="0" w:color="auto"/>
        <w:bottom w:val="none" w:sz="0" w:space="0" w:color="auto"/>
        <w:right w:val="none" w:sz="0" w:space="0" w:color="auto"/>
        <w:between w:val="none" w:sz="0" w:space="0" w:color="auto"/>
        <w:bar w:val="none" w:sz="0" w:color="auto"/>
      </w:pBdr>
      <w:spacing w:line="240" w:lineRule="auto"/>
      <w:ind w:firstLine="0"/>
    </w:pPr>
    <w:rPr>
      <w:rFonts w:asciiTheme="minorHAnsi" w:hAnsiTheme="minorHAnsi" w:cstheme="minorBidi"/>
      <w:color w:val="auto"/>
      <w:kern w:val="0"/>
      <w:bdr w:val="none" w:sz="0" w:space="0" w:color="auto"/>
      <w:lang w:val="de-DE" w:eastAsia="de-DE"/>
    </w:rPr>
  </w:style>
  <w:style w:type="character" w:customStyle="1" w:styleId="FootnoteTextChar">
    <w:name w:val="Footnote Text Char"/>
    <w:basedOn w:val="DefaultParagraphFont"/>
    <w:link w:val="FootnoteText"/>
    <w:uiPriority w:val="99"/>
    <w:rsid w:val="00642172"/>
    <w:rPr>
      <w:rFonts w:asciiTheme="minorHAnsi" w:hAnsiTheme="minorHAnsi" w:cstheme="minorBidi"/>
      <w:sz w:val="24"/>
      <w:szCs w:val="24"/>
      <w:bdr w:val="none" w:sz="0" w:space="0" w:color="auto"/>
      <w:lang w:val="de-DE" w:eastAsia="de-DE"/>
    </w:rPr>
  </w:style>
  <w:style w:type="character" w:styleId="FootnoteReference">
    <w:name w:val="footnote reference"/>
    <w:basedOn w:val="DefaultParagraphFont"/>
    <w:uiPriority w:val="99"/>
    <w:unhideWhenUsed/>
    <w:rsid w:val="00642172"/>
    <w:rPr>
      <w:vertAlign w:val="superscript"/>
    </w:rPr>
  </w:style>
  <w:style w:type="character" w:customStyle="1" w:styleId="reference-text">
    <w:name w:val="reference-text"/>
    <w:basedOn w:val="DefaultParagraphFont"/>
    <w:rsid w:val="00642172"/>
  </w:style>
  <w:style w:type="character" w:styleId="FollowedHyperlink">
    <w:name w:val="FollowedHyperlink"/>
    <w:basedOn w:val="DefaultParagraphFont"/>
    <w:uiPriority w:val="99"/>
    <w:semiHidden/>
    <w:unhideWhenUsed/>
    <w:rsid w:val="00642172"/>
    <w:rPr>
      <w:color w:val="FF00FF" w:themeColor="followedHyperlink"/>
      <w:u w:val="single"/>
    </w:rPr>
  </w:style>
  <w:style w:type="paragraph" w:styleId="Revision">
    <w:name w:val="Revision"/>
    <w:hidden/>
    <w:uiPriority w:val="99"/>
    <w:semiHidden/>
    <w:rsid w:val="00642172"/>
    <w:pPr>
      <w:pBdr>
        <w:top w:val="none" w:sz="0" w:space="0" w:color="auto"/>
        <w:left w:val="none" w:sz="0" w:space="0" w:color="auto"/>
        <w:bottom w:val="none" w:sz="0" w:space="0" w:color="auto"/>
        <w:right w:val="none" w:sz="0" w:space="0" w:color="auto"/>
        <w:between w:val="none" w:sz="0" w:space="0" w:color="auto"/>
        <w:bar w:val="none" w:sz="0" w:color="auto"/>
      </w:pBdr>
    </w:pPr>
    <w:rPr>
      <w:rFonts w:asciiTheme="majorHAnsi" w:eastAsiaTheme="majorEastAsia" w:hAnsiTheme="majorHAnsi" w:cstheme="majorBidi"/>
      <w:sz w:val="22"/>
      <w:szCs w:val="22"/>
      <w:bdr w:val="none" w:sz="0" w:space="0" w:color="auto"/>
      <w:lang w:val="de-DE" w:eastAsia="en-US"/>
    </w:rPr>
  </w:style>
  <w:style w:type="character" w:customStyle="1" w:styleId="apple-converted-space">
    <w:name w:val="apple-converted-space"/>
    <w:basedOn w:val="DefaultParagraphFont"/>
    <w:rsid w:val="00642172"/>
  </w:style>
  <w:style w:type="character" w:customStyle="1" w:styleId="name">
    <w:name w:val="name"/>
    <w:basedOn w:val="DefaultParagraphFont"/>
    <w:rsid w:val="00642172"/>
  </w:style>
  <w:style w:type="character" w:customStyle="1" w:styleId="srtitle">
    <w:name w:val="srtitle"/>
    <w:basedOn w:val="DefaultParagraphFont"/>
    <w:rsid w:val="00642172"/>
  </w:style>
  <w:style w:type="table" w:styleId="TableGrid">
    <w:name w:val="Table Grid"/>
    <w:basedOn w:val="TableNormal"/>
    <w:uiPriority w:val="59"/>
    <w:rsid w:val="00642172"/>
    <w:pPr>
      <w:pBdr>
        <w:top w:val="none" w:sz="0" w:space="0" w:color="auto"/>
        <w:left w:val="none" w:sz="0" w:space="0" w:color="auto"/>
        <w:bottom w:val="none" w:sz="0" w:space="0" w:color="auto"/>
        <w:right w:val="none" w:sz="0" w:space="0" w:color="auto"/>
        <w:between w:val="none" w:sz="0" w:space="0" w:color="auto"/>
        <w:bar w:val="none" w:sz="0" w:color="auto"/>
      </w:pBdr>
    </w:pPr>
    <w:rPr>
      <w:rFonts w:asciiTheme="majorHAnsi" w:eastAsiaTheme="majorEastAsia" w:hAnsiTheme="majorHAnsi" w:cstheme="majorBidi"/>
      <w:sz w:val="22"/>
      <w:szCs w:val="22"/>
      <w:bdr w:val="none" w:sz="0" w:space="0" w:color="auto"/>
      <w:lang w:val="de-D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MText">
    <w:name w:val="SM Text"/>
    <w:basedOn w:val="Normal"/>
    <w:qFormat/>
    <w:rsid w:val="00642172"/>
    <w:pPr>
      <w:widowControl/>
      <w:pBdr>
        <w:top w:val="none" w:sz="0" w:space="0" w:color="auto"/>
        <w:left w:val="none" w:sz="0" w:space="0" w:color="auto"/>
        <w:bottom w:val="none" w:sz="0" w:space="0" w:color="auto"/>
        <w:right w:val="none" w:sz="0" w:space="0" w:color="auto"/>
        <w:between w:val="none" w:sz="0" w:space="0" w:color="auto"/>
        <w:bar w:val="none" w:sz="0" w:color="auto"/>
      </w:pBdr>
      <w:spacing w:line="240" w:lineRule="auto"/>
    </w:pPr>
    <w:rPr>
      <w:rFonts w:cs="Times New Roman"/>
      <w:color w:val="auto"/>
      <w:kern w:val="0"/>
      <w:szCs w:val="20"/>
      <w:bdr w:val="none" w:sz="0" w:space="0" w:color="auto"/>
      <w:lang w:eastAsia="en-US"/>
    </w:rPr>
  </w:style>
  <w:style w:type="character" w:customStyle="1" w:styleId="EndNoteBibliographyTitleChar">
    <w:name w:val="EndNote Bibliography Title Char"/>
    <w:basedOn w:val="DefaultParagraphFont"/>
    <w:rsid w:val="00642172"/>
    <w:rPr>
      <w:rFonts w:ascii="Calibri" w:hAnsi="Calibri" w:cs="Calibri"/>
      <w:lang w:val="en-US"/>
    </w:rPr>
  </w:style>
  <w:style w:type="character" w:customStyle="1" w:styleId="EndNoteBibliographyChar">
    <w:name w:val="EndNote Bibliography Char"/>
    <w:basedOn w:val="DefaultParagraphFont"/>
    <w:link w:val="EndNoteBibliography"/>
    <w:rsid w:val="00642172"/>
    <w:rPr>
      <w:color w:val="000000"/>
      <w:kern w:val="2"/>
      <w:sz w:val="24"/>
      <w:szCs w:val="24"/>
      <w:u w:color="000000"/>
      <w:lang w:val="en-US"/>
    </w:rPr>
  </w:style>
  <w:style w:type="character" w:customStyle="1" w:styleId="1">
    <w:name w:val="未解析的提及項目1"/>
    <w:basedOn w:val="DefaultParagraphFont"/>
    <w:uiPriority w:val="99"/>
    <w:semiHidden/>
    <w:unhideWhenUsed/>
    <w:rsid w:val="00642172"/>
    <w:rPr>
      <w:color w:val="605E5C"/>
      <w:shd w:val="clear" w:color="auto" w:fill="E1DFDD"/>
    </w:rPr>
  </w:style>
  <w:style w:type="table" w:customStyle="1" w:styleId="10">
    <w:name w:val="表格格線1"/>
    <w:basedOn w:val="TableNormal"/>
    <w:next w:val="TableGrid"/>
    <w:uiPriority w:val="59"/>
    <w:rsid w:val="005C062B"/>
    <w:pPr>
      <w:pBdr>
        <w:top w:val="none" w:sz="0" w:space="0" w:color="auto"/>
        <w:left w:val="none" w:sz="0" w:space="0" w:color="auto"/>
        <w:bottom w:val="none" w:sz="0" w:space="0" w:color="auto"/>
        <w:right w:val="none" w:sz="0" w:space="0" w:color="auto"/>
        <w:between w:val="none" w:sz="0" w:space="0" w:color="auto"/>
        <w:bar w:val="none" w:sz="0" w:color="auto"/>
      </w:pBdr>
    </w:pPr>
    <w:rPr>
      <w:rFonts w:ascii="Calibri" w:eastAsia="MS Gothic" w:hAnsi="Calibri"/>
      <w:sz w:val="22"/>
      <w:szCs w:val="22"/>
      <w:bdr w:val="none" w:sz="0" w:space="0" w:color="auto"/>
      <w:lang w:val="de-DE"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
    <w:name w:val="Body Text Char"/>
    <w:basedOn w:val="DefaultParagraphFont"/>
    <w:link w:val="BodyText"/>
    <w:rsid w:val="00BF3398"/>
    <w:rPr>
      <w:rFonts w:ascii="Arial" w:eastAsia="Arial" w:hAnsi="Arial" w:cs="Arial"/>
      <w:color w:val="000000"/>
      <w:kern w:val="2"/>
      <w:sz w:val="18"/>
      <w:szCs w:val="18"/>
      <w:u w:color="000000"/>
      <w:lang w:val="en-US"/>
    </w:rPr>
  </w:style>
  <w:style w:type="paragraph" w:customStyle="1" w:styleId="Authors">
    <w:name w:val="Authors"/>
    <w:rsid w:val="001C2E02"/>
    <w:pPr>
      <w:spacing w:before="120" w:after="360"/>
      <w:jc w:val="center"/>
    </w:pPr>
    <w:rPr>
      <w:rFonts w:eastAsia="Arial Unicode MS" w:cs="Arial Unicode MS"/>
      <w:color w:val="000000"/>
      <w:sz w:val="24"/>
      <w:szCs w:val="24"/>
      <w:u w:color="000000"/>
      <w:lang w:val="en-US" w:eastAsia="zh-TW"/>
    </w:rPr>
  </w:style>
  <w:style w:type="paragraph" w:customStyle="1" w:styleId="Paragraph">
    <w:name w:val="Paragraph"/>
    <w:rsid w:val="001C2E02"/>
    <w:pPr>
      <w:spacing w:before="120"/>
      <w:ind w:firstLine="720"/>
    </w:pPr>
    <w:rPr>
      <w:rFonts w:eastAsia="Arial Unicode MS" w:cs="Arial Unicode MS"/>
      <w:color w:val="000000"/>
      <w:sz w:val="24"/>
      <w:szCs w:val="24"/>
      <w:u w:color="000000"/>
      <w:lang w:val="en-US" w:eastAsia="zh-TW"/>
    </w:rPr>
  </w:style>
  <w:style w:type="paragraph" w:customStyle="1" w:styleId="Body">
    <w:name w:val="Body"/>
    <w:link w:val="Body0"/>
    <w:rsid w:val="001C2E02"/>
    <w:rPr>
      <w:rFonts w:eastAsia="Arial Unicode MS" w:cs="Arial Unicode MS"/>
      <w:color w:val="000000"/>
      <w:u w:color="000000"/>
      <w:lang w:val="en-US" w:eastAsia="zh-TW"/>
    </w:rPr>
  </w:style>
  <w:style w:type="character" w:customStyle="1" w:styleId="Hyperlink0">
    <w:name w:val="Hyperlink.0"/>
    <w:basedOn w:val="Hyperlink"/>
    <w:rsid w:val="001C2E02"/>
    <w:rPr>
      <w:color w:val="0000FF"/>
      <w:u w:val="single" w:color="0000FF"/>
    </w:rPr>
  </w:style>
  <w:style w:type="character" w:customStyle="1" w:styleId="Body0">
    <w:name w:val="Body 字元"/>
    <w:basedOn w:val="DefaultParagraphFont"/>
    <w:link w:val="Body"/>
    <w:rsid w:val="001C2E02"/>
    <w:rPr>
      <w:rFonts w:eastAsia="Arial Unicode MS" w:cs="Arial Unicode MS"/>
      <w:color w:val="000000"/>
      <w:u w:color="000000"/>
      <w:lang w:val="en-US" w:eastAsia="zh-TW"/>
    </w:rPr>
  </w:style>
  <w:style w:type="numbering" w:customStyle="1" w:styleId="CurrentList1">
    <w:name w:val="Current List1"/>
    <w:uiPriority w:val="99"/>
    <w:rsid w:val="007842E0"/>
    <w:pPr>
      <w:numPr>
        <w:numId w:val="2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474153">
      <w:bodyDiv w:val="1"/>
      <w:marLeft w:val="0"/>
      <w:marRight w:val="0"/>
      <w:marTop w:val="0"/>
      <w:marBottom w:val="0"/>
      <w:divBdr>
        <w:top w:val="none" w:sz="0" w:space="0" w:color="auto"/>
        <w:left w:val="none" w:sz="0" w:space="0" w:color="auto"/>
        <w:bottom w:val="none" w:sz="0" w:space="0" w:color="auto"/>
        <w:right w:val="none" w:sz="0" w:space="0" w:color="auto"/>
      </w:divBdr>
    </w:div>
    <w:div w:id="326370623">
      <w:bodyDiv w:val="1"/>
      <w:marLeft w:val="0"/>
      <w:marRight w:val="0"/>
      <w:marTop w:val="0"/>
      <w:marBottom w:val="0"/>
      <w:divBdr>
        <w:top w:val="none" w:sz="0" w:space="0" w:color="auto"/>
        <w:left w:val="none" w:sz="0" w:space="0" w:color="auto"/>
        <w:bottom w:val="none" w:sz="0" w:space="0" w:color="auto"/>
        <w:right w:val="none" w:sz="0" w:space="0" w:color="auto"/>
      </w:divBdr>
    </w:div>
    <w:div w:id="578834391">
      <w:bodyDiv w:val="1"/>
      <w:marLeft w:val="0"/>
      <w:marRight w:val="0"/>
      <w:marTop w:val="0"/>
      <w:marBottom w:val="0"/>
      <w:divBdr>
        <w:top w:val="none" w:sz="0" w:space="0" w:color="auto"/>
        <w:left w:val="none" w:sz="0" w:space="0" w:color="auto"/>
        <w:bottom w:val="none" w:sz="0" w:space="0" w:color="auto"/>
        <w:right w:val="none" w:sz="0" w:space="0" w:color="auto"/>
      </w:divBdr>
    </w:div>
    <w:div w:id="661201602">
      <w:bodyDiv w:val="1"/>
      <w:marLeft w:val="0"/>
      <w:marRight w:val="0"/>
      <w:marTop w:val="0"/>
      <w:marBottom w:val="0"/>
      <w:divBdr>
        <w:top w:val="none" w:sz="0" w:space="0" w:color="auto"/>
        <w:left w:val="none" w:sz="0" w:space="0" w:color="auto"/>
        <w:bottom w:val="none" w:sz="0" w:space="0" w:color="auto"/>
        <w:right w:val="none" w:sz="0" w:space="0" w:color="auto"/>
      </w:divBdr>
    </w:div>
    <w:div w:id="665674269">
      <w:bodyDiv w:val="1"/>
      <w:marLeft w:val="0"/>
      <w:marRight w:val="0"/>
      <w:marTop w:val="0"/>
      <w:marBottom w:val="0"/>
      <w:divBdr>
        <w:top w:val="none" w:sz="0" w:space="0" w:color="auto"/>
        <w:left w:val="none" w:sz="0" w:space="0" w:color="auto"/>
        <w:bottom w:val="none" w:sz="0" w:space="0" w:color="auto"/>
        <w:right w:val="none" w:sz="0" w:space="0" w:color="auto"/>
      </w:divBdr>
    </w:div>
    <w:div w:id="897008266">
      <w:bodyDiv w:val="1"/>
      <w:marLeft w:val="0"/>
      <w:marRight w:val="0"/>
      <w:marTop w:val="0"/>
      <w:marBottom w:val="0"/>
      <w:divBdr>
        <w:top w:val="none" w:sz="0" w:space="0" w:color="auto"/>
        <w:left w:val="none" w:sz="0" w:space="0" w:color="auto"/>
        <w:bottom w:val="none" w:sz="0" w:space="0" w:color="auto"/>
        <w:right w:val="none" w:sz="0" w:space="0" w:color="auto"/>
      </w:divBdr>
    </w:div>
    <w:div w:id="1040669628">
      <w:bodyDiv w:val="1"/>
      <w:marLeft w:val="0"/>
      <w:marRight w:val="0"/>
      <w:marTop w:val="0"/>
      <w:marBottom w:val="0"/>
      <w:divBdr>
        <w:top w:val="none" w:sz="0" w:space="0" w:color="auto"/>
        <w:left w:val="none" w:sz="0" w:space="0" w:color="auto"/>
        <w:bottom w:val="none" w:sz="0" w:space="0" w:color="auto"/>
        <w:right w:val="none" w:sz="0" w:space="0" w:color="auto"/>
      </w:divBdr>
    </w:div>
    <w:div w:id="1071467585">
      <w:bodyDiv w:val="1"/>
      <w:marLeft w:val="0"/>
      <w:marRight w:val="0"/>
      <w:marTop w:val="0"/>
      <w:marBottom w:val="0"/>
      <w:divBdr>
        <w:top w:val="none" w:sz="0" w:space="0" w:color="auto"/>
        <w:left w:val="none" w:sz="0" w:space="0" w:color="auto"/>
        <w:bottom w:val="none" w:sz="0" w:space="0" w:color="auto"/>
        <w:right w:val="none" w:sz="0" w:space="0" w:color="auto"/>
      </w:divBdr>
    </w:div>
    <w:div w:id="1140270828">
      <w:bodyDiv w:val="1"/>
      <w:marLeft w:val="0"/>
      <w:marRight w:val="0"/>
      <w:marTop w:val="0"/>
      <w:marBottom w:val="0"/>
      <w:divBdr>
        <w:top w:val="none" w:sz="0" w:space="0" w:color="auto"/>
        <w:left w:val="none" w:sz="0" w:space="0" w:color="auto"/>
        <w:bottom w:val="none" w:sz="0" w:space="0" w:color="auto"/>
        <w:right w:val="none" w:sz="0" w:space="0" w:color="auto"/>
      </w:divBdr>
    </w:div>
    <w:div w:id="1517309757">
      <w:bodyDiv w:val="1"/>
      <w:marLeft w:val="0"/>
      <w:marRight w:val="0"/>
      <w:marTop w:val="0"/>
      <w:marBottom w:val="0"/>
      <w:divBdr>
        <w:top w:val="none" w:sz="0" w:space="0" w:color="auto"/>
        <w:left w:val="none" w:sz="0" w:space="0" w:color="auto"/>
        <w:bottom w:val="none" w:sz="0" w:space="0" w:color="auto"/>
        <w:right w:val="none" w:sz="0" w:space="0" w:color="auto"/>
      </w:divBdr>
    </w:div>
    <w:div w:id="1539586069">
      <w:bodyDiv w:val="1"/>
      <w:marLeft w:val="0"/>
      <w:marRight w:val="0"/>
      <w:marTop w:val="0"/>
      <w:marBottom w:val="0"/>
      <w:divBdr>
        <w:top w:val="none" w:sz="0" w:space="0" w:color="auto"/>
        <w:left w:val="none" w:sz="0" w:space="0" w:color="auto"/>
        <w:bottom w:val="none" w:sz="0" w:space="0" w:color="auto"/>
        <w:right w:val="none" w:sz="0" w:space="0" w:color="auto"/>
      </w:divBdr>
    </w:div>
    <w:div w:id="157970931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oleObject" Target="embeddings/oleObject3.bin"/><Relationship Id="rId18" Type="http://schemas.openxmlformats.org/officeDocument/2006/relationships/image" Target="media/image8.png"/><Relationship Id="rId26" Type="http://schemas.openxmlformats.org/officeDocument/2006/relationships/image" Target="media/image16.tiff"/><Relationship Id="rId3" Type="http://schemas.openxmlformats.org/officeDocument/2006/relationships/styles" Target="styles.xml"/><Relationship Id="rId21" Type="http://schemas.openxmlformats.org/officeDocument/2006/relationships/image" Target="media/image11.tiff"/><Relationship Id="rId7" Type="http://schemas.openxmlformats.org/officeDocument/2006/relationships/endnotes" Target="endnotes.xml"/><Relationship Id="rId12" Type="http://schemas.openxmlformats.org/officeDocument/2006/relationships/image" Target="media/image3.wmf"/><Relationship Id="rId17" Type="http://schemas.openxmlformats.org/officeDocument/2006/relationships/image" Target="media/image7.png"/><Relationship Id="rId25" Type="http://schemas.openxmlformats.org/officeDocument/2006/relationships/image" Target="media/image15.tiff"/><Relationship Id="rId2" Type="http://schemas.openxmlformats.org/officeDocument/2006/relationships/numbering" Target="numbering.xml"/><Relationship Id="rId16" Type="http://schemas.openxmlformats.org/officeDocument/2006/relationships/image" Target="media/image6.tiff"/><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14.tif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tiff"/><Relationship Id="rId28" Type="http://schemas.openxmlformats.org/officeDocument/2006/relationships/image" Target="media/image18.tiff"/><Relationship Id="rId10" Type="http://schemas.openxmlformats.org/officeDocument/2006/relationships/image" Target="media/image2.wmf"/><Relationship Id="rId19" Type="http://schemas.openxmlformats.org/officeDocument/2006/relationships/image" Target="media/image9.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tiff"/><Relationship Id="rId22" Type="http://schemas.openxmlformats.org/officeDocument/2006/relationships/image" Target="media/image12.tiff"/><Relationship Id="rId27" Type="http://schemas.openxmlformats.org/officeDocument/2006/relationships/image" Target="media/image17.tiff"/><Relationship Id="rId30" Type="http://schemas.openxmlformats.org/officeDocument/2006/relationships/footer" Target="footer1.xml"/></Relationships>
</file>

<file path=word/theme/theme1.xml><?xml version="1.0" encoding="utf-8"?>
<a:theme xmlns:a="http://schemas.openxmlformats.org/drawingml/2006/main" name="Office 佈景主題">
  <a:themeElements>
    <a:clrScheme name="Office 佈景主題">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佈景主題">
      <a:majorFont>
        <a:latin typeface="Helvetica Neue"/>
        <a:ea typeface="細明體"/>
        <a:cs typeface="Helvetica Neue"/>
      </a:majorFont>
      <a:minorFont>
        <a:latin typeface="Helvetica Neue"/>
        <a:ea typeface="新細明體"/>
        <a:cs typeface="Helvetica Neue"/>
      </a:minorFont>
    </a:fontScheme>
    <a:fmtScheme name="Office 佈景主題">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0066EF-0D9D-2C4C-BA1B-40B0B0DC0B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24</Pages>
  <Words>4805</Words>
  <Characters>27394</Characters>
  <Application>Microsoft Office Word</Application>
  <DocSecurity>0</DocSecurity>
  <Lines>228</Lines>
  <Paragraphs>64</Paragraphs>
  <ScaleCrop>false</ScaleCrop>
  <HeadingPairs>
    <vt:vector size="10" baseType="variant">
      <vt:variant>
        <vt:lpstr>Title</vt:lpstr>
      </vt:variant>
      <vt:variant>
        <vt:i4>1</vt:i4>
      </vt:variant>
      <vt:variant>
        <vt:lpstr>Titel</vt:lpstr>
      </vt:variant>
      <vt:variant>
        <vt:i4>1</vt:i4>
      </vt:variant>
      <vt:variant>
        <vt:lpstr>Titolo</vt:lpstr>
      </vt:variant>
      <vt:variant>
        <vt:i4>1</vt:i4>
      </vt:variant>
      <vt:variant>
        <vt:lpstr>タイトル</vt:lpstr>
      </vt:variant>
      <vt:variant>
        <vt:i4>1</vt:i4>
      </vt:variant>
      <vt:variant>
        <vt:lpstr>Titre</vt:lpstr>
      </vt:variant>
      <vt:variant>
        <vt:i4>1</vt:i4>
      </vt:variant>
    </vt:vector>
  </HeadingPairs>
  <TitlesOfParts>
    <vt:vector size="5" baseType="lpstr">
      <vt:lpstr/>
      <vt:lpstr/>
      <vt:lpstr/>
      <vt:lpstr/>
      <vt:lpstr/>
    </vt:vector>
  </TitlesOfParts>
  <Company/>
  <LinksUpToDate>false</LinksUpToDate>
  <CharactersWithSpaces>32135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Anissa</dc:creator>
  <cp:lastModifiedBy>Microsoft Office User</cp:lastModifiedBy>
  <cp:revision>9</cp:revision>
  <cp:lastPrinted>2019-06-10T08:37:00Z</cp:lastPrinted>
  <dcterms:created xsi:type="dcterms:W3CDTF">2022-02-25T12:16:00Z</dcterms:created>
  <dcterms:modified xsi:type="dcterms:W3CDTF">2022-02-25T21:54:00Z</dcterms:modified>
</cp:coreProperties>
</file>