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3545" w:rsidRPr="001200BD" w:rsidRDefault="00FD3545" w:rsidP="00FD3545">
      <w:pPr>
        <w:autoSpaceDE/>
        <w:autoSpaceDN/>
        <w:adjustRightInd/>
        <w:spacing w:after="0" w:line="240" w:lineRule="auto"/>
        <w:rPr>
          <w:rFonts w:ascii="Times New Roman" w:hAnsi="Times New Roman" w:cs="Times New Roman"/>
          <w:b/>
          <w:color w:val="000000" w:themeColor="text1"/>
          <w:sz w:val="24"/>
          <w:szCs w:val="24"/>
        </w:rPr>
      </w:pPr>
      <w:r w:rsidRPr="001200BD">
        <w:rPr>
          <w:rFonts w:ascii="Times New Roman" w:hAnsi="Times New Roman" w:cs="Times New Roman"/>
          <w:b/>
          <w:color w:val="000000" w:themeColor="text1"/>
          <w:sz w:val="24"/>
          <w:szCs w:val="24"/>
        </w:rPr>
        <w:t>Appendix 1:</w:t>
      </w:r>
    </w:p>
    <w:p w:rsidR="00FD3545" w:rsidRPr="001200BD" w:rsidRDefault="00FD3545" w:rsidP="00FD3545">
      <w:pPr>
        <w:pStyle w:val="Default"/>
        <w:rPr>
          <w:rFonts w:ascii="Times New Roman" w:hAnsi="Times New Roman" w:cs="Times New Roman"/>
        </w:rPr>
      </w:pPr>
      <w:r w:rsidRPr="001200BD">
        <w:rPr>
          <w:rFonts w:ascii="Times New Roman" w:hAnsi="Times New Roman" w:cs="Times New Roman"/>
          <w:b/>
          <w:bCs/>
        </w:rPr>
        <w:t xml:space="preserve">Ethnographic Guide for Field Notes </w:t>
      </w:r>
    </w:p>
    <w:p w:rsidR="00FD3545" w:rsidRPr="001200BD" w:rsidRDefault="00FD3545" w:rsidP="00FD3545">
      <w:pPr>
        <w:pStyle w:val="Default"/>
        <w:rPr>
          <w:rFonts w:ascii="Times New Roman" w:hAnsi="Times New Roman" w:cs="Times New Roman"/>
        </w:rPr>
      </w:pPr>
      <w:r w:rsidRPr="001200BD">
        <w:rPr>
          <w:rFonts w:ascii="Times New Roman" w:hAnsi="Times New Roman" w:cs="Times New Roman"/>
          <w:b/>
          <w:bCs/>
          <w:i/>
          <w:iCs/>
        </w:rPr>
        <w:t xml:space="preserve">Directions: </w:t>
      </w:r>
      <w:r w:rsidRPr="001200BD">
        <w:rPr>
          <w:rFonts w:ascii="Times New Roman" w:hAnsi="Times New Roman" w:cs="Times New Roman"/>
          <w:i/>
          <w:iCs/>
        </w:rPr>
        <w:t xml:space="preserve">Use the following group ethnographic field notes template to structure observations collected during opioid coalition and Community Advisory Board meetings. Use descriptive language and paint a picture of the scenario. </w:t>
      </w:r>
    </w:p>
    <w:p w:rsidR="00FD3545" w:rsidRPr="001200BD" w:rsidRDefault="00FD3545" w:rsidP="00FD3545">
      <w:pPr>
        <w:pStyle w:val="Default"/>
        <w:rPr>
          <w:rFonts w:ascii="Times New Roman" w:hAnsi="Times New Roman" w:cs="Times New Roman"/>
          <w:b/>
          <w:bCs/>
        </w:rPr>
      </w:pPr>
      <w:r w:rsidRPr="001200BD">
        <w:rPr>
          <w:rFonts w:ascii="Times New Roman" w:hAnsi="Times New Roman" w:cs="Times New Roman"/>
          <w:b/>
          <w:bCs/>
        </w:rPr>
        <w:t xml:space="preserve">Date/Time/Location: </w:t>
      </w:r>
    </w:p>
    <w:p w:rsidR="00FD3545" w:rsidRPr="001200BD" w:rsidRDefault="00FD3545" w:rsidP="00FD3545">
      <w:pPr>
        <w:pStyle w:val="Default"/>
        <w:rPr>
          <w:rFonts w:ascii="Times New Roman" w:hAnsi="Times New Roman" w:cs="Times New Roman"/>
        </w:rPr>
      </w:pPr>
      <w:r w:rsidRPr="001200BD">
        <w:rPr>
          <w:rFonts w:ascii="Times New Roman" w:hAnsi="Times New Roman" w:cs="Times New Roman"/>
          <w:b/>
          <w:bCs/>
        </w:rPr>
        <w:t>Ethnographer:</w:t>
      </w:r>
    </w:p>
    <w:p w:rsidR="00FD3545" w:rsidRPr="001200BD" w:rsidRDefault="00FD3545" w:rsidP="00FD3545">
      <w:pPr>
        <w:rPr>
          <w:rFonts w:ascii="Times New Roman" w:hAnsi="Times New Roman" w:cs="Times New Roman"/>
          <w:b/>
          <w:bCs/>
          <w:sz w:val="24"/>
          <w:szCs w:val="24"/>
        </w:rPr>
      </w:pPr>
      <w:r w:rsidRPr="001200BD">
        <w:rPr>
          <w:rFonts w:ascii="Times New Roman" w:hAnsi="Times New Roman" w:cs="Times New Roman"/>
          <w:b/>
          <w:bCs/>
          <w:sz w:val="24"/>
          <w:szCs w:val="24"/>
        </w:rPr>
        <w:t>Meeting Type (Include a brief description of purpose or circumstance of observation):</w:t>
      </w:r>
    </w:p>
    <w:p w:rsidR="00FD3545" w:rsidRPr="001200BD" w:rsidRDefault="00FD3545" w:rsidP="00FD3545">
      <w:pPr>
        <w:rPr>
          <w:rFonts w:ascii="Times New Roman" w:hAnsi="Times New Roman" w:cs="Times New Roman"/>
          <w:b/>
          <w:bCs/>
          <w:sz w:val="24"/>
          <w:szCs w:val="24"/>
        </w:rPr>
      </w:pPr>
    </w:p>
    <w:p w:rsidR="00FD3545" w:rsidRPr="001200BD" w:rsidRDefault="00FD3545" w:rsidP="00FD3545">
      <w:pPr>
        <w:pStyle w:val="Default"/>
        <w:rPr>
          <w:rFonts w:ascii="Times New Roman" w:hAnsi="Times New Roman" w:cs="Times New Roman"/>
        </w:rPr>
      </w:pPr>
    </w:p>
    <w:p w:rsidR="00FD3545" w:rsidRPr="001200BD" w:rsidRDefault="00FD3545" w:rsidP="00FD3545">
      <w:pPr>
        <w:pStyle w:val="Default"/>
        <w:rPr>
          <w:rFonts w:ascii="Times New Roman" w:hAnsi="Times New Roman" w:cs="Times New Roman"/>
        </w:rPr>
      </w:pPr>
      <w:r w:rsidRPr="001200BD">
        <w:rPr>
          <w:rFonts w:ascii="Times New Roman" w:hAnsi="Times New Roman" w:cs="Times New Roman"/>
        </w:rPr>
        <w:t xml:space="preserve"> </w:t>
      </w:r>
      <w:r w:rsidRPr="001200BD">
        <w:rPr>
          <w:rFonts w:ascii="Times New Roman" w:hAnsi="Times New Roman" w:cs="Times New Roman"/>
          <w:b/>
          <w:bCs/>
        </w:rPr>
        <w:t xml:space="preserve">Describe the interaction, event, or process you observed, recalling the content of conversations. Things to consider: </w:t>
      </w:r>
    </w:p>
    <w:p w:rsidR="00FD3545" w:rsidRPr="001200BD" w:rsidRDefault="00FD3545" w:rsidP="00FD3545">
      <w:pPr>
        <w:pStyle w:val="Default"/>
        <w:numPr>
          <w:ilvl w:val="0"/>
          <w:numId w:val="1"/>
        </w:numPr>
        <w:spacing w:after="49"/>
        <w:rPr>
          <w:rFonts w:ascii="Times New Roman" w:hAnsi="Times New Roman" w:cs="Times New Roman"/>
        </w:rPr>
      </w:pPr>
      <w:r w:rsidRPr="001200BD">
        <w:rPr>
          <w:rFonts w:ascii="Times New Roman" w:hAnsi="Times New Roman" w:cs="Times New Roman"/>
        </w:rPr>
        <w:t xml:space="preserve">What was the role of external facilitation team in this interaction? </w:t>
      </w:r>
    </w:p>
    <w:p w:rsidR="00FD3545" w:rsidRPr="001200BD" w:rsidRDefault="00FD3545" w:rsidP="00FD3545">
      <w:pPr>
        <w:pStyle w:val="Default"/>
        <w:numPr>
          <w:ilvl w:val="0"/>
          <w:numId w:val="1"/>
        </w:numPr>
        <w:spacing w:after="49"/>
        <w:rPr>
          <w:rFonts w:ascii="Times New Roman" w:hAnsi="Times New Roman" w:cs="Times New Roman"/>
        </w:rPr>
      </w:pPr>
      <w:r w:rsidRPr="001200BD">
        <w:rPr>
          <w:rFonts w:ascii="Times New Roman" w:hAnsi="Times New Roman" w:cs="Times New Roman"/>
        </w:rPr>
        <w:t xml:space="preserve">Who, if anyone, dominated the conversation? </w:t>
      </w:r>
    </w:p>
    <w:p w:rsidR="00FD3545" w:rsidRPr="001200BD" w:rsidRDefault="00FD3545" w:rsidP="00FD3545">
      <w:pPr>
        <w:pStyle w:val="Default"/>
        <w:numPr>
          <w:ilvl w:val="0"/>
          <w:numId w:val="1"/>
        </w:numPr>
        <w:spacing w:after="49"/>
        <w:rPr>
          <w:rFonts w:ascii="Times New Roman" w:hAnsi="Times New Roman" w:cs="Times New Roman"/>
        </w:rPr>
      </w:pPr>
      <w:r w:rsidRPr="001200BD">
        <w:rPr>
          <w:rFonts w:ascii="Times New Roman" w:hAnsi="Times New Roman" w:cs="Times New Roman"/>
        </w:rPr>
        <w:t xml:space="preserve">Which voices were or were not represented? </w:t>
      </w:r>
    </w:p>
    <w:p w:rsidR="00FD3545" w:rsidRPr="001200BD" w:rsidRDefault="00FD3545" w:rsidP="00FD3545">
      <w:pPr>
        <w:pStyle w:val="Default"/>
        <w:spacing w:after="49"/>
        <w:rPr>
          <w:rFonts w:ascii="Times New Roman" w:hAnsi="Times New Roman" w:cs="Times New Roman"/>
        </w:rPr>
      </w:pPr>
    </w:p>
    <w:p w:rsidR="00FD3545" w:rsidRPr="001200BD" w:rsidRDefault="00FD3545" w:rsidP="00FD3545">
      <w:pPr>
        <w:rPr>
          <w:rFonts w:ascii="Times New Roman" w:hAnsi="Times New Roman" w:cs="Times New Roman"/>
          <w:color w:val="000000"/>
          <w:sz w:val="24"/>
          <w:szCs w:val="24"/>
        </w:rPr>
      </w:pPr>
    </w:p>
    <w:p w:rsidR="00FD3545" w:rsidRPr="001200BD" w:rsidRDefault="00FD3545" w:rsidP="00FD3545">
      <w:pPr>
        <w:pStyle w:val="Default"/>
        <w:spacing w:after="49"/>
        <w:rPr>
          <w:rFonts w:ascii="Times New Roman" w:hAnsi="Times New Roman" w:cs="Times New Roman"/>
          <w:b/>
          <w:bCs/>
        </w:rPr>
      </w:pPr>
      <w:r w:rsidRPr="001200BD">
        <w:rPr>
          <w:rFonts w:ascii="Times New Roman" w:hAnsi="Times New Roman" w:cs="Times New Roman"/>
          <w:b/>
          <w:bCs/>
        </w:rPr>
        <w:t>Record your thoughts and impressions (labeled as appropriate) about what you observed and experience.</w:t>
      </w:r>
    </w:p>
    <w:p w:rsidR="00FD3545" w:rsidRPr="001200BD" w:rsidRDefault="00FD3545" w:rsidP="00FD3545">
      <w:pPr>
        <w:pStyle w:val="Default"/>
        <w:spacing w:after="49"/>
        <w:rPr>
          <w:rFonts w:ascii="Times New Roman" w:hAnsi="Times New Roman" w:cs="Times New Roman"/>
          <w:b/>
          <w:bCs/>
        </w:rPr>
      </w:pPr>
    </w:p>
    <w:p w:rsidR="00FD3545" w:rsidRPr="001200BD" w:rsidRDefault="00FD3545" w:rsidP="00FD3545">
      <w:pPr>
        <w:rPr>
          <w:rFonts w:ascii="Times New Roman" w:hAnsi="Times New Roman" w:cs="Times New Roman"/>
          <w:b/>
          <w:bCs/>
          <w:color w:val="000000"/>
          <w:sz w:val="24"/>
          <w:szCs w:val="24"/>
        </w:rPr>
      </w:pPr>
      <w:r w:rsidRPr="001200BD">
        <w:rPr>
          <w:rFonts w:ascii="Times New Roman" w:hAnsi="Times New Roman" w:cs="Times New Roman"/>
          <w:b/>
          <w:bCs/>
          <w:sz w:val="24"/>
          <w:szCs w:val="24"/>
        </w:rPr>
        <w:br w:type="page"/>
      </w:r>
    </w:p>
    <w:p w:rsidR="00FD3545" w:rsidRPr="001200BD" w:rsidRDefault="00FD3545" w:rsidP="00FD3545">
      <w:pPr>
        <w:pStyle w:val="Default"/>
        <w:spacing w:after="49"/>
        <w:rPr>
          <w:rFonts w:ascii="Times New Roman" w:hAnsi="Times New Roman" w:cs="Times New Roman"/>
        </w:rPr>
      </w:pPr>
      <w:r w:rsidRPr="001200BD">
        <w:rPr>
          <w:rFonts w:ascii="Times New Roman" w:hAnsi="Times New Roman" w:cs="Times New Roman"/>
          <w:b/>
          <w:bCs/>
        </w:rPr>
        <w:lastRenderedPageBreak/>
        <w:t>Identify examples of any community-based participatory research (CBPR) principles demonstrated by the group:</w:t>
      </w:r>
    </w:p>
    <w:p w:rsidR="00FD3545" w:rsidRPr="001200BD" w:rsidRDefault="00FD3545" w:rsidP="00FD3545">
      <w:pPr>
        <w:rPr>
          <w:rFonts w:ascii="Times New Roman" w:hAnsi="Times New Roman" w:cs="Times New Roman"/>
          <w:b/>
          <w:bCs/>
          <w:sz w:val="24"/>
          <w:szCs w:val="24"/>
        </w:rPr>
      </w:pPr>
      <w:r w:rsidRPr="001200BD">
        <w:rPr>
          <w:rFonts w:ascii="Times New Roman" w:hAnsi="Times New Roman" w:cs="Times New Roman"/>
          <w:b/>
          <w:bCs/>
          <w:sz w:val="24"/>
          <w:szCs w:val="24"/>
        </w:rPr>
        <w:t>Develop working hypothesis based on the observation, perhaps compounded with previous observations. Definitions are sourced from:</w:t>
      </w:r>
    </w:p>
    <w:p w:rsidR="00FD3545" w:rsidRPr="001200BD" w:rsidRDefault="00FD3545" w:rsidP="00FD3545">
      <w:pPr>
        <w:rPr>
          <w:rFonts w:ascii="Times New Roman" w:hAnsi="Times New Roman" w:cs="Times New Roman"/>
          <w:sz w:val="24"/>
          <w:szCs w:val="24"/>
        </w:rPr>
      </w:pPr>
      <w:r w:rsidRPr="001200BD">
        <w:rPr>
          <w:rFonts w:ascii="Times New Roman" w:hAnsi="Times New Roman" w:cs="Times New Roman"/>
          <w:sz w:val="24"/>
          <w:szCs w:val="24"/>
        </w:rPr>
        <w:t xml:space="preserve">Minkler, M., Rubin, V., Garcia, A., &amp; Wallerstein, N. (2012). </w:t>
      </w:r>
      <w:r w:rsidRPr="001200BD">
        <w:rPr>
          <w:rFonts w:ascii="Times New Roman" w:hAnsi="Times New Roman" w:cs="Times New Roman"/>
          <w:i/>
          <w:iCs/>
          <w:sz w:val="24"/>
          <w:szCs w:val="24"/>
        </w:rPr>
        <w:t>Community-Based Participatory Research: A Strategy for Building Healthy Communities and Promoting Health through Policy Change</w:t>
      </w:r>
      <w:r w:rsidRPr="001200BD">
        <w:rPr>
          <w:rFonts w:ascii="Times New Roman" w:hAnsi="Times New Roman" w:cs="Times New Roman"/>
          <w:sz w:val="24"/>
          <w:szCs w:val="24"/>
        </w:rPr>
        <w:t xml:space="preserve"> (p. 60). PolicyLink, University of California, Berkeley.</w:t>
      </w:r>
    </w:p>
    <w:p w:rsidR="00FD3545" w:rsidRPr="001200BD" w:rsidRDefault="00FD3545" w:rsidP="00FD3545">
      <w:pPr>
        <w:rPr>
          <w:rFonts w:ascii="Times New Roman" w:hAnsi="Times New Roman" w:cs="Times New Roman"/>
          <w:sz w:val="24"/>
          <w:szCs w:val="24"/>
        </w:rPr>
      </w:pPr>
    </w:p>
    <w:p w:rsidR="00FD3545" w:rsidRPr="001200BD" w:rsidRDefault="00FD3545" w:rsidP="00FD3545">
      <w:pPr>
        <w:rPr>
          <w:rFonts w:ascii="Times New Roman" w:hAnsi="Times New Roman" w:cs="Times New Roman"/>
          <w:b/>
          <w:sz w:val="24"/>
          <w:szCs w:val="24"/>
        </w:rPr>
      </w:pPr>
      <w:r w:rsidRPr="001200BD">
        <w:rPr>
          <w:rFonts w:ascii="Times New Roman" w:hAnsi="Times New Roman" w:cs="Times New Roman"/>
          <w:b/>
          <w:sz w:val="24"/>
          <w:szCs w:val="24"/>
        </w:rPr>
        <w:t>Principle 1: Recognizes community as a unit of identity.</w:t>
      </w:r>
    </w:p>
    <w:p w:rsidR="00FD3545" w:rsidRPr="001200BD" w:rsidRDefault="00FD3545" w:rsidP="00FD3545">
      <w:pPr>
        <w:rPr>
          <w:rFonts w:ascii="Times New Roman" w:hAnsi="Times New Roman" w:cs="Times New Roman"/>
          <w:i/>
          <w:sz w:val="24"/>
          <w:szCs w:val="24"/>
        </w:rPr>
      </w:pPr>
      <w:r w:rsidRPr="001200BD">
        <w:rPr>
          <w:rFonts w:ascii="Times New Roman" w:hAnsi="Times New Roman" w:cs="Times New Roman"/>
          <w:i/>
          <w:sz w:val="24"/>
          <w:szCs w:val="24"/>
        </w:rPr>
        <w:t>This first principle emphasizes the significance of community for people, and the importance of using that identification with community as a starting point for the work. A definition of community extends beyond geography and racial identity, and depends heavily on members’ perceptions of what “the community” really is.</w:t>
      </w:r>
    </w:p>
    <w:p w:rsidR="00FD3545" w:rsidRPr="001200BD" w:rsidRDefault="00FD3545" w:rsidP="00FD3545">
      <w:pPr>
        <w:rPr>
          <w:rFonts w:ascii="Times New Roman" w:hAnsi="Times New Roman" w:cs="Times New Roman"/>
          <w:i/>
          <w:sz w:val="24"/>
          <w:szCs w:val="24"/>
        </w:rPr>
      </w:pPr>
    </w:p>
    <w:p w:rsidR="00FD3545" w:rsidRPr="001200BD" w:rsidRDefault="00FD3545" w:rsidP="00FD3545">
      <w:pPr>
        <w:rPr>
          <w:rFonts w:ascii="Times New Roman" w:hAnsi="Times New Roman" w:cs="Times New Roman"/>
          <w:b/>
          <w:sz w:val="24"/>
          <w:szCs w:val="24"/>
        </w:rPr>
      </w:pPr>
      <w:r w:rsidRPr="001200BD">
        <w:rPr>
          <w:rFonts w:ascii="Times New Roman" w:hAnsi="Times New Roman" w:cs="Times New Roman"/>
          <w:b/>
          <w:sz w:val="24"/>
          <w:szCs w:val="24"/>
        </w:rPr>
        <w:t>Principle 2: Builds on strengths and resources within the community.</w:t>
      </w:r>
    </w:p>
    <w:p w:rsidR="00FD3545" w:rsidRPr="001200BD" w:rsidRDefault="00FD3545" w:rsidP="00FD3545">
      <w:pPr>
        <w:rPr>
          <w:rFonts w:ascii="Times New Roman" w:hAnsi="Times New Roman" w:cs="Times New Roman"/>
          <w:i/>
          <w:sz w:val="24"/>
          <w:szCs w:val="24"/>
        </w:rPr>
      </w:pPr>
      <w:r w:rsidRPr="001200BD">
        <w:rPr>
          <w:rFonts w:ascii="Times New Roman" w:hAnsi="Times New Roman" w:cs="Times New Roman"/>
          <w:i/>
          <w:sz w:val="24"/>
          <w:szCs w:val="24"/>
        </w:rPr>
        <w:t>Rather than beginning with a “deficit mentality” that emphasizes community problems and challenges, this second principle reminds us that members of communities have a wealth of knowledge and lived experience from a cultural, local, and historical lens (Corburn, 2007). This understanding can in turn provide important insider information that is typically unattainable by an outside scientific researcher.</w:t>
      </w:r>
    </w:p>
    <w:p w:rsidR="00FD3545" w:rsidRPr="001200BD" w:rsidRDefault="00FD3545" w:rsidP="00FD3545">
      <w:pPr>
        <w:rPr>
          <w:rFonts w:ascii="Times New Roman" w:hAnsi="Times New Roman" w:cs="Times New Roman"/>
          <w:i/>
          <w:sz w:val="24"/>
          <w:szCs w:val="24"/>
        </w:rPr>
      </w:pPr>
    </w:p>
    <w:p w:rsidR="00FD3545" w:rsidRPr="001200BD" w:rsidRDefault="00FD3545" w:rsidP="00FD3545">
      <w:pPr>
        <w:rPr>
          <w:rFonts w:ascii="Times New Roman" w:hAnsi="Times New Roman" w:cs="Times New Roman"/>
          <w:b/>
          <w:sz w:val="24"/>
          <w:szCs w:val="24"/>
        </w:rPr>
      </w:pPr>
      <w:r w:rsidRPr="001200BD">
        <w:rPr>
          <w:rFonts w:ascii="Times New Roman" w:hAnsi="Times New Roman" w:cs="Times New Roman"/>
          <w:b/>
          <w:sz w:val="24"/>
          <w:szCs w:val="24"/>
        </w:rPr>
        <w:t>Principle 3: Facilitates a collaborative, equitable partnership in all phases of research, involving an empowering and power-sharing process that attends to social inequalities.</w:t>
      </w:r>
    </w:p>
    <w:p w:rsidR="00FD3545" w:rsidRPr="001200BD" w:rsidRDefault="00FD3545" w:rsidP="00FD3545">
      <w:pPr>
        <w:rPr>
          <w:rFonts w:ascii="Times New Roman" w:hAnsi="Times New Roman" w:cs="Times New Roman"/>
          <w:i/>
          <w:sz w:val="24"/>
          <w:szCs w:val="24"/>
        </w:rPr>
      </w:pPr>
      <w:r w:rsidRPr="001200BD">
        <w:rPr>
          <w:rFonts w:ascii="Times New Roman" w:hAnsi="Times New Roman" w:cs="Times New Roman"/>
          <w:i/>
          <w:sz w:val="24"/>
          <w:szCs w:val="24"/>
        </w:rPr>
        <w:t>This third principle highlights the importance of shared accountability in the decision-making process, across all steps of the research process. It also recognizes the inherent inequalities that exist between researchers and community partners. Finally, it stresses the importance of addressing these imbalances by building trusting and mutually respectful relationships grounded in an empowering process emphasizing communication, information sharing, and joint decision making.</w:t>
      </w:r>
    </w:p>
    <w:p w:rsidR="00FD3545" w:rsidRPr="001200BD" w:rsidRDefault="00FD3545" w:rsidP="00FD3545">
      <w:pPr>
        <w:rPr>
          <w:rFonts w:ascii="Times New Roman" w:hAnsi="Times New Roman" w:cs="Times New Roman"/>
          <w:i/>
          <w:sz w:val="24"/>
          <w:szCs w:val="24"/>
        </w:rPr>
      </w:pPr>
    </w:p>
    <w:p w:rsidR="00FD3545" w:rsidRPr="001200BD" w:rsidRDefault="00FD3545" w:rsidP="00FD3545">
      <w:pPr>
        <w:rPr>
          <w:rFonts w:ascii="Times New Roman" w:hAnsi="Times New Roman" w:cs="Times New Roman"/>
          <w:b/>
          <w:color w:val="000000"/>
          <w:sz w:val="24"/>
          <w:szCs w:val="24"/>
        </w:rPr>
      </w:pPr>
      <w:r w:rsidRPr="001200BD">
        <w:rPr>
          <w:rFonts w:ascii="Times New Roman" w:hAnsi="Times New Roman" w:cs="Times New Roman"/>
          <w:b/>
          <w:bCs/>
          <w:color w:val="000000"/>
          <w:sz w:val="24"/>
          <w:szCs w:val="24"/>
        </w:rPr>
        <w:t xml:space="preserve">4. </w:t>
      </w:r>
      <w:r w:rsidRPr="001200BD">
        <w:rPr>
          <w:rFonts w:ascii="Times New Roman" w:hAnsi="Times New Roman" w:cs="Times New Roman"/>
          <w:b/>
          <w:color w:val="000000"/>
          <w:sz w:val="24"/>
          <w:szCs w:val="24"/>
        </w:rPr>
        <w:t>Promotes co-learning and capacity building among all partners.</w:t>
      </w:r>
    </w:p>
    <w:p w:rsidR="00FD3545" w:rsidRPr="001200BD" w:rsidRDefault="00FD3545" w:rsidP="00FD3545">
      <w:pPr>
        <w:rPr>
          <w:rFonts w:ascii="Times New Roman" w:hAnsi="Times New Roman" w:cs="Times New Roman"/>
          <w:i/>
          <w:sz w:val="24"/>
          <w:szCs w:val="24"/>
        </w:rPr>
      </w:pPr>
      <w:r w:rsidRPr="001200BD">
        <w:rPr>
          <w:rFonts w:ascii="Times New Roman" w:hAnsi="Times New Roman" w:cs="Times New Roman"/>
          <w:i/>
          <w:sz w:val="24"/>
          <w:szCs w:val="24"/>
        </w:rPr>
        <w:t>This principle stresses the importance of fostering a reciprocal relationship that engages all parties in the exchange of knowledge, skills, and capacity, reminding us that all partners bring a wealth of diverse experiences, skills, and perspectives to the partnership process.</w:t>
      </w:r>
    </w:p>
    <w:p w:rsidR="00FD3545" w:rsidRPr="001200BD" w:rsidRDefault="00FD3545" w:rsidP="00FD3545">
      <w:pPr>
        <w:rPr>
          <w:rFonts w:ascii="Times New Roman" w:hAnsi="Times New Roman" w:cs="Times New Roman"/>
          <w:sz w:val="24"/>
          <w:szCs w:val="24"/>
        </w:rPr>
      </w:pPr>
    </w:p>
    <w:p w:rsidR="00FD3545" w:rsidRPr="001200BD" w:rsidRDefault="00FD3545" w:rsidP="00FD3545">
      <w:pPr>
        <w:rPr>
          <w:rFonts w:ascii="Times New Roman" w:hAnsi="Times New Roman" w:cs="Times New Roman"/>
          <w:b/>
          <w:color w:val="000000"/>
          <w:sz w:val="24"/>
          <w:szCs w:val="24"/>
        </w:rPr>
      </w:pPr>
      <w:r w:rsidRPr="001200BD">
        <w:rPr>
          <w:rFonts w:ascii="Times New Roman" w:hAnsi="Times New Roman" w:cs="Times New Roman"/>
          <w:b/>
          <w:bCs/>
          <w:color w:val="000000"/>
          <w:sz w:val="24"/>
          <w:szCs w:val="24"/>
        </w:rPr>
        <w:t xml:space="preserve">5. </w:t>
      </w:r>
      <w:r w:rsidRPr="001200BD">
        <w:rPr>
          <w:rFonts w:ascii="Times New Roman" w:hAnsi="Times New Roman" w:cs="Times New Roman"/>
          <w:b/>
          <w:color w:val="000000"/>
          <w:sz w:val="24"/>
          <w:szCs w:val="24"/>
        </w:rPr>
        <w:t xml:space="preserve">Integrates and achieves a balance between research and action for the mutual benefit of all partners. </w:t>
      </w:r>
    </w:p>
    <w:p w:rsidR="00FD3545" w:rsidRPr="001200BD" w:rsidRDefault="00FD3545" w:rsidP="00FD3545">
      <w:pPr>
        <w:rPr>
          <w:rFonts w:ascii="Times New Roman" w:hAnsi="Times New Roman" w:cs="Times New Roman"/>
          <w:i/>
          <w:sz w:val="24"/>
          <w:szCs w:val="24"/>
        </w:rPr>
      </w:pPr>
      <w:r w:rsidRPr="001200BD">
        <w:rPr>
          <w:rFonts w:ascii="Times New Roman" w:hAnsi="Times New Roman" w:cs="Times New Roman"/>
          <w:i/>
          <w:sz w:val="24"/>
          <w:szCs w:val="24"/>
        </w:rPr>
        <w:t>CBPR reminds partnerships of the important contributions needed from both the scientific community, and community partners. It emphasizes integrating knowledge gained through the partnership, in the advancement of interventions and policies that capture the concerns of all partners and the larger communities they serve.</w:t>
      </w:r>
    </w:p>
    <w:p w:rsidR="00FD3545" w:rsidRPr="001200BD" w:rsidRDefault="00FD3545" w:rsidP="00FD3545">
      <w:pPr>
        <w:rPr>
          <w:rFonts w:ascii="Times New Roman" w:hAnsi="Times New Roman" w:cs="Times New Roman"/>
          <w:i/>
          <w:sz w:val="24"/>
          <w:szCs w:val="24"/>
        </w:rPr>
      </w:pPr>
    </w:p>
    <w:p w:rsidR="00FD3545" w:rsidRPr="001200BD" w:rsidRDefault="00FD3545" w:rsidP="00FD3545">
      <w:pPr>
        <w:rPr>
          <w:rFonts w:ascii="Times New Roman" w:hAnsi="Times New Roman" w:cs="Times New Roman"/>
          <w:b/>
          <w:bCs/>
          <w:sz w:val="24"/>
          <w:szCs w:val="24"/>
        </w:rPr>
      </w:pPr>
      <w:r w:rsidRPr="001200BD">
        <w:rPr>
          <w:rFonts w:ascii="Times New Roman" w:hAnsi="Times New Roman" w:cs="Times New Roman"/>
          <w:b/>
          <w:sz w:val="24"/>
          <w:szCs w:val="24"/>
        </w:rPr>
        <w:t xml:space="preserve">Principle 6: </w:t>
      </w:r>
      <w:r w:rsidRPr="001200BD">
        <w:rPr>
          <w:rFonts w:ascii="Times New Roman" w:hAnsi="Times New Roman" w:cs="Times New Roman"/>
          <w:b/>
          <w:bCs/>
          <w:sz w:val="24"/>
          <w:szCs w:val="24"/>
        </w:rPr>
        <w:t>Emphasizes public health problems of local relevance and ecological perspectives that attend to the multiple determinants of health and diseases.</w:t>
      </w:r>
    </w:p>
    <w:p w:rsidR="00FD3545" w:rsidRPr="001200BD" w:rsidRDefault="00FD3545" w:rsidP="00FD3545">
      <w:pPr>
        <w:rPr>
          <w:rFonts w:ascii="Times New Roman" w:hAnsi="Times New Roman" w:cs="Times New Roman"/>
          <w:b/>
          <w:bCs/>
          <w:sz w:val="24"/>
          <w:szCs w:val="24"/>
        </w:rPr>
      </w:pPr>
      <w:r w:rsidRPr="001200BD">
        <w:rPr>
          <w:rFonts w:ascii="Times New Roman" w:hAnsi="Times New Roman" w:cs="Times New Roman"/>
          <w:i/>
          <w:sz w:val="24"/>
          <w:szCs w:val="24"/>
        </w:rPr>
        <w:t>As described by the Institute of Medicine, “an ecological approach assumes that health and well-being are affected by interaction among multiple determinants including biology, behavior, and the environment.” This interaction “unfolds over the life course of individuals, families and communities” (Gebbie et al., 2003, p. 32). Consistent with an ecological view of health, this sixth principle stresses a localized approach to health with data that is relevant, timely, and inclusive. It emphasizes an approach to health that extends beyond the individual, to the immediate and larger contexts in which families live, work, and play. In CBPR partnerships, the multiple determinants of health, such as social, economic, and physical environmental factors are examined through an interdisciplinary lens, and their interactions stressed.</w:t>
      </w:r>
    </w:p>
    <w:p w:rsidR="00FD3545" w:rsidRPr="001200BD" w:rsidRDefault="00FD3545" w:rsidP="00FD3545">
      <w:pPr>
        <w:rPr>
          <w:rFonts w:ascii="Times New Roman" w:hAnsi="Times New Roman" w:cs="Times New Roman"/>
          <w:sz w:val="24"/>
          <w:szCs w:val="24"/>
        </w:rPr>
      </w:pPr>
    </w:p>
    <w:p w:rsidR="00FD3545" w:rsidRPr="001200BD" w:rsidRDefault="00FD3545" w:rsidP="00FD3545">
      <w:pPr>
        <w:rPr>
          <w:rFonts w:ascii="Times New Roman" w:hAnsi="Times New Roman" w:cs="Times New Roman"/>
          <w:b/>
          <w:bCs/>
          <w:sz w:val="24"/>
          <w:szCs w:val="24"/>
        </w:rPr>
      </w:pPr>
      <w:r w:rsidRPr="001200BD">
        <w:rPr>
          <w:rFonts w:ascii="Times New Roman" w:hAnsi="Times New Roman" w:cs="Times New Roman"/>
          <w:b/>
          <w:bCs/>
          <w:sz w:val="24"/>
          <w:szCs w:val="24"/>
        </w:rPr>
        <w:t>Principle 7: Involves systems development through a cyclical and iterative process.</w:t>
      </w:r>
    </w:p>
    <w:p w:rsidR="00FD3545" w:rsidRPr="001200BD" w:rsidRDefault="00FD3545" w:rsidP="00FD3545">
      <w:pPr>
        <w:rPr>
          <w:rFonts w:ascii="Times New Roman" w:hAnsi="Times New Roman" w:cs="Times New Roman"/>
          <w:i/>
          <w:sz w:val="24"/>
          <w:szCs w:val="24"/>
        </w:rPr>
      </w:pPr>
      <w:r w:rsidRPr="001200BD">
        <w:rPr>
          <w:rFonts w:ascii="Times New Roman" w:hAnsi="Times New Roman" w:cs="Times New Roman"/>
          <w:i/>
          <w:sz w:val="24"/>
          <w:szCs w:val="24"/>
        </w:rPr>
        <w:t>Principle seven reminds us of the iterative nature of partnerships and the importance of revisiting each stage of the research process as necessary. This is done to ensure that all voices are captured and that the action agreed upon is appropriate for all partners involved.</w:t>
      </w:r>
    </w:p>
    <w:p w:rsidR="00FD3545" w:rsidRPr="001200BD" w:rsidRDefault="00FD3545" w:rsidP="00FD3545">
      <w:pPr>
        <w:rPr>
          <w:rFonts w:ascii="Times New Roman" w:hAnsi="Times New Roman" w:cs="Times New Roman"/>
          <w:sz w:val="24"/>
          <w:szCs w:val="24"/>
        </w:rPr>
      </w:pPr>
    </w:p>
    <w:p w:rsidR="00FD3545" w:rsidRPr="001200BD" w:rsidRDefault="00FD3545" w:rsidP="00FD3545">
      <w:pPr>
        <w:rPr>
          <w:rFonts w:ascii="Times New Roman" w:hAnsi="Times New Roman" w:cs="Times New Roman"/>
          <w:b/>
          <w:bCs/>
          <w:sz w:val="24"/>
          <w:szCs w:val="24"/>
        </w:rPr>
      </w:pPr>
      <w:r w:rsidRPr="001200BD">
        <w:rPr>
          <w:rFonts w:ascii="Times New Roman" w:hAnsi="Times New Roman" w:cs="Times New Roman"/>
          <w:b/>
          <w:bCs/>
          <w:sz w:val="24"/>
          <w:szCs w:val="24"/>
        </w:rPr>
        <w:t>Principle 8: Disseminates findings and knowledge gained to all partners and involves all partners in the dissemination process.</w:t>
      </w:r>
    </w:p>
    <w:p w:rsidR="00FD3545" w:rsidRPr="001200BD" w:rsidRDefault="00FD3545" w:rsidP="00FD3545">
      <w:pPr>
        <w:rPr>
          <w:rFonts w:ascii="Times New Roman" w:hAnsi="Times New Roman" w:cs="Times New Roman"/>
          <w:i/>
          <w:sz w:val="24"/>
          <w:szCs w:val="24"/>
        </w:rPr>
      </w:pPr>
      <w:r w:rsidRPr="001200BD">
        <w:rPr>
          <w:rFonts w:ascii="Times New Roman" w:hAnsi="Times New Roman" w:cs="Times New Roman"/>
          <w:i/>
          <w:sz w:val="24"/>
          <w:szCs w:val="24"/>
        </w:rPr>
        <w:t>This principle highlights the importance of sharing findings in an accessible and respectful way with the community and other stakeholders. The principle further stresses providing opportunities for involvement in broader dissemination strategies such as publications and presentations at the local, state, and national levels.</w:t>
      </w:r>
    </w:p>
    <w:p w:rsidR="00FD3545" w:rsidRPr="001200BD" w:rsidRDefault="00FD3545" w:rsidP="00FD3545">
      <w:pPr>
        <w:rPr>
          <w:rFonts w:ascii="Times New Roman" w:hAnsi="Times New Roman" w:cs="Times New Roman"/>
          <w:sz w:val="24"/>
          <w:szCs w:val="24"/>
        </w:rPr>
      </w:pPr>
    </w:p>
    <w:p w:rsidR="00FD3545" w:rsidRPr="001200BD" w:rsidRDefault="00FD3545" w:rsidP="00FD3545">
      <w:pPr>
        <w:rPr>
          <w:rFonts w:ascii="Times New Roman" w:hAnsi="Times New Roman" w:cs="Times New Roman"/>
          <w:b/>
          <w:bCs/>
          <w:sz w:val="24"/>
          <w:szCs w:val="24"/>
        </w:rPr>
      </w:pPr>
      <w:r w:rsidRPr="001200BD">
        <w:rPr>
          <w:rFonts w:ascii="Times New Roman" w:hAnsi="Times New Roman" w:cs="Times New Roman"/>
          <w:b/>
          <w:bCs/>
          <w:sz w:val="24"/>
          <w:szCs w:val="24"/>
        </w:rPr>
        <w:t>Principle 9: Requires a long-term process and commitment to sustainability.</w:t>
      </w:r>
    </w:p>
    <w:p w:rsidR="00FD3545" w:rsidRPr="001200BD" w:rsidRDefault="00FD3545" w:rsidP="00FD3545">
      <w:pPr>
        <w:rPr>
          <w:rFonts w:ascii="Times New Roman" w:hAnsi="Times New Roman" w:cs="Times New Roman"/>
          <w:i/>
          <w:sz w:val="24"/>
          <w:szCs w:val="24"/>
        </w:rPr>
      </w:pPr>
      <w:r w:rsidRPr="001200BD">
        <w:rPr>
          <w:rFonts w:ascii="Times New Roman" w:hAnsi="Times New Roman" w:cs="Times New Roman"/>
          <w:i/>
          <w:sz w:val="24"/>
          <w:szCs w:val="24"/>
        </w:rPr>
        <w:t>This principle places an emphasis on the importance of committing to the long haul through adequate investment of time and resources in the CBPR process. It further reminds us to keep a critical eye on sustainability and enforcement of the outcomes of the CB PR process.</w:t>
      </w:r>
    </w:p>
    <w:p w:rsidR="00FD3545" w:rsidRPr="001200BD" w:rsidRDefault="00FD3545" w:rsidP="00FD3545">
      <w:pPr>
        <w:rPr>
          <w:rFonts w:ascii="Times New Roman" w:hAnsi="Times New Roman" w:cs="Times New Roman"/>
          <w:sz w:val="24"/>
          <w:szCs w:val="24"/>
        </w:rPr>
      </w:pPr>
    </w:p>
    <w:p w:rsidR="00FD3545" w:rsidRPr="001200BD" w:rsidRDefault="00FD3545" w:rsidP="00FD3545">
      <w:pPr>
        <w:rPr>
          <w:rFonts w:ascii="Times New Roman" w:hAnsi="Times New Roman" w:cs="Times New Roman"/>
          <w:b/>
          <w:bCs/>
          <w:sz w:val="24"/>
          <w:szCs w:val="24"/>
        </w:rPr>
      </w:pPr>
      <w:r w:rsidRPr="001200BD">
        <w:rPr>
          <w:rFonts w:ascii="Times New Roman" w:hAnsi="Times New Roman" w:cs="Times New Roman"/>
          <w:b/>
          <w:bCs/>
          <w:sz w:val="24"/>
          <w:szCs w:val="24"/>
        </w:rPr>
        <w:t>Principle 10: Addresses issues of race, ethnicity, racism, and social class and embraces “Cultural Humility”</w:t>
      </w:r>
    </w:p>
    <w:p w:rsidR="00FD3545" w:rsidRPr="001200BD" w:rsidRDefault="00FD3545" w:rsidP="00FD3545">
      <w:pPr>
        <w:rPr>
          <w:rFonts w:ascii="Times New Roman" w:hAnsi="Times New Roman" w:cs="Times New Roman"/>
          <w:i/>
          <w:sz w:val="24"/>
          <w:szCs w:val="24"/>
        </w:rPr>
      </w:pPr>
      <w:r w:rsidRPr="001200BD">
        <w:rPr>
          <w:rFonts w:ascii="Times New Roman" w:hAnsi="Times New Roman" w:cs="Times New Roman"/>
          <w:i/>
          <w:sz w:val="24"/>
          <w:szCs w:val="24"/>
        </w:rPr>
        <w:t>CBPR frequently brings together community partners from marginalized groups and “outside” researchers and other institutional partners who have more privileged backgrounds in terms of race/ethnicity, education, and social class. To be effective in such situations, CBPR partners must work hard to embody what Tervalon and Murray-Garcia (1998) call “cultural humility,” recognizing that while no one can be truly “competent” in another’s culture, we can demonstrate a commitment to self-reflection and critique, working to redress power imbalances and to develop authentic partnerships.</w:t>
      </w:r>
    </w:p>
    <w:p w:rsidR="00FD3545" w:rsidRPr="001200BD" w:rsidRDefault="00FD3545" w:rsidP="00FD3545">
      <w:pPr>
        <w:autoSpaceDE/>
        <w:autoSpaceDN/>
        <w:adjustRightInd/>
        <w:spacing w:after="0" w:line="240" w:lineRule="auto"/>
        <w:rPr>
          <w:rFonts w:ascii="Times New Roman" w:hAnsi="Times New Roman" w:cs="Times New Roman"/>
          <w:color w:val="000000" w:themeColor="text1"/>
          <w:sz w:val="24"/>
          <w:szCs w:val="24"/>
        </w:rPr>
      </w:pPr>
    </w:p>
    <w:p w:rsidR="007202BD" w:rsidRDefault="00FD3545">
      <w:bookmarkStart w:id="0" w:name="_GoBack"/>
      <w:bookmarkEnd w:id="0"/>
    </w:p>
    <w:sectPr w:rsidR="007202BD">
      <w:foot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88304580"/>
      <w:docPartObj>
        <w:docPartGallery w:val="Page Numbers (Bottom of Page)"/>
        <w:docPartUnique/>
      </w:docPartObj>
    </w:sdtPr>
    <w:sdtEndPr>
      <w:rPr>
        <w:noProof/>
      </w:rPr>
    </w:sdtEndPr>
    <w:sdtContent>
      <w:p w:rsidR="00E76954" w:rsidRDefault="00FD354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E76954" w:rsidRDefault="00FD3545">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C3BC3C3"/>
    <w:multiLevelType w:val="hybridMultilevel"/>
    <w:tmpl w:val="6268732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3545"/>
    <w:rsid w:val="005C29ED"/>
    <w:rsid w:val="00AA6E60"/>
    <w:rsid w:val="00FD35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563B6E-A810-4BC6-8238-B3893F171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3545"/>
    <w:pPr>
      <w:autoSpaceDE w:val="0"/>
      <w:autoSpaceDN w:val="0"/>
      <w:adjustRightInd w:val="0"/>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rsid w:val="00FD3545"/>
    <w:pPr>
      <w:spacing w:after="0" w:line="240" w:lineRule="auto"/>
    </w:pPr>
    <w:rPr>
      <w:color w:val="000000"/>
      <w:sz w:val="24"/>
      <w:szCs w:val="24"/>
    </w:rPr>
  </w:style>
  <w:style w:type="paragraph" w:styleId="Footer">
    <w:name w:val="footer"/>
    <w:basedOn w:val="Normal"/>
    <w:link w:val="FooterChar"/>
    <w:uiPriority w:val="99"/>
    <w:unhideWhenUsed/>
    <w:rsid w:val="00FD35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3545"/>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958</Words>
  <Characters>5466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Boston Medical Center</Company>
  <LinksUpToDate>false</LinksUpToDate>
  <CharactersWithSpaces>6412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 Galya</dc:creator>
  <cp:keywords/>
  <dc:description/>
  <cp:lastModifiedBy>Walt, Galya</cp:lastModifiedBy>
  <cp:revision>1</cp:revision>
  <dcterms:created xsi:type="dcterms:W3CDTF">2022-02-21T14:00:00Z</dcterms:created>
  <dcterms:modified xsi:type="dcterms:W3CDTF">2022-02-21T14:02:00Z</dcterms:modified>
</cp:coreProperties>
</file>