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BD089" w14:textId="15090926" w:rsidR="00EC6BF8" w:rsidRPr="00072D85" w:rsidRDefault="00EC6BF8" w:rsidP="00EC6BF8">
      <w:pPr>
        <w:spacing w:after="0" w:line="480" w:lineRule="auto"/>
        <w:rPr>
          <w:rFonts w:ascii="Times New Roman" w:hAnsi="Times New Roman"/>
          <w:b/>
          <w:bCs/>
          <w:sz w:val="24"/>
          <w:szCs w:val="24"/>
        </w:rPr>
      </w:pPr>
      <w:r w:rsidRPr="00072D85">
        <w:rPr>
          <w:rFonts w:ascii="Times New Roman" w:hAnsi="Times New Roman"/>
          <w:b/>
          <w:bCs/>
          <w:sz w:val="24"/>
          <w:szCs w:val="24"/>
        </w:rPr>
        <w:t xml:space="preserve">Appendix </w:t>
      </w:r>
    </w:p>
    <w:p w14:paraId="147DAF4E" w14:textId="337595AD" w:rsidR="00EC6BF8" w:rsidRPr="00072D85" w:rsidRDefault="00EC6BF8" w:rsidP="00EC6BF8">
      <w:pPr>
        <w:spacing w:after="0" w:line="480" w:lineRule="auto"/>
        <w:rPr>
          <w:rFonts w:ascii="Times New Roman" w:eastAsia="Times New Roman" w:hAnsi="Times New Roman"/>
          <w:b/>
          <w:bCs/>
          <w:i/>
          <w:iCs/>
          <w:color w:val="000000"/>
          <w:sz w:val="24"/>
          <w:szCs w:val="24"/>
        </w:rPr>
      </w:pPr>
      <w:r w:rsidRPr="00072D85">
        <w:rPr>
          <w:rFonts w:ascii="Times New Roman" w:hAnsi="Times New Roman"/>
          <w:b/>
          <w:bCs/>
          <w:i/>
          <w:iCs/>
          <w:sz w:val="24"/>
          <w:szCs w:val="24"/>
        </w:rPr>
        <w:t xml:space="preserve">Exposure to pathogens induced microscopic changes in colon explants </w:t>
      </w:r>
    </w:p>
    <w:p w14:paraId="34BAF697" w14:textId="5B71A48B" w:rsidR="00EC6BF8" w:rsidRPr="00072D85" w:rsidRDefault="00EC6BF8" w:rsidP="00EC6BF8">
      <w:pPr>
        <w:spacing w:after="0" w:line="480" w:lineRule="auto"/>
        <w:rPr>
          <w:rFonts w:ascii="Times New Roman" w:hAnsi="Times New Roman"/>
          <w:sz w:val="24"/>
          <w:szCs w:val="24"/>
        </w:rPr>
      </w:pPr>
      <w:r w:rsidRPr="00072D85">
        <w:rPr>
          <w:rFonts w:ascii="Times New Roman" w:hAnsi="Times New Roman"/>
          <w:sz w:val="24"/>
          <w:szCs w:val="24"/>
        </w:rPr>
        <w:t>For evaluation of the screening method used in this study, the findings below represent the comparison between all explants from the pathogen control group (PCG) and compound control group (CCG) groups for a given pathogen.</w:t>
      </w:r>
    </w:p>
    <w:p w14:paraId="0392BBA0" w14:textId="77777777" w:rsidR="00EC6BF8" w:rsidRPr="00072D85" w:rsidRDefault="00EC6BF8" w:rsidP="00EC6BF8">
      <w:pPr>
        <w:spacing w:before="240" w:after="0" w:line="480" w:lineRule="auto"/>
        <w:rPr>
          <w:rFonts w:ascii="Times New Roman" w:hAnsi="Times New Roman"/>
          <w:i/>
          <w:iCs/>
          <w:sz w:val="24"/>
          <w:szCs w:val="24"/>
        </w:rPr>
      </w:pPr>
      <w:proofErr w:type="spellStart"/>
      <w:r w:rsidRPr="00072D85">
        <w:rPr>
          <w:rFonts w:ascii="Times New Roman" w:hAnsi="Times New Roman"/>
          <w:i/>
          <w:iCs/>
          <w:sz w:val="24"/>
          <w:szCs w:val="24"/>
        </w:rPr>
        <w:t>Brachyspira</w:t>
      </w:r>
      <w:proofErr w:type="spellEnd"/>
      <w:r w:rsidRPr="00072D85">
        <w:rPr>
          <w:rFonts w:ascii="Times New Roman" w:hAnsi="Times New Roman"/>
          <w:i/>
          <w:iCs/>
          <w:sz w:val="24"/>
          <w:szCs w:val="24"/>
        </w:rPr>
        <w:t xml:space="preserve"> </w:t>
      </w:r>
      <w:proofErr w:type="spellStart"/>
      <w:r w:rsidRPr="00072D85">
        <w:rPr>
          <w:rFonts w:ascii="Times New Roman" w:hAnsi="Times New Roman"/>
          <w:i/>
          <w:iCs/>
          <w:sz w:val="24"/>
          <w:szCs w:val="24"/>
        </w:rPr>
        <w:t>hyodysenteriae</w:t>
      </w:r>
      <w:proofErr w:type="spellEnd"/>
    </w:p>
    <w:p w14:paraId="2F34A884" w14:textId="544BB082" w:rsidR="00EC6BF8" w:rsidRPr="00072D85" w:rsidRDefault="00EC6BF8" w:rsidP="00EC6BF8">
      <w:pPr>
        <w:spacing w:after="0" w:line="480" w:lineRule="auto"/>
        <w:rPr>
          <w:rFonts w:ascii="Times New Roman" w:hAnsi="Times New Roman"/>
          <w:sz w:val="24"/>
          <w:szCs w:val="24"/>
        </w:rPr>
      </w:pPr>
      <w:r w:rsidRPr="00072D85">
        <w:rPr>
          <w:rFonts w:ascii="Times New Roman" w:hAnsi="Times New Roman"/>
          <w:sz w:val="24"/>
          <w:szCs w:val="24"/>
        </w:rPr>
        <w:t>No significant difference was observed for the percentage of healthy epithelium between PCG and CCG (</w:t>
      </w:r>
      <w:r w:rsidR="00EE6295">
        <w:rPr>
          <w:rFonts w:ascii="Times New Roman" w:hAnsi="Times New Roman"/>
          <w:sz w:val="24"/>
          <w:szCs w:val="24"/>
        </w:rPr>
        <w:t xml:space="preserve">Supplementary </w:t>
      </w:r>
      <w:r w:rsidRPr="00072D85">
        <w:rPr>
          <w:rFonts w:ascii="Times New Roman" w:hAnsi="Times New Roman"/>
          <w:sz w:val="24"/>
          <w:szCs w:val="24"/>
        </w:rPr>
        <w:t>Figure</w:t>
      </w:r>
      <w:r w:rsidR="0021045F" w:rsidRPr="00072D85">
        <w:rPr>
          <w:rFonts w:ascii="Times New Roman" w:hAnsi="Times New Roman"/>
          <w:sz w:val="24"/>
          <w:szCs w:val="24"/>
        </w:rPr>
        <w:t xml:space="preserve"> </w:t>
      </w:r>
      <w:r w:rsidR="00EE6295">
        <w:rPr>
          <w:rFonts w:ascii="Times New Roman" w:hAnsi="Times New Roman"/>
          <w:sz w:val="24"/>
          <w:szCs w:val="24"/>
        </w:rPr>
        <w:t>1</w:t>
      </w:r>
      <w:r w:rsidRPr="00072D85">
        <w:rPr>
          <w:rFonts w:ascii="Times New Roman" w:hAnsi="Times New Roman"/>
          <w:sz w:val="24"/>
          <w:szCs w:val="24"/>
        </w:rPr>
        <w:t>; A). In contrast, a significantly thicker mucus layer was found in the PCG (early time-point and late time-point,</w:t>
      </w:r>
      <w:r w:rsidR="00EE6295">
        <w:rPr>
          <w:rFonts w:ascii="Times New Roman" w:hAnsi="Times New Roman"/>
          <w:sz w:val="24"/>
          <w:szCs w:val="24"/>
        </w:rPr>
        <w:t xml:space="preserve"> </w:t>
      </w:r>
      <w:r w:rsidR="00EE6295">
        <w:rPr>
          <w:rFonts w:ascii="Times New Roman" w:hAnsi="Times New Roman"/>
          <w:sz w:val="24"/>
          <w:szCs w:val="24"/>
        </w:rPr>
        <w:t>Supplementary</w:t>
      </w:r>
      <w:r w:rsidRPr="00072D85">
        <w:rPr>
          <w:rFonts w:ascii="Times New Roman" w:hAnsi="Times New Roman"/>
          <w:sz w:val="24"/>
          <w:szCs w:val="24"/>
        </w:rPr>
        <w:t xml:space="preserve"> Figure </w:t>
      </w:r>
      <w:r w:rsidR="00EE6295">
        <w:rPr>
          <w:rFonts w:ascii="Times New Roman" w:hAnsi="Times New Roman"/>
          <w:sz w:val="24"/>
          <w:szCs w:val="24"/>
        </w:rPr>
        <w:t>1</w:t>
      </w:r>
      <w:r w:rsidRPr="00072D85">
        <w:rPr>
          <w:rFonts w:ascii="Times New Roman" w:hAnsi="Times New Roman"/>
          <w:sz w:val="24"/>
          <w:szCs w:val="24"/>
        </w:rPr>
        <w:t>; B) and significant higher levels of tumor necrosis factor-α (TNF-α), interleukin-1α (IL-1α) and interferon-γ (INF-γ) mRNA expression were found at the late time-point (</w:t>
      </w:r>
      <w:r w:rsidR="00EE6295">
        <w:rPr>
          <w:rFonts w:ascii="Times New Roman" w:hAnsi="Times New Roman"/>
          <w:sz w:val="24"/>
          <w:szCs w:val="24"/>
        </w:rPr>
        <w:t xml:space="preserve">Supplementary </w:t>
      </w:r>
      <w:r w:rsidRPr="00072D85">
        <w:rPr>
          <w:rFonts w:ascii="Times New Roman" w:hAnsi="Times New Roman"/>
          <w:sz w:val="24"/>
          <w:szCs w:val="24"/>
        </w:rPr>
        <w:t xml:space="preserve">Figure </w:t>
      </w:r>
      <w:r w:rsidR="00EE6295">
        <w:rPr>
          <w:rFonts w:ascii="Times New Roman" w:hAnsi="Times New Roman"/>
          <w:sz w:val="24"/>
          <w:szCs w:val="24"/>
        </w:rPr>
        <w:t>1</w:t>
      </w:r>
      <w:r w:rsidRPr="00072D85">
        <w:rPr>
          <w:rFonts w:ascii="Times New Roman" w:hAnsi="Times New Roman"/>
          <w:sz w:val="24"/>
          <w:szCs w:val="24"/>
        </w:rPr>
        <w:t xml:space="preserve"> A).  </w:t>
      </w:r>
    </w:p>
    <w:p w14:paraId="12319D0F" w14:textId="77777777" w:rsidR="00EC6BF8" w:rsidRPr="00072D85" w:rsidRDefault="00EC6BF8" w:rsidP="00EC6BF8">
      <w:pPr>
        <w:spacing w:before="240" w:after="0" w:line="480" w:lineRule="auto"/>
        <w:rPr>
          <w:rFonts w:ascii="Times New Roman" w:hAnsi="Times New Roman"/>
          <w:i/>
          <w:iCs/>
          <w:sz w:val="24"/>
          <w:szCs w:val="24"/>
        </w:rPr>
      </w:pPr>
      <w:proofErr w:type="spellStart"/>
      <w:r w:rsidRPr="00072D85">
        <w:rPr>
          <w:rFonts w:ascii="Times New Roman" w:hAnsi="Times New Roman"/>
          <w:i/>
          <w:iCs/>
          <w:sz w:val="24"/>
          <w:szCs w:val="24"/>
        </w:rPr>
        <w:t>Lawsonia</w:t>
      </w:r>
      <w:proofErr w:type="spellEnd"/>
      <w:r w:rsidRPr="00072D85">
        <w:rPr>
          <w:rFonts w:ascii="Times New Roman" w:hAnsi="Times New Roman"/>
          <w:i/>
          <w:iCs/>
          <w:sz w:val="24"/>
          <w:szCs w:val="24"/>
        </w:rPr>
        <w:t xml:space="preserve"> </w:t>
      </w:r>
      <w:proofErr w:type="spellStart"/>
      <w:r w:rsidRPr="00072D85">
        <w:rPr>
          <w:rFonts w:ascii="Times New Roman" w:hAnsi="Times New Roman"/>
          <w:i/>
          <w:iCs/>
          <w:sz w:val="24"/>
          <w:szCs w:val="24"/>
        </w:rPr>
        <w:t>intracellularis</w:t>
      </w:r>
      <w:proofErr w:type="spellEnd"/>
    </w:p>
    <w:p w14:paraId="1462F868" w14:textId="2FA03D47" w:rsidR="00EC6BF8" w:rsidRPr="00072D85" w:rsidRDefault="00EC6BF8" w:rsidP="00EC6BF8">
      <w:pPr>
        <w:spacing w:after="0" w:line="480" w:lineRule="auto"/>
        <w:rPr>
          <w:rFonts w:ascii="Times New Roman" w:hAnsi="Times New Roman"/>
          <w:sz w:val="24"/>
          <w:szCs w:val="24"/>
        </w:rPr>
      </w:pPr>
      <w:r w:rsidRPr="00072D85">
        <w:rPr>
          <w:rFonts w:ascii="Times New Roman" w:hAnsi="Times New Roman"/>
          <w:sz w:val="24"/>
          <w:szCs w:val="24"/>
        </w:rPr>
        <w:t>No differences between groups in epithelial coverage or gene expression were observed at either time-point (</w:t>
      </w:r>
      <w:r w:rsidR="00EE6295">
        <w:rPr>
          <w:rFonts w:ascii="Times New Roman" w:hAnsi="Times New Roman"/>
          <w:sz w:val="24"/>
          <w:szCs w:val="24"/>
        </w:rPr>
        <w:t xml:space="preserve">Supplementary </w:t>
      </w:r>
      <w:r w:rsidRPr="00072D85">
        <w:rPr>
          <w:rFonts w:ascii="Times New Roman" w:hAnsi="Times New Roman"/>
          <w:sz w:val="24"/>
          <w:szCs w:val="24"/>
        </w:rPr>
        <w:t>Figure</w:t>
      </w:r>
      <w:r w:rsidR="00736C8D" w:rsidRPr="00072D85">
        <w:rPr>
          <w:rFonts w:ascii="Times New Roman" w:hAnsi="Times New Roman"/>
          <w:sz w:val="24"/>
          <w:szCs w:val="24"/>
        </w:rPr>
        <w:t xml:space="preserve"> </w:t>
      </w:r>
      <w:r w:rsidR="00EE6295">
        <w:rPr>
          <w:rFonts w:ascii="Times New Roman" w:hAnsi="Times New Roman"/>
          <w:sz w:val="24"/>
          <w:szCs w:val="24"/>
        </w:rPr>
        <w:t>1</w:t>
      </w:r>
      <w:r w:rsidRPr="00072D85">
        <w:rPr>
          <w:rFonts w:ascii="Times New Roman" w:hAnsi="Times New Roman"/>
          <w:sz w:val="24"/>
          <w:szCs w:val="24"/>
        </w:rPr>
        <w:t xml:space="preserve">; C, and </w:t>
      </w:r>
      <w:r w:rsidR="00EE6295">
        <w:rPr>
          <w:rFonts w:ascii="Times New Roman" w:hAnsi="Times New Roman"/>
          <w:sz w:val="24"/>
          <w:szCs w:val="24"/>
        </w:rPr>
        <w:t>Supplementary</w:t>
      </w:r>
      <w:r w:rsidR="00EE6295">
        <w:rPr>
          <w:rFonts w:ascii="Times New Roman" w:hAnsi="Times New Roman"/>
          <w:sz w:val="24"/>
          <w:szCs w:val="24"/>
        </w:rPr>
        <w:t xml:space="preserve"> Figure 2</w:t>
      </w:r>
      <w:r w:rsidRPr="00072D85">
        <w:rPr>
          <w:rFonts w:ascii="Times New Roman" w:hAnsi="Times New Roman"/>
          <w:sz w:val="24"/>
          <w:szCs w:val="24"/>
        </w:rPr>
        <w:t>; B).</w:t>
      </w:r>
    </w:p>
    <w:p w14:paraId="33E06AD9" w14:textId="77777777" w:rsidR="00EC6BF8" w:rsidRPr="00072D85" w:rsidRDefault="00EC6BF8" w:rsidP="00EC6BF8">
      <w:pPr>
        <w:spacing w:before="240" w:after="0" w:line="480" w:lineRule="auto"/>
        <w:rPr>
          <w:rFonts w:ascii="Times New Roman" w:hAnsi="Times New Roman"/>
          <w:sz w:val="24"/>
          <w:szCs w:val="24"/>
        </w:rPr>
      </w:pPr>
      <w:r w:rsidRPr="00072D85">
        <w:rPr>
          <w:rFonts w:ascii="Times New Roman" w:hAnsi="Times New Roman"/>
          <w:i/>
          <w:iCs/>
          <w:sz w:val="24"/>
          <w:szCs w:val="24"/>
        </w:rPr>
        <w:t>Salmonella enterica</w:t>
      </w:r>
      <w:r w:rsidRPr="00072D85">
        <w:rPr>
          <w:rFonts w:ascii="Times New Roman" w:hAnsi="Times New Roman"/>
          <w:sz w:val="24"/>
          <w:szCs w:val="24"/>
        </w:rPr>
        <w:t xml:space="preserve"> serovar Typhimurium</w:t>
      </w:r>
    </w:p>
    <w:p w14:paraId="436FE218" w14:textId="3A1EDF80" w:rsidR="00EC6BF8" w:rsidRPr="00072D85" w:rsidRDefault="00EC6BF8" w:rsidP="00EC6BF8">
      <w:pPr>
        <w:spacing w:after="0" w:line="480" w:lineRule="auto"/>
        <w:rPr>
          <w:rFonts w:ascii="Times New Roman" w:hAnsi="Times New Roman"/>
          <w:sz w:val="24"/>
          <w:szCs w:val="24"/>
        </w:rPr>
      </w:pPr>
      <w:r w:rsidRPr="00072D85">
        <w:rPr>
          <w:rFonts w:ascii="Times New Roman" w:hAnsi="Times New Roman"/>
          <w:sz w:val="24"/>
          <w:szCs w:val="24"/>
        </w:rPr>
        <w:t>CCG explants had significant more healthy epithelial coverage than the PCG samples at both time-points (</w:t>
      </w:r>
      <w:r w:rsidR="00EE6295">
        <w:rPr>
          <w:rFonts w:ascii="Times New Roman" w:hAnsi="Times New Roman"/>
          <w:sz w:val="24"/>
          <w:szCs w:val="24"/>
        </w:rPr>
        <w:t xml:space="preserve">Supplementary </w:t>
      </w:r>
      <w:r w:rsidRPr="00072D85">
        <w:rPr>
          <w:rFonts w:ascii="Times New Roman" w:hAnsi="Times New Roman"/>
          <w:sz w:val="24"/>
          <w:szCs w:val="24"/>
        </w:rPr>
        <w:t xml:space="preserve">Figure </w:t>
      </w:r>
      <w:r w:rsidR="00EE6295">
        <w:rPr>
          <w:rFonts w:ascii="Times New Roman" w:hAnsi="Times New Roman"/>
          <w:sz w:val="24"/>
          <w:szCs w:val="24"/>
        </w:rPr>
        <w:t>1</w:t>
      </w:r>
      <w:r w:rsidRPr="00072D85">
        <w:rPr>
          <w:rFonts w:ascii="Times New Roman" w:hAnsi="Times New Roman"/>
          <w:sz w:val="24"/>
          <w:szCs w:val="24"/>
        </w:rPr>
        <w:t>; D).  Late time-point PCG samples had increased IL-1α mRNA expression (</w:t>
      </w:r>
      <w:r w:rsidR="00EE6295">
        <w:rPr>
          <w:rFonts w:ascii="Times New Roman" w:hAnsi="Times New Roman"/>
          <w:sz w:val="24"/>
          <w:szCs w:val="24"/>
        </w:rPr>
        <w:t xml:space="preserve">Supplementary </w:t>
      </w:r>
      <w:r w:rsidRPr="00072D85">
        <w:rPr>
          <w:rFonts w:ascii="Times New Roman" w:hAnsi="Times New Roman"/>
          <w:sz w:val="24"/>
          <w:szCs w:val="24"/>
        </w:rPr>
        <w:t xml:space="preserve">Figure </w:t>
      </w:r>
      <w:r w:rsidR="00EE6295">
        <w:rPr>
          <w:rFonts w:ascii="Times New Roman" w:hAnsi="Times New Roman"/>
          <w:sz w:val="24"/>
          <w:szCs w:val="24"/>
        </w:rPr>
        <w:t>2</w:t>
      </w:r>
      <w:r w:rsidRPr="00072D85">
        <w:rPr>
          <w:rFonts w:ascii="Times New Roman" w:hAnsi="Times New Roman"/>
          <w:sz w:val="24"/>
          <w:szCs w:val="24"/>
        </w:rPr>
        <w:t>; C).</w:t>
      </w:r>
    </w:p>
    <w:p w14:paraId="2FA465A3" w14:textId="665A3A0F" w:rsidR="00E817EF" w:rsidRPr="00072D85" w:rsidRDefault="00E817EF" w:rsidP="00EC6BF8"/>
    <w:p w14:paraId="2E7233AE" w14:textId="6E357911" w:rsidR="004C6754" w:rsidRPr="00072D85" w:rsidRDefault="004C6754" w:rsidP="00EC6BF8"/>
    <w:p w14:paraId="14727FBC" w14:textId="079AFAD6" w:rsidR="004C6754" w:rsidRPr="00072D85" w:rsidRDefault="004C6754" w:rsidP="00EC6BF8"/>
    <w:p w14:paraId="4E7937B5" w14:textId="1C68E156" w:rsidR="004C6754" w:rsidRPr="00072D85" w:rsidRDefault="0012392E" w:rsidP="004C6754">
      <w:pPr>
        <w:spacing w:line="360" w:lineRule="auto"/>
        <w:rPr>
          <w:rFonts w:ascii="Times New Roman" w:hAnsi="Times New Roman"/>
        </w:rPr>
      </w:pPr>
      <w:r w:rsidRPr="0012392E">
        <w:rPr>
          <w:rFonts w:ascii="Times New Roman" w:hAnsi="Times New Roman"/>
          <w:b/>
          <w:bCs/>
          <w:sz w:val="24"/>
          <w:szCs w:val="24"/>
        </w:rPr>
        <w:lastRenderedPageBreak/>
        <w:t>Supplementary</w:t>
      </w:r>
      <w:r>
        <w:rPr>
          <w:rFonts w:ascii="Times New Roman" w:hAnsi="Times New Roman"/>
          <w:sz w:val="24"/>
          <w:szCs w:val="24"/>
        </w:rPr>
        <w:t xml:space="preserve"> </w:t>
      </w:r>
      <w:r w:rsidR="004C6754" w:rsidRPr="00072D85">
        <w:rPr>
          <w:rFonts w:ascii="Times New Roman" w:hAnsi="Times New Roman"/>
          <w:b/>
          <w:bCs/>
          <w:sz w:val="24"/>
          <w:szCs w:val="40"/>
        </w:rPr>
        <w:t xml:space="preserve">Figure </w:t>
      </w:r>
      <w:r>
        <w:rPr>
          <w:rFonts w:ascii="Times New Roman" w:hAnsi="Times New Roman"/>
          <w:b/>
          <w:bCs/>
          <w:sz w:val="24"/>
          <w:szCs w:val="40"/>
        </w:rPr>
        <w:t>1</w:t>
      </w:r>
      <w:r w:rsidR="004C6754" w:rsidRPr="00072D85">
        <w:rPr>
          <w:rFonts w:ascii="Times New Roman" w:hAnsi="Times New Roman"/>
          <w:b/>
          <w:bCs/>
          <w:sz w:val="24"/>
          <w:szCs w:val="40"/>
        </w:rPr>
        <w:t>.</w:t>
      </w:r>
      <w:r w:rsidR="004C6754" w:rsidRPr="00072D85">
        <w:rPr>
          <w:rFonts w:ascii="Times New Roman" w:hAnsi="Times New Roman"/>
          <w:sz w:val="24"/>
          <w:szCs w:val="40"/>
        </w:rPr>
        <w:t xml:space="preserve"> </w:t>
      </w:r>
      <w:r w:rsidR="004C6754" w:rsidRPr="00072D85">
        <w:rPr>
          <w:rStyle w:val="FigureMariChar"/>
          <w:b w:val="0"/>
          <w:bCs w:val="0"/>
        </w:rPr>
        <w:t>Microscopic explant health comparison between the compound control group (CCG)</w:t>
      </w:r>
      <w:r w:rsidR="0083344E" w:rsidRPr="00072D85">
        <w:rPr>
          <w:rStyle w:val="FigureMariChar"/>
          <w:b w:val="0"/>
          <w:bCs w:val="0"/>
        </w:rPr>
        <w:t xml:space="preserve">, including all compound groups combined, </w:t>
      </w:r>
      <w:r w:rsidR="004C6754" w:rsidRPr="00072D85">
        <w:rPr>
          <w:rStyle w:val="FigureMariChar"/>
          <w:b w:val="0"/>
          <w:bCs w:val="0"/>
        </w:rPr>
        <w:t>and pathogen control group (PCG)</w:t>
      </w:r>
      <w:r w:rsidR="006C4E32" w:rsidRPr="00072D85">
        <w:rPr>
          <w:rStyle w:val="FigureMariChar"/>
          <w:b w:val="0"/>
          <w:bCs w:val="0"/>
        </w:rPr>
        <w:t xml:space="preserve"> for evaluation of screening method</w:t>
      </w:r>
      <w:r w:rsidR="00512B0E" w:rsidRPr="00072D85">
        <w:rPr>
          <w:rStyle w:val="FigureMariChar"/>
          <w:b w:val="0"/>
          <w:bCs w:val="0"/>
        </w:rPr>
        <w:t xml:space="preserve"> used in current study</w:t>
      </w:r>
      <w:r w:rsidR="004C6754" w:rsidRPr="00072D85">
        <w:rPr>
          <w:rStyle w:val="FigureMariChar"/>
          <w:b w:val="0"/>
          <w:bCs w:val="0"/>
        </w:rPr>
        <w:t>.</w:t>
      </w:r>
      <w:r w:rsidR="004C6754" w:rsidRPr="00072D85">
        <w:rPr>
          <w:rStyle w:val="FigureMariChar"/>
        </w:rPr>
        <w:t xml:space="preserve"> </w:t>
      </w:r>
      <w:r w:rsidR="004C6754" w:rsidRPr="00072D85">
        <w:rPr>
          <w:rFonts w:ascii="Times New Roman" w:hAnsi="Times New Roman"/>
        </w:rPr>
        <w:t xml:space="preserve">Percentage of healthy epithelium (A) and mucus layer thickness (B) in explants harvested from pigs and exposed to </w:t>
      </w:r>
      <w:r w:rsidR="004C6754" w:rsidRPr="00072D85">
        <w:rPr>
          <w:rFonts w:ascii="Times New Roman" w:hAnsi="Times New Roman"/>
          <w:i/>
          <w:iCs/>
        </w:rPr>
        <w:t xml:space="preserve">B. </w:t>
      </w:r>
      <w:proofErr w:type="spellStart"/>
      <w:r w:rsidR="004C6754" w:rsidRPr="00072D85">
        <w:rPr>
          <w:rFonts w:ascii="Times New Roman" w:hAnsi="Times New Roman"/>
          <w:i/>
          <w:iCs/>
        </w:rPr>
        <w:t>hyodysenteriae</w:t>
      </w:r>
      <w:proofErr w:type="spellEnd"/>
      <w:r w:rsidR="004C6754" w:rsidRPr="00072D85">
        <w:rPr>
          <w:rFonts w:ascii="Times New Roman" w:hAnsi="Times New Roman"/>
          <w:i/>
          <w:iCs/>
        </w:rPr>
        <w:t xml:space="preserve"> </w:t>
      </w:r>
      <w:r w:rsidR="004C6754" w:rsidRPr="00072D85">
        <w:rPr>
          <w:rFonts w:ascii="Times New Roman" w:hAnsi="Times New Roman"/>
        </w:rPr>
        <w:t>(PCG)</w:t>
      </w:r>
      <w:r w:rsidR="004C6754" w:rsidRPr="00072D85">
        <w:rPr>
          <w:rFonts w:ascii="Times New Roman" w:hAnsi="Times New Roman"/>
          <w:i/>
          <w:iCs/>
        </w:rPr>
        <w:t xml:space="preserve"> </w:t>
      </w:r>
      <w:r w:rsidR="004C6754" w:rsidRPr="00072D85">
        <w:rPr>
          <w:rFonts w:ascii="Times New Roman" w:hAnsi="Times New Roman"/>
        </w:rPr>
        <w:t xml:space="preserve">or controls (CCG). C) Percentage of healthy epithelium on explants from pigs exposed to </w:t>
      </w:r>
      <w:r w:rsidR="004C6754" w:rsidRPr="00072D85">
        <w:rPr>
          <w:rFonts w:ascii="Times New Roman" w:hAnsi="Times New Roman"/>
          <w:i/>
          <w:iCs/>
        </w:rPr>
        <w:t xml:space="preserve">L. </w:t>
      </w:r>
      <w:proofErr w:type="spellStart"/>
      <w:r w:rsidR="004C6754" w:rsidRPr="00072D85">
        <w:rPr>
          <w:rFonts w:ascii="Times New Roman" w:hAnsi="Times New Roman"/>
          <w:i/>
          <w:iCs/>
        </w:rPr>
        <w:t>intracelullaris</w:t>
      </w:r>
      <w:proofErr w:type="spellEnd"/>
      <w:r w:rsidR="004C6754" w:rsidRPr="00072D85">
        <w:rPr>
          <w:rFonts w:ascii="Times New Roman" w:hAnsi="Times New Roman"/>
          <w:i/>
          <w:iCs/>
        </w:rPr>
        <w:t xml:space="preserve"> </w:t>
      </w:r>
      <w:r w:rsidR="004C6754" w:rsidRPr="00072D85">
        <w:rPr>
          <w:rFonts w:ascii="Times New Roman" w:hAnsi="Times New Roman"/>
        </w:rPr>
        <w:t>(PCG</w:t>
      </w:r>
      <w:r w:rsidR="004C6754" w:rsidRPr="00072D85">
        <w:rPr>
          <w:rFonts w:ascii="Times New Roman" w:hAnsi="Times New Roman"/>
          <w:i/>
          <w:iCs/>
        </w:rPr>
        <w:t xml:space="preserve">) </w:t>
      </w:r>
      <w:r w:rsidR="004C6754" w:rsidRPr="00072D85">
        <w:rPr>
          <w:rFonts w:ascii="Times New Roman" w:hAnsi="Times New Roman"/>
        </w:rPr>
        <w:t xml:space="preserve">or controls (CCG). D) Percentage of healthy epithelium on explants from pigs exposed to </w:t>
      </w:r>
      <w:r w:rsidR="004C6754" w:rsidRPr="00072D85">
        <w:rPr>
          <w:rFonts w:ascii="Times New Roman" w:hAnsi="Times New Roman"/>
          <w:i/>
          <w:iCs/>
        </w:rPr>
        <w:t xml:space="preserve">S. </w:t>
      </w:r>
      <w:r w:rsidR="004C6754" w:rsidRPr="00072D85">
        <w:rPr>
          <w:rFonts w:ascii="Times New Roman" w:hAnsi="Times New Roman"/>
        </w:rPr>
        <w:t>Typhimurium (PCG</w:t>
      </w:r>
      <w:r w:rsidR="004C6754" w:rsidRPr="00072D85">
        <w:rPr>
          <w:rFonts w:ascii="Times New Roman" w:hAnsi="Times New Roman"/>
          <w:i/>
          <w:iCs/>
        </w:rPr>
        <w:t xml:space="preserve">) </w:t>
      </w:r>
      <w:r w:rsidR="004C6754" w:rsidRPr="00072D85">
        <w:rPr>
          <w:rFonts w:ascii="Times New Roman" w:hAnsi="Times New Roman"/>
        </w:rPr>
        <w:t>or controls (CCG). Boxplots depict the median ± standard deviation of the median</w:t>
      </w:r>
      <w:r w:rsidR="00BE0F6E" w:rsidRPr="00072D85">
        <w:rPr>
          <w:rFonts w:ascii="Times New Roman" w:hAnsi="Times New Roman"/>
        </w:rPr>
        <w:t>.</w:t>
      </w:r>
      <w:r w:rsidR="004C6754" w:rsidRPr="00072D85">
        <w:rPr>
          <w:rFonts w:ascii="Times New Roman" w:hAnsi="Times New Roman"/>
        </w:rPr>
        <w:t xml:space="preserve"> Whiskers depict the minimum and maximum values. Stars denote significant difference between groups (</w:t>
      </w:r>
      <w:r w:rsidR="004C6754" w:rsidRPr="00072D85">
        <w:rPr>
          <w:rFonts w:ascii="Times New Roman" w:hAnsi="Times New Roman"/>
          <w:i/>
          <w:iCs/>
        </w:rPr>
        <w:t>P</w:t>
      </w:r>
      <w:r w:rsidR="00BE0F6E" w:rsidRPr="00072D85">
        <w:rPr>
          <w:rFonts w:ascii="Times New Roman" w:hAnsi="Times New Roman"/>
          <w:i/>
          <w:iCs/>
        </w:rPr>
        <w:t xml:space="preserve"> </w:t>
      </w:r>
      <w:r w:rsidR="004C6754" w:rsidRPr="00072D85">
        <w:rPr>
          <w:rFonts w:ascii="Times New Roman" w:hAnsi="Times New Roman"/>
        </w:rPr>
        <w:t>≤ 0.05).</w:t>
      </w:r>
    </w:p>
    <w:p w14:paraId="3DC6C58E" w14:textId="4F17A42A" w:rsidR="001303C1" w:rsidRDefault="001303C1" w:rsidP="004C6754">
      <w:pPr>
        <w:spacing w:line="360" w:lineRule="auto"/>
        <w:rPr>
          <w:rFonts w:ascii="Times New Roman" w:hAnsi="Times New Roman"/>
        </w:rPr>
      </w:pPr>
      <w:r w:rsidRPr="00072D85">
        <w:rPr>
          <w:noProof/>
        </w:rPr>
        <w:drawing>
          <wp:inline distT="0" distB="0" distL="0" distR="0" wp14:anchorId="403EB00D" wp14:editId="41C06021">
            <wp:extent cx="5943600" cy="246752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826" r="1776"/>
                    <a:stretch/>
                  </pic:blipFill>
                  <pic:spPr bwMode="auto">
                    <a:xfrm>
                      <a:off x="0" y="0"/>
                      <a:ext cx="5943600" cy="2467520"/>
                    </a:xfrm>
                    <a:prstGeom prst="rect">
                      <a:avLst/>
                    </a:prstGeom>
                    <a:noFill/>
                    <a:ln>
                      <a:noFill/>
                    </a:ln>
                    <a:extLst>
                      <a:ext uri="{53640926-AAD7-44D8-BBD7-CCE9431645EC}">
                        <a14:shadowObscured xmlns:a14="http://schemas.microsoft.com/office/drawing/2010/main"/>
                      </a:ext>
                    </a:extLst>
                  </pic:spPr>
                </pic:pic>
              </a:graphicData>
            </a:graphic>
          </wp:inline>
        </w:drawing>
      </w:r>
    </w:p>
    <w:p w14:paraId="5901ABC2" w14:textId="30271CC6" w:rsidR="0012392E" w:rsidRDefault="0012392E" w:rsidP="004C6754">
      <w:pPr>
        <w:spacing w:line="360" w:lineRule="auto"/>
        <w:rPr>
          <w:rFonts w:ascii="Times New Roman" w:hAnsi="Times New Roman"/>
        </w:rPr>
      </w:pPr>
    </w:p>
    <w:p w14:paraId="6787B5F6" w14:textId="58C627CD" w:rsidR="0012392E" w:rsidRDefault="0012392E" w:rsidP="004C6754">
      <w:pPr>
        <w:spacing w:line="360" w:lineRule="auto"/>
        <w:rPr>
          <w:rFonts w:ascii="Times New Roman" w:hAnsi="Times New Roman"/>
        </w:rPr>
      </w:pPr>
    </w:p>
    <w:p w14:paraId="44F1D032" w14:textId="12DB6143" w:rsidR="0012392E" w:rsidRDefault="0012392E" w:rsidP="004C6754">
      <w:pPr>
        <w:spacing w:line="360" w:lineRule="auto"/>
        <w:rPr>
          <w:rFonts w:ascii="Times New Roman" w:hAnsi="Times New Roman"/>
        </w:rPr>
      </w:pPr>
    </w:p>
    <w:p w14:paraId="052F0E00" w14:textId="769E9DAA" w:rsidR="0012392E" w:rsidRDefault="0012392E" w:rsidP="004C6754">
      <w:pPr>
        <w:spacing w:line="360" w:lineRule="auto"/>
        <w:rPr>
          <w:rFonts w:ascii="Times New Roman" w:hAnsi="Times New Roman"/>
        </w:rPr>
      </w:pPr>
    </w:p>
    <w:p w14:paraId="3E1368A9" w14:textId="3DFF033C" w:rsidR="0012392E" w:rsidRDefault="0012392E" w:rsidP="004C6754">
      <w:pPr>
        <w:spacing w:line="360" w:lineRule="auto"/>
        <w:rPr>
          <w:rFonts w:ascii="Times New Roman" w:hAnsi="Times New Roman"/>
        </w:rPr>
      </w:pPr>
    </w:p>
    <w:p w14:paraId="7B2BE903" w14:textId="6D789D72" w:rsidR="0012392E" w:rsidRDefault="0012392E" w:rsidP="004C6754">
      <w:pPr>
        <w:spacing w:line="360" w:lineRule="auto"/>
        <w:rPr>
          <w:rFonts w:ascii="Times New Roman" w:hAnsi="Times New Roman"/>
        </w:rPr>
      </w:pPr>
    </w:p>
    <w:p w14:paraId="473D07FD" w14:textId="28C41158" w:rsidR="0012392E" w:rsidRDefault="0012392E" w:rsidP="004C6754">
      <w:pPr>
        <w:spacing w:line="360" w:lineRule="auto"/>
        <w:rPr>
          <w:rFonts w:ascii="Times New Roman" w:hAnsi="Times New Roman"/>
        </w:rPr>
      </w:pPr>
    </w:p>
    <w:p w14:paraId="04DA1E76" w14:textId="77777777" w:rsidR="0012392E" w:rsidRPr="00072D85" w:rsidRDefault="0012392E" w:rsidP="004C6754">
      <w:pPr>
        <w:spacing w:line="360" w:lineRule="auto"/>
        <w:rPr>
          <w:rFonts w:ascii="Times New Roman" w:hAnsi="Times New Roman"/>
        </w:rPr>
      </w:pPr>
    </w:p>
    <w:p w14:paraId="1B5AEE87" w14:textId="03A14429" w:rsidR="004C6754" w:rsidRPr="00072D85" w:rsidRDefault="0012392E" w:rsidP="004C6754">
      <w:pPr>
        <w:spacing w:line="360" w:lineRule="auto"/>
        <w:rPr>
          <w:rFonts w:ascii="Times New Roman" w:hAnsi="Times New Roman"/>
          <w:sz w:val="24"/>
          <w:szCs w:val="24"/>
        </w:rPr>
      </w:pPr>
      <w:bookmarkStart w:id="0" w:name="_Toc55467677"/>
      <w:r w:rsidRPr="0012392E">
        <w:rPr>
          <w:rFonts w:ascii="Times New Roman" w:hAnsi="Times New Roman"/>
          <w:b/>
          <w:bCs/>
          <w:sz w:val="24"/>
          <w:szCs w:val="24"/>
        </w:rPr>
        <w:lastRenderedPageBreak/>
        <w:t>Supplementary</w:t>
      </w:r>
      <w:r>
        <w:rPr>
          <w:rFonts w:ascii="Times New Roman" w:hAnsi="Times New Roman"/>
          <w:sz w:val="24"/>
          <w:szCs w:val="24"/>
        </w:rPr>
        <w:t xml:space="preserve"> </w:t>
      </w:r>
      <w:r w:rsidR="004C6754" w:rsidRPr="00072D85">
        <w:rPr>
          <w:rStyle w:val="FigureMariChar"/>
        </w:rPr>
        <w:t xml:space="preserve">Figure </w:t>
      </w:r>
      <w:r>
        <w:rPr>
          <w:rStyle w:val="FigureMariChar"/>
        </w:rPr>
        <w:t>2</w:t>
      </w:r>
      <w:r w:rsidR="004C6754" w:rsidRPr="00072D85">
        <w:rPr>
          <w:rStyle w:val="FigureMariChar"/>
        </w:rPr>
        <w:t xml:space="preserve">. </w:t>
      </w:r>
      <w:r w:rsidR="004C6754" w:rsidRPr="00072D85">
        <w:rPr>
          <w:rStyle w:val="FigureMariChar"/>
          <w:b w:val="0"/>
          <w:bCs w:val="0"/>
        </w:rPr>
        <w:t xml:space="preserve">Change in mRNA levels between the compound </w:t>
      </w:r>
      <w:r w:rsidR="00512B0E" w:rsidRPr="00072D85">
        <w:rPr>
          <w:rStyle w:val="FigureMariChar"/>
          <w:b w:val="0"/>
          <w:bCs w:val="0"/>
        </w:rPr>
        <w:t xml:space="preserve">control group </w:t>
      </w:r>
      <w:r w:rsidR="004C6754" w:rsidRPr="00072D85">
        <w:rPr>
          <w:rStyle w:val="FigureMariChar"/>
          <w:b w:val="0"/>
          <w:bCs w:val="0"/>
        </w:rPr>
        <w:t>(CCG)</w:t>
      </w:r>
      <w:r w:rsidR="00EF11D0" w:rsidRPr="00072D85">
        <w:rPr>
          <w:rStyle w:val="FigureMariChar"/>
          <w:b w:val="0"/>
          <w:bCs w:val="0"/>
        </w:rPr>
        <w:t>, including all compound groups combined,</w:t>
      </w:r>
      <w:r w:rsidR="004C6754" w:rsidRPr="00072D85">
        <w:rPr>
          <w:rStyle w:val="FigureMariChar"/>
          <w:b w:val="0"/>
          <w:bCs w:val="0"/>
        </w:rPr>
        <w:t xml:space="preserve"> and pathogen </w:t>
      </w:r>
      <w:r w:rsidR="00EF11D0" w:rsidRPr="00072D85">
        <w:rPr>
          <w:rStyle w:val="FigureMariChar"/>
          <w:b w:val="0"/>
          <w:bCs w:val="0"/>
        </w:rPr>
        <w:t>control</w:t>
      </w:r>
      <w:r w:rsidR="00512B0E" w:rsidRPr="00072D85">
        <w:rPr>
          <w:rStyle w:val="FigureMariChar"/>
          <w:b w:val="0"/>
          <w:bCs w:val="0"/>
        </w:rPr>
        <w:t xml:space="preserve"> group</w:t>
      </w:r>
      <w:r w:rsidR="004C6754" w:rsidRPr="00072D85">
        <w:rPr>
          <w:rStyle w:val="FigureMariChar"/>
          <w:b w:val="0"/>
          <w:bCs w:val="0"/>
        </w:rPr>
        <w:t xml:space="preserve"> (PCG) </w:t>
      </w:r>
      <w:r w:rsidR="00EF11D0" w:rsidRPr="00072D85">
        <w:rPr>
          <w:rStyle w:val="FigureMariChar"/>
          <w:b w:val="0"/>
          <w:bCs w:val="0"/>
        </w:rPr>
        <w:t>for evaluation of screening method</w:t>
      </w:r>
      <w:r w:rsidR="00512B0E" w:rsidRPr="00072D85">
        <w:rPr>
          <w:rStyle w:val="FigureMariChar"/>
          <w:b w:val="0"/>
          <w:bCs w:val="0"/>
        </w:rPr>
        <w:t xml:space="preserve"> used in current study</w:t>
      </w:r>
      <w:r w:rsidR="004C6754" w:rsidRPr="00072D85">
        <w:rPr>
          <w:rStyle w:val="FigureMariChar"/>
          <w:b w:val="0"/>
          <w:bCs w:val="0"/>
        </w:rPr>
        <w:t>.</w:t>
      </w:r>
      <w:bookmarkEnd w:id="0"/>
      <w:r w:rsidR="004C6754" w:rsidRPr="00072D85">
        <w:rPr>
          <w:rFonts w:ascii="Times New Roman" w:hAnsi="Times New Roman"/>
          <w:b/>
          <w:bCs/>
          <w:sz w:val="24"/>
          <w:szCs w:val="24"/>
        </w:rPr>
        <w:t xml:space="preserve"> </w:t>
      </w:r>
      <w:r w:rsidR="004C6754" w:rsidRPr="00072D85">
        <w:rPr>
          <w:rFonts w:ascii="Times New Roman" w:hAnsi="Times New Roman"/>
          <w:sz w:val="24"/>
          <w:szCs w:val="24"/>
        </w:rPr>
        <w:t>CCG was used as the reference group.</w:t>
      </w:r>
      <w:r w:rsidR="004C6754" w:rsidRPr="00072D85">
        <w:rPr>
          <w:rFonts w:ascii="Times New Roman" w:hAnsi="Times New Roman"/>
          <w:b/>
          <w:bCs/>
          <w:sz w:val="24"/>
          <w:szCs w:val="24"/>
        </w:rPr>
        <w:t xml:space="preserve"> </w:t>
      </w:r>
      <w:r w:rsidR="004C6754" w:rsidRPr="00072D85">
        <w:rPr>
          <w:rFonts w:ascii="Times New Roman" w:hAnsi="Times New Roman"/>
          <w:sz w:val="24"/>
          <w:szCs w:val="24"/>
        </w:rPr>
        <w:t xml:space="preserve">A) Gene expression levels for explants from pigs exposed to </w:t>
      </w:r>
      <w:r w:rsidR="004C6754" w:rsidRPr="00072D85">
        <w:rPr>
          <w:rFonts w:ascii="Times New Roman" w:hAnsi="Times New Roman"/>
          <w:i/>
          <w:iCs/>
          <w:sz w:val="24"/>
          <w:szCs w:val="24"/>
        </w:rPr>
        <w:t xml:space="preserve">B. </w:t>
      </w:r>
      <w:proofErr w:type="spellStart"/>
      <w:r w:rsidR="004C6754" w:rsidRPr="00072D85">
        <w:rPr>
          <w:rFonts w:ascii="Times New Roman" w:hAnsi="Times New Roman"/>
          <w:i/>
          <w:iCs/>
          <w:sz w:val="24"/>
          <w:szCs w:val="24"/>
        </w:rPr>
        <w:t>hyodysenteriae</w:t>
      </w:r>
      <w:proofErr w:type="spellEnd"/>
      <w:r w:rsidR="004C6754" w:rsidRPr="00072D85">
        <w:rPr>
          <w:rFonts w:ascii="Times New Roman" w:hAnsi="Times New Roman"/>
          <w:sz w:val="24"/>
          <w:szCs w:val="24"/>
        </w:rPr>
        <w:t xml:space="preserve">. B) Gene expression levels for explants from pigs exposed to </w:t>
      </w:r>
      <w:r w:rsidR="004C6754" w:rsidRPr="00072D85">
        <w:rPr>
          <w:rFonts w:ascii="Times New Roman" w:hAnsi="Times New Roman"/>
          <w:i/>
          <w:iCs/>
          <w:sz w:val="24"/>
          <w:szCs w:val="24"/>
        </w:rPr>
        <w:t xml:space="preserve">L </w:t>
      </w:r>
      <w:proofErr w:type="spellStart"/>
      <w:r w:rsidR="004C6754" w:rsidRPr="00072D85">
        <w:rPr>
          <w:rFonts w:ascii="Times New Roman" w:hAnsi="Times New Roman"/>
          <w:i/>
          <w:iCs/>
          <w:sz w:val="24"/>
          <w:szCs w:val="24"/>
        </w:rPr>
        <w:t>intracellularis</w:t>
      </w:r>
      <w:proofErr w:type="spellEnd"/>
      <w:r w:rsidR="004C6754" w:rsidRPr="00072D85">
        <w:rPr>
          <w:rFonts w:ascii="Times New Roman" w:hAnsi="Times New Roman"/>
          <w:i/>
          <w:iCs/>
          <w:sz w:val="24"/>
          <w:szCs w:val="24"/>
        </w:rPr>
        <w:t xml:space="preserve">. </w:t>
      </w:r>
      <w:r w:rsidR="004C6754" w:rsidRPr="00072D85">
        <w:rPr>
          <w:rFonts w:ascii="Times New Roman" w:hAnsi="Times New Roman"/>
          <w:sz w:val="24"/>
          <w:szCs w:val="24"/>
        </w:rPr>
        <w:t xml:space="preserve">C) Gene expression levels for explants from pigs exposed to </w:t>
      </w:r>
      <w:r w:rsidR="004C6754" w:rsidRPr="00072D85">
        <w:rPr>
          <w:rFonts w:ascii="Times New Roman" w:hAnsi="Times New Roman"/>
          <w:i/>
          <w:iCs/>
          <w:sz w:val="24"/>
          <w:szCs w:val="24"/>
        </w:rPr>
        <w:t>S</w:t>
      </w:r>
      <w:r w:rsidR="004C6754" w:rsidRPr="00072D85">
        <w:rPr>
          <w:rFonts w:ascii="Times New Roman" w:hAnsi="Times New Roman"/>
          <w:sz w:val="24"/>
          <w:szCs w:val="24"/>
        </w:rPr>
        <w:t>. Typhimurium. Each bar represents mean fold-change, whiskers represent the standard deviation from the mean. Star denotes significant difference (</w:t>
      </w:r>
      <w:r w:rsidR="004C6754" w:rsidRPr="00072D85">
        <w:rPr>
          <w:rFonts w:ascii="Times New Roman" w:hAnsi="Times New Roman"/>
          <w:i/>
          <w:iCs/>
          <w:sz w:val="24"/>
          <w:szCs w:val="24"/>
        </w:rPr>
        <w:t>P</w:t>
      </w:r>
      <w:r w:rsidR="004C6754" w:rsidRPr="00072D85" w:rsidDel="00F64A96">
        <w:rPr>
          <w:rFonts w:ascii="Times New Roman" w:hAnsi="Times New Roman"/>
          <w:sz w:val="24"/>
          <w:szCs w:val="24"/>
        </w:rPr>
        <w:t xml:space="preserve"> </w:t>
      </w:r>
      <w:r w:rsidR="004C6754" w:rsidRPr="00072D85">
        <w:rPr>
          <w:rFonts w:ascii="Times New Roman" w:hAnsi="Times New Roman"/>
          <w:sz w:val="24"/>
          <w:szCs w:val="24"/>
        </w:rPr>
        <w:t>≤ 0.05).</w:t>
      </w:r>
    </w:p>
    <w:p w14:paraId="4CB9FEDA" w14:textId="1103862E" w:rsidR="004C6754" w:rsidRPr="00EC6BF8" w:rsidRDefault="00F455F3" w:rsidP="00EC6BF8">
      <w:r w:rsidRPr="00072D85">
        <w:rPr>
          <w:noProof/>
        </w:rPr>
        <w:drawing>
          <wp:inline distT="0" distB="0" distL="0" distR="0" wp14:anchorId="4F3F41EA" wp14:editId="785649C6">
            <wp:extent cx="5943600" cy="19077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3" t="3231" r="2873" b="8587"/>
                    <a:stretch/>
                  </pic:blipFill>
                  <pic:spPr bwMode="auto">
                    <a:xfrm>
                      <a:off x="0" y="0"/>
                      <a:ext cx="5943600" cy="1907718"/>
                    </a:xfrm>
                    <a:prstGeom prst="rect">
                      <a:avLst/>
                    </a:prstGeom>
                    <a:noFill/>
                    <a:ln>
                      <a:noFill/>
                    </a:ln>
                    <a:extLst>
                      <a:ext uri="{53640926-AAD7-44D8-BBD7-CCE9431645EC}">
                        <a14:shadowObscured xmlns:a14="http://schemas.microsoft.com/office/drawing/2010/main"/>
                      </a:ext>
                    </a:extLst>
                  </pic:spPr>
                </pic:pic>
              </a:graphicData>
            </a:graphic>
          </wp:inline>
        </w:drawing>
      </w:r>
    </w:p>
    <w:sectPr w:rsidR="004C6754" w:rsidRPr="00EC6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F8"/>
    <w:rsid w:val="00072D85"/>
    <w:rsid w:val="000B5AD2"/>
    <w:rsid w:val="0012392E"/>
    <w:rsid w:val="001303C1"/>
    <w:rsid w:val="00136227"/>
    <w:rsid w:val="00190CDE"/>
    <w:rsid w:val="0021045F"/>
    <w:rsid w:val="00275BF5"/>
    <w:rsid w:val="004C6754"/>
    <w:rsid w:val="00512B0E"/>
    <w:rsid w:val="006C4E32"/>
    <w:rsid w:val="00736C8D"/>
    <w:rsid w:val="0083344E"/>
    <w:rsid w:val="00B25339"/>
    <w:rsid w:val="00BE0F6E"/>
    <w:rsid w:val="00D46A32"/>
    <w:rsid w:val="00E817EF"/>
    <w:rsid w:val="00EC6BF8"/>
    <w:rsid w:val="00EE6295"/>
    <w:rsid w:val="00EF11D0"/>
    <w:rsid w:val="00F45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729C"/>
  <w15:chartTrackingRefBased/>
  <w15:docId w15:val="{E98007DD-F6D1-476C-A93C-12BFEF91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BF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C6754"/>
    <w:pPr>
      <w:spacing w:line="240" w:lineRule="auto"/>
    </w:pPr>
    <w:rPr>
      <w:sz w:val="24"/>
      <w:szCs w:val="24"/>
    </w:rPr>
  </w:style>
  <w:style w:type="character" w:customStyle="1" w:styleId="CommentTextChar">
    <w:name w:val="Comment Text Char"/>
    <w:basedOn w:val="DefaultParagraphFont"/>
    <w:link w:val="CommentText"/>
    <w:uiPriority w:val="99"/>
    <w:rsid w:val="004C6754"/>
    <w:rPr>
      <w:rFonts w:ascii="Calibri" w:eastAsia="Calibri" w:hAnsi="Calibri" w:cs="Times New Roman"/>
      <w:sz w:val="24"/>
      <w:szCs w:val="24"/>
    </w:rPr>
  </w:style>
  <w:style w:type="character" w:styleId="CommentReference">
    <w:name w:val="annotation reference"/>
    <w:uiPriority w:val="99"/>
    <w:semiHidden/>
    <w:unhideWhenUsed/>
    <w:rsid w:val="004C6754"/>
    <w:rPr>
      <w:sz w:val="16"/>
      <w:szCs w:val="16"/>
    </w:rPr>
  </w:style>
  <w:style w:type="paragraph" w:customStyle="1" w:styleId="FigureMari">
    <w:name w:val="Figure Mari"/>
    <w:basedOn w:val="Normal"/>
    <w:link w:val="FigureMariChar"/>
    <w:qFormat/>
    <w:rsid w:val="004C6754"/>
    <w:pPr>
      <w:spacing w:line="360" w:lineRule="auto"/>
      <w:ind w:left="90"/>
    </w:pPr>
    <w:rPr>
      <w:rFonts w:ascii="Times New Roman" w:hAnsi="Times New Roman"/>
      <w:b/>
      <w:bCs/>
      <w:sz w:val="24"/>
      <w:szCs w:val="24"/>
    </w:rPr>
  </w:style>
  <w:style w:type="character" w:customStyle="1" w:styleId="FigureMariChar">
    <w:name w:val="Figure Mari Char"/>
    <w:link w:val="FigureMari"/>
    <w:rsid w:val="004C6754"/>
    <w:rPr>
      <w:rFonts w:ascii="Times New Roman" w:eastAsia="Calibri"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400</Words>
  <Characters>2283</Characters>
  <Application>Microsoft Office Word</Application>
  <DocSecurity>0</DocSecurity>
  <Lines>19</Lines>
  <Paragraphs>5</Paragraphs>
  <ScaleCrop>false</ScaleCrop>
  <Company>Nutreco</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de Groot</dc:creator>
  <cp:keywords/>
  <dc:description/>
  <cp:lastModifiedBy>Nienke de Groot</cp:lastModifiedBy>
  <cp:revision>20</cp:revision>
  <dcterms:created xsi:type="dcterms:W3CDTF">2022-01-07T18:38:00Z</dcterms:created>
  <dcterms:modified xsi:type="dcterms:W3CDTF">2022-03-18T20:39:00Z</dcterms:modified>
</cp:coreProperties>
</file>