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SMRT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-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and Illumina</w:t>
      </w:r>
      <w:r>
        <w:rPr>
          <w:rFonts w:hint="default" w:ascii="Times New Roman" w:hAnsi="Times New Roman" w:eastAsia="MS Mincho" w:cs="Times New Roman"/>
          <w:b/>
          <w:bCs/>
          <w:sz w:val="24"/>
          <w:szCs w:val="24"/>
        </w:rPr>
        <w:t>‑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based RNA</w:t>
      </w:r>
      <w:r>
        <w:rPr>
          <w:rFonts w:hint="default" w:ascii="Times New Roman" w:hAnsi="Times New Roman" w:eastAsia="MS Mincho" w:cs="Times New Roman"/>
          <w:b/>
          <w:bCs/>
          <w:sz w:val="24"/>
          <w:szCs w:val="24"/>
        </w:rPr>
        <w:t>‑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seq analyses unveil triterpenoid saponin biosynthesis and related key genes in </w:t>
      </w:r>
      <w:r>
        <w:rPr>
          <w:rFonts w:hint="default" w:ascii="Times New Roman" w:hAnsi="Times New Roman" w:cs="Times New Roman"/>
          <w:b/>
          <w:bCs/>
          <w:i/>
          <w:iCs/>
          <w:sz w:val="24"/>
          <w:szCs w:val="24"/>
        </w:rPr>
        <w:t>Platycodon grandiflorus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 (Jacq.) A. DC.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t>Hanwen Yu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Mengli Liu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Minzhen Yin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Tingyu Shan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Huasheng Peng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1,3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Jutao Wang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Xiangwei Chang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Daiyin Peng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>, Liangping Zha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1,2*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and Shuangying Gui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/>
        </w:rPr>
        <w:t>1*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* Correspondence: zlp_ahtcm@126.com; </w:t>
      </w:r>
      <w:r>
        <w:rPr>
          <w:rFonts w:hint="default" w:ascii="Times New Roman" w:hAnsi="Times New Roman" w:cs="Times New Roman"/>
        </w:rPr>
        <w:fldChar w:fldCharType="begin"/>
      </w:r>
      <w:r>
        <w:rPr>
          <w:rFonts w:hint="default" w:ascii="Times New Roman" w:hAnsi="Times New Roman" w:cs="Times New Roman"/>
        </w:rPr>
        <w:instrText xml:space="preserve"> HYPERLINK "mailto:guishy0520@126.com" </w:instrText>
      </w:r>
      <w:r>
        <w:rPr>
          <w:rFonts w:hint="default" w:ascii="Times New Roman" w:hAnsi="Times New Roman" w:cs="Times New Roman"/>
        </w:rPr>
        <w:fldChar w:fldCharType="separate"/>
      </w:r>
      <w:r>
        <w:rPr>
          <w:rStyle w:val="5"/>
          <w:rFonts w:hint="default" w:ascii="Times New Roman" w:hAnsi="Times New Roman" w:cs="Times New Roman"/>
          <w:color w:val="auto"/>
          <w:sz w:val="24"/>
          <w:szCs w:val="24"/>
          <w:u w:val="none"/>
        </w:rPr>
        <w:t>guishy0520@126.com</w:t>
      </w:r>
      <w:r>
        <w:rPr>
          <w:rStyle w:val="5"/>
          <w:rFonts w:hint="default" w:ascii="Times New Roman" w:hAnsi="Times New Roman" w:cs="Times New Roman"/>
          <w:color w:val="auto"/>
          <w:sz w:val="24"/>
          <w:szCs w:val="24"/>
          <w:u w:val="none"/>
        </w:rPr>
        <w:fldChar w:fldCharType="end"/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sz w:val="24"/>
          <w:szCs w:val="24"/>
        </w:rPr>
        <w:t>College of Pharmacy, Anhui University of Chinese Medicine, Hefei, 230012, China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Full list of author information is available at the end of the article</w:t>
      </w:r>
    </w:p>
    <w:p>
      <w:pPr>
        <w:spacing w:line="480" w:lineRule="auto"/>
        <w:rPr>
          <w:rFonts w:hint="default" w:ascii="Times New Roman" w:hAnsi="Times New Roman" w:cs="Times New Roman"/>
          <w:sz w:val="24"/>
          <w:szCs w:val="28"/>
          <w:lang w:val="en-US"/>
        </w:rPr>
      </w:pPr>
      <w:r>
        <w:rPr>
          <w:rFonts w:hint="default" w:ascii="Times New Roman" w:hAnsi="Times New Roman" w:cs="Times New Roman"/>
          <w:sz w:val="24"/>
          <w:szCs w:val="28"/>
          <w:vertAlign w:val="superscript"/>
          <w:lang w:val="en-US"/>
        </w:rPr>
        <w:t>2</w:t>
      </w:r>
      <w:r>
        <w:rPr>
          <w:rFonts w:hint="default" w:ascii="Times New Roman" w:hAnsi="Times New Roman" w:cs="Times New Roman"/>
          <w:sz w:val="24"/>
          <w:szCs w:val="28"/>
          <w:lang w:val="en-US"/>
        </w:rPr>
        <w:t>Institute of Conservation and Development of Traditional Chinese Medicine Resources, Anhui Academ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8"/>
          <w:lang w:val="en-US"/>
        </w:rPr>
        <w:t>y of Chinese Medicine, Hefei 230012, China</w:t>
      </w:r>
    </w:p>
    <w:p>
      <w:pPr>
        <w:spacing w:line="480" w:lineRule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8"/>
          <w:vertAlign w:val="superscript"/>
          <w:lang w:val="en-US"/>
        </w:rPr>
        <w:t>3</w:t>
      </w:r>
      <w:r>
        <w:rPr>
          <w:rFonts w:hint="default" w:ascii="Times New Roman" w:hAnsi="Times New Roman" w:cs="Times New Roman"/>
          <w:sz w:val="24"/>
          <w:szCs w:val="28"/>
          <w:lang w:val="en-US"/>
        </w:rPr>
        <w:t>Chinese Academy of Medical Sciences Research Unit (No. 2019RU057), National Resource Center for Chinese Materia Medica, China Academy of Chinese Medical Sciences, Beijing 100700, China</w:t>
      </w:r>
    </w:p>
    <w:p>
      <w:pPr>
        <w:pStyle w:val="7"/>
        <w:spacing w:before="0"/>
        <w:ind w:left="0"/>
        <w:jc w:val="left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7"/>
        <w:spacing w:before="0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S1. </w:t>
      </w:r>
      <w:r>
        <w:rPr>
          <w:rFonts w:hint="default" w:ascii="Times New Roman" w:hAnsi="Times New Roman" w:cs="Times New Roman"/>
          <w:bCs/>
          <w:sz w:val="24"/>
          <w:szCs w:val="24"/>
        </w:rPr>
        <w:t>Summary of reads from the RNA-seq data and matches with full-length transcripts.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906"/>
        <w:gridCol w:w="916"/>
        <w:gridCol w:w="1278"/>
        <w:gridCol w:w="1072"/>
        <w:gridCol w:w="1072"/>
        <w:gridCol w:w="1192"/>
        <w:gridCol w:w="11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1159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 Raw Reads (M)</w:t>
            </w:r>
          </w:p>
        </w:tc>
        <w:tc>
          <w:tcPr>
            <w:tcW w:w="120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 Clean Reads (M)</w:t>
            </w:r>
          </w:p>
        </w:tc>
        <w:tc>
          <w:tcPr>
            <w:tcW w:w="13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 Clean Bases(Gb)</w:t>
            </w:r>
          </w:p>
        </w:tc>
        <w:tc>
          <w:tcPr>
            <w:tcW w:w="118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Clean Reads Q20(%)</w:t>
            </w:r>
          </w:p>
        </w:tc>
        <w:tc>
          <w:tcPr>
            <w:tcW w:w="118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Clean Reads Q30(%)</w:t>
            </w:r>
          </w:p>
        </w:tc>
        <w:tc>
          <w:tcPr>
            <w:tcW w:w="125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Clean Reads Ratio(%)</w:t>
            </w:r>
          </w:p>
        </w:tc>
        <w:tc>
          <w:tcPr>
            <w:tcW w:w="125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Mapped</w:t>
            </w:r>
          </w:p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reads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PgS1</w:t>
            </w:r>
          </w:p>
        </w:tc>
        <w:tc>
          <w:tcPr>
            <w:tcW w:w="1159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49.08</w:t>
            </w:r>
          </w:p>
        </w:tc>
        <w:tc>
          <w:tcPr>
            <w:tcW w:w="120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44.63</w:t>
            </w:r>
          </w:p>
        </w:tc>
        <w:tc>
          <w:tcPr>
            <w:tcW w:w="131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6.69</w:t>
            </w:r>
          </w:p>
        </w:tc>
        <w:tc>
          <w:tcPr>
            <w:tcW w:w="118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97.53</w:t>
            </w:r>
          </w:p>
        </w:tc>
        <w:tc>
          <w:tcPr>
            <w:tcW w:w="1188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90.16</w:t>
            </w:r>
          </w:p>
        </w:tc>
        <w:tc>
          <w:tcPr>
            <w:tcW w:w="125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90.93</w:t>
            </w:r>
          </w:p>
        </w:tc>
        <w:tc>
          <w:tcPr>
            <w:tcW w:w="125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79.46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PgS2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49.08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43.92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6.59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97.48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89.49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78.26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PgS3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47.33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43.02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6.45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97.41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89.78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90.89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79.43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PgL1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47.33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42.85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6.43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97.32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89.45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90.55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81.22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PgL2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47.33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42.89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6.43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97.39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89.72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90.63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81.79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PgL3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49.08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44.73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6.71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97.37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89.64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91.14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81.24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PgR1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45.57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42.1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6.32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97.56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89.97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92.38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79.82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PgR2</w:t>
            </w:r>
          </w:p>
        </w:tc>
        <w:tc>
          <w:tcPr>
            <w:tcW w:w="115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47.25</w:t>
            </w:r>
          </w:p>
        </w:tc>
        <w:tc>
          <w:tcPr>
            <w:tcW w:w="12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42.63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6.4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97.45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89.92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90.23</w:t>
            </w:r>
          </w:p>
        </w:tc>
        <w:tc>
          <w:tcPr>
            <w:tcW w:w="125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77.64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2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PgR3</w:t>
            </w:r>
          </w:p>
        </w:tc>
        <w:tc>
          <w:tcPr>
            <w:tcW w:w="1159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47.33</w:t>
            </w:r>
          </w:p>
        </w:tc>
        <w:tc>
          <w:tcPr>
            <w:tcW w:w="1207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42.92</w:t>
            </w:r>
          </w:p>
        </w:tc>
        <w:tc>
          <w:tcPr>
            <w:tcW w:w="1311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6.44</w:t>
            </w:r>
          </w:p>
        </w:tc>
        <w:tc>
          <w:tcPr>
            <w:tcW w:w="1188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97.41</w:t>
            </w:r>
          </w:p>
        </w:tc>
        <w:tc>
          <w:tcPr>
            <w:tcW w:w="1188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89.83</w:t>
            </w:r>
          </w:p>
        </w:tc>
        <w:tc>
          <w:tcPr>
            <w:tcW w:w="1257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90.7</w:t>
            </w:r>
          </w:p>
        </w:tc>
        <w:tc>
          <w:tcPr>
            <w:tcW w:w="1257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kern w:val="0"/>
                <w:sz w:val="24"/>
                <w:szCs w:val="24"/>
              </w:rPr>
              <w:t>78.13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hint="default" w:ascii="Times New Roman" w:hAnsi="Times New Roman" w:eastAsia="Times New Roman" w:cs="Times New Roman"/>
          <w:b/>
          <w:color w:val="000000"/>
          <w:kern w:val="0"/>
          <w:sz w:val="24"/>
          <w:szCs w:val="24"/>
          <w:lang w:eastAsia="de-DE" w:bidi="en-US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br w:type="page"/>
      </w:r>
    </w:p>
    <w:p>
      <w:pPr>
        <w:pStyle w:val="7"/>
        <w:spacing w:before="0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S2. 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KEGG annotation of the </w:t>
      </w:r>
      <w:r>
        <w:rPr>
          <w:rFonts w:hint="default" w:ascii="Times New Roman" w:hAnsi="Times New Roman" w:cs="Times New Roman"/>
          <w:bCs/>
          <w:i/>
          <w:iCs/>
          <w:sz w:val="24"/>
          <w:szCs w:val="24"/>
        </w:rPr>
        <w:t xml:space="preserve">P. grandiflorus </w:t>
      </w:r>
      <w:r>
        <w:rPr>
          <w:rFonts w:hint="default" w:ascii="Times New Roman" w:hAnsi="Times New Roman" w:cs="Times New Roman"/>
          <w:bCs/>
          <w:sz w:val="24"/>
          <w:szCs w:val="24"/>
        </w:rPr>
        <w:t>from ISO-seq.</w:t>
      </w:r>
    </w:p>
    <w:tbl>
      <w:tblPr>
        <w:tblStyle w:val="3"/>
        <w:tblW w:w="712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1"/>
        <w:gridCol w:w="198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spacing w:line="240" w:lineRule="atLeast"/>
              <w:jc w:val="left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Pathway</w:t>
            </w:r>
          </w:p>
        </w:tc>
        <w:tc>
          <w:tcPr>
            <w:tcW w:w="1981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spacing w:line="240" w:lineRule="atLeast"/>
              <w:jc w:val="left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Gene number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transport and catabolism</w:t>
            </w:r>
          </w:p>
        </w:tc>
        <w:tc>
          <w:tcPr>
            <w:tcW w:w="198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4495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signal transduction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4726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membrane transport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translation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11434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folding, sorting and degradation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7137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transcription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5067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replication and repair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1227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global and overview maps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26717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carbohydrate metabolism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11660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energy metabolism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6824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amino acid metabolism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5613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lipid metabolism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4446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metabolism of cofactors and vitamins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biosynthesis of other secondary metabolites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2893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metabolism of other amino acids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2736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metabolism of terpenoidsand polyketides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1765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glycan biosynthesis and metabolism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1669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nucleotide metabolism</w:t>
            </w:r>
          </w:p>
        </w:tc>
        <w:tc>
          <w:tcPr>
            <w:tcW w:w="198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1341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141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environmental adaptation</w:t>
            </w:r>
          </w:p>
        </w:tc>
        <w:tc>
          <w:tcPr>
            <w:tcW w:w="1981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3370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7"/>
        <w:spacing w:before="0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S3. </w:t>
      </w:r>
      <w:r>
        <w:rPr>
          <w:rFonts w:hint="default" w:ascii="Times New Roman" w:hAnsi="Times New Roman" w:cs="Times New Roman"/>
          <w:bCs/>
          <w:sz w:val="24"/>
          <w:szCs w:val="24"/>
        </w:rPr>
        <w:t>KOG annotation of the</w:t>
      </w:r>
      <w:r>
        <w:rPr>
          <w:rFonts w:hint="default" w:ascii="Times New Roman" w:hAnsi="Times New Roman" w:cs="Times New Roman"/>
          <w:bCs/>
          <w:i/>
          <w:iCs/>
          <w:sz w:val="24"/>
          <w:szCs w:val="24"/>
        </w:rPr>
        <w:t xml:space="preserve"> P. grandiflorus </w:t>
      </w:r>
      <w:r>
        <w:rPr>
          <w:rFonts w:hint="default" w:ascii="Times New Roman" w:hAnsi="Times New Roman" w:cs="Times New Roman"/>
          <w:bCs/>
          <w:sz w:val="24"/>
          <w:szCs w:val="24"/>
        </w:rPr>
        <w:t>from ISO-seq.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5"/>
        <w:gridCol w:w="210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Pathway</w:t>
            </w:r>
          </w:p>
        </w:tc>
        <w:tc>
          <w:tcPr>
            <w:tcW w:w="2102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Gene number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translation, ribosomal structure and biogenesis</w:t>
            </w:r>
          </w:p>
        </w:tc>
        <w:tc>
          <w:tcPr>
            <w:tcW w:w="210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9062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transcription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8904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signal transduction mechanisms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16154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secondary metabolites biosynthesis, and catabolism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3553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RNA processing and modification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7116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replication, recombination and repair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2204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posttranslational modification, protein turnover, chaperones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13603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nucleotide transport and metabolism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nuclear structure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lipid transport and metabolism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4891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intracellular trafficking, secretion, and vesicular transport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5602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inorganic ion transport and metabolism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3239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genreral function prediction only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2409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function unknown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11769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extracellular structures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2093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energy production and conversion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6127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defense mechanisms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2461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cytoskeleton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coenzyme transport and metabolism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chromatin structure and dynamics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1620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 wall/membrane/envelope biogenesis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5107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 motility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 cycle control, cell division, chromosome partitioning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carbohydrate transport and metabolism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9270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35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amino acid transport and metabolism</w:t>
            </w:r>
          </w:p>
        </w:tc>
        <w:tc>
          <w:tcPr>
            <w:tcW w:w="2102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4313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7"/>
        <w:spacing w:before="0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S4. 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GO annotation of the </w:t>
      </w:r>
      <w:r>
        <w:rPr>
          <w:rFonts w:hint="default" w:ascii="Times New Roman" w:hAnsi="Times New Roman" w:cs="Times New Roman"/>
          <w:bCs/>
          <w:i/>
          <w:iCs/>
          <w:sz w:val="24"/>
          <w:szCs w:val="24"/>
        </w:rPr>
        <w:t xml:space="preserve">P. grandiflorus </w:t>
      </w:r>
      <w:r>
        <w:rPr>
          <w:rFonts w:hint="default" w:ascii="Times New Roman" w:hAnsi="Times New Roman" w:cs="Times New Roman"/>
          <w:bCs/>
          <w:sz w:val="24"/>
          <w:szCs w:val="24"/>
        </w:rPr>
        <w:t>from ISO-seq.</w:t>
      </w:r>
    </w:p>
    <w:tbl>
      <w:tblPr>
        <w:tblStyle w:val="3"/>
        <w:tblW w:w="888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7"/>
        <w:gridCol w:w="4750"/>
        <w:gridCol w:w="1660"/>
        <w:gridCol w:w="1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234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spacing w:line="240" w:lineRule="atLeast"/>
              <w:jc w:val="left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Ontology</w:t>
            </w:r>
          </w:p>
        </w:tc>
        <w:tc>
          <w:tcPr>
            <w:tcW w:w="4750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spacing w:line="240" w:lineRule="atLeast"/>
              <w:jc w:val="left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Class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spacing w:line="240" w:lineRule="atLeast"/>
              <w:jc w:val="left"/>
              <w:textAlignment w:val="top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Gene Number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celluar process</w:t>
            </w:r>
          </w:p>
        </w:tc>
        <w:tc>
          <w:tcPr>
            <w:tcW w:w="166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32599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metabolic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31386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regulation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9160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regulation of biological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8244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localization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6900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 organization or biogenesis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6404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signaling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developmental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2715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multicellular organismal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1733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negative regulation of biological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1511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reproductive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positive regulation of biological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multi-organism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growth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immune system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rhythmic process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detoxification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 proliferation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pigmentation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nitrogen utilization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adhesion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carbon utilization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locomotion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Biological process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 killing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 part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membrane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33138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membrane part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32595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organelle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35698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macromolecular complex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23234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organelle part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23231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membrane-enclosed lumen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10512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extracellular region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10442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 junction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1944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symplast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supramolecular complex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virion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virion part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extracellular region part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nuclecid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catalytic activity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binding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transporter activity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39497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stuctural molecule activity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38521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transcription regulator activity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4667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signal transducer activity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3203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function regulator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1679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transducer activity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antioxidant activity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nutrient reservoir activity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molecular carrier activity</w:t>
            </w:r>
          </w:p>
        </w:tc>
        <w:tc>
          <w:tcPr>
            <w:tcW w:w="166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0" w:type="dxa"/>
          <w:jc w:val="center"/>
        </w:trPr>
        <w:tc>
          <w:tcPr>
            <w:tcW w:w="2347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Cellular component</w:t>
            </w:r>
          </w:p>
        </w:tc>
        <w:tc>
          <w:tcPr>
            <w:tcW w:w="475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protein tag</w:t>
            </w:r>
          </w:p>
        </w:tc>
        <w:tc>
          <w:tcPr>
            <w:tcW w:w="166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7"/>
        <w:spacing w:before="0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Table S5.</w:t>
      </w:r>
      <w:r>
        <w:rPr>
          <w:rFonts w:hint="default" w:ascii="Times New Roman" w:hAnsi="Times New Roman" w:cs="Times New Roman"/>
          <w:bCs/>
          <w:sz w:val="24"/>
          <w:szCs w:val="24"/>
        </w:rPr>
        <w:t xml:space="preserve"> Classification of TF family.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172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TF Family</w:t>
            </w:r>
          </w:p>
        </w:tc>
        <w:tc>
          <w:tcPr>
            <w:tcW w:w="2841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Gene number</w:t>
            </w:r>
          </w:p>
        </w:tc>
        <w:tc>
          <w:tcPr>
            <w:tcW w:w="1725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mTERF</w:t>
            </w:r>
          </w:p>
        </w:tc>
        <w:tc>
          <w:tcPr>
            <w:tcW w:w="2841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313</w:t>
            </w:r>
          </w:p>
        </w:tc>
        <w:tc>
          <w:tcPr>
            <w:tcW w:w="1725" w:type="dxa"/>
            <w:tcBorders>
              <w:top w:val="single" w:color="auto" w:sz="6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MYB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281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bHLH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262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AP2-EREBP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259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GRAS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205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C3H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165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WRKY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131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NAC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111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Trihelix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103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C2H2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G2-like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SBP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C2C2-GATA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TCP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ARF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FAR1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Tify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C2C2-Dof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HSF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TUB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ABI3VP1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Alfin-like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FHA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Sigma70-like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RWP-RK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HB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MADS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C2C2-CO-like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LIM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BES1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BBR/BPC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ARR-B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BSD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EIL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TAZ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bZIP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SRS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TIG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OFP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GeBP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CPP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LOB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HRT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CSD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S1Fa-like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Zn-clus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E2F-DP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VOZ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PLATZ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GRF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C2C2-YABBY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PBF-2-like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VARL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DBP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ULT</w:t>
            </w:r>
          </w:p>
        </w:tc>
        <w:tc>
          <w:tcPr>
            <w:tcW w:w="2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72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NOZZLE</w:t>
            </w:r>
          </w:p>
        </w:tc>
        <w:tc>
          <w:tcPr>
            <w:tcW w:w="2841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725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3469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7"/>
        <w:spacing w:before="0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S6. </w:t>
      </w:r>
      <w:r>
        <w:rPr>
          <w:rFonts w:hint="default" w:ascii="Times New Roman" w:hAnsi="Times New Roman" w:cs="Times New Roman"/>
          <w:bCs/>
          <w:sz w:val="24"/>
          <w:szCs w:val="24"/>
        </w:rPr>
        <w:t>Information of TFs related to metabolic pathway.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4973"/>
        <w:gridCol w:w="160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Gene ID</w:t>
            </w:r>
          </w:p>
        </w:tc>
        <w:tc>
          <w:tcPr>
            <w:tcW w:w="4973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Pathway Name</w:t>
            </w:r>
          </w:p>
        </w:tc>
        <w:tc>
          <w:tcPr>
            <w:tcW w:w="1607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TF family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isoform_169310</w:t>
            </w:r>
          </w:p>
        </w:tc>
        <w:tc>
          <w:tcPr>
            <w:tcW w:w="4973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 of terpenoids and polyketides</w:t>
            </w:r>
          </w:p>
        </w:tc>
        <w:tc>
          <w:tcPr>
            <w:tcW w:w="160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isoform_78406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 of terpenoids and polyketides</w:t>
            </w:r>
          </w:p>
        </w:tc>
        <w:tc>
          <w:tcPr>
            <w:tcW w:w="1607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isoform_22695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 of terpenoids and polyketides</w:t>
            </w:r>
          </w:p>
        </w:tc>
        <w:tc>
          <w:tcPr>
            <w:tcW w:w="1607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isoform_125654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 of terpenoids and polyketides</w:t>
            </w:r>
          </w:p>
        </w:tc>
        <w:tc>
          <w:tcPr>
            <w:tcW w:w="1607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isoform_43591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 of terpenoids and polyketides</w:t>
            </w:r>
          </w:p>
        </w:tc>
        <w:tc>
          <w:tcPr>
            <w:tcW w:w="1607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isoform_48644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 of terpenoids and polyketides</w:t>
            </w:r>
          </w:p>
        </w:tc>
        <w:tc>
          <w:tcPr>
            <w:tcW w:w="1607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isoform_17408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 of terpenoids and polyketides</w:t>
            </w:r>
          </w:p>
        </w:tc>
        <w:tc>
          <w:tcPr>
            <w:tcW w:w="1607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isoform_3621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Metabolism of terpenoids and polyketides</w:t>
            </w:r>
          </w:p>
        </w:tc>
        <w:tc>
          <w:tcPr>
            <w:tcW w:w="1607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FHA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isoform_10099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isoform_114861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isoform_150965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isoform_163230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isoform_167666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isoform_20932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isoform_24714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isoform_27591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isoform_28394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isoform_32193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isoform_35598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isoform_46939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isoform_63743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isoform_85064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zf-HD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isoform_87264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MYB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isoform_100727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MYB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isoform_164109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MYB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isoform_171318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MYB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isoform_19915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MYB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isoform_172472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RWP-RK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isoform_32512</w:t>
            </w:r>
          </w:p>
        </w:tc>
        <w:tc>
          <w:tcPr>
            <w:tcW w:w="4973" w:type="dxa"/>
            <w:tcBorders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RWP-RK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7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isoform_155421</w:t>
            </w:r>
          </w:p>
        </w:tc>
        <w:tc>
          <w:tcPr>
            <w:tcW w:w="4973" w:type="dxa"/>
            <w:tcBorders>
              <w:bottom w:val="single" w:color="auto" w:sz="12" w:space="0"/>
              <w:tl2br w:val="nil"/>
              <w:tr2bl w:val="nil"/>
            </w:tcBorders>
          </w:tcPr>
          <w:p>
            <w:pPr>
              <w:spacing w:line="200" w:lineRule="atLeas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Biosynthesis of other secondary metabolites</w:t>
            </w:r>
          </w:p>
        </w:tc>
        <w:tc>
          <w:tcPr>
            <w:tcW w:w="1607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spacing w:line="20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C2C2-CO-like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7"/>
        <w:spacing w:before="0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S7. </w:t>
      </w:r>
      <w:r>
        <w:rPr>
          <w:rFonts w:hint="default" w:ascii="Times New Roman" w:hAnsi="Times New Roman" w:cs="Times New Roman"/>
          <w:bCs/>
          <w:sz w:val="24"/>
          <w:szCs w:val="24"/>
        </w:rPr>
        <w:t>The identified DEGs of triterpnoid saponin pathway in</w:t>
      </w:r>
      <w:r>
        <w:rPr>
          <w:rFonts w:hint="default" w:ascii="Times New Roman" w:hAnsi="Times New Roman" w:cs="Times New Roman"/>
          <w:bCs/>
          <w:i/>
          <w:iCs/>
          <w:sz w:val="24"/>
          <w:szCs w:val="24"/>
        </w:rPr>
        <w:t xml:space="preserve"> P. grandiflorus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3"/>
        <w:tblW w:w="835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666"/>
        <w:gridCol w:w="1524"/>
        <w:gridCol w:w="1885"/>
        <w:gridCol w:w="165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Abbreviation</w:t>
            </w:r>
          </w:p>
        </w:tc>
        <w:tc>
          <w:tcPr>
            <w:tcW w:w="1666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EC number</w:t>
            </w:r>
          </w:p>
        </w:tc>
        <w:tc>
          <w:tcPr>
            <w:tcW w:w="1524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Leaf vs. Root</w:t>
            </w:r>
          </w:p>
        </w:tc>
        <w:tc>
          <w:tcPr>
            <w:tcW w:w="188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Leaf vs. Stem</w:t>
            </w:r>
          </w:p>
        </w:tc>
        <w:tc>
          <w:tcPr>
            <w:tcW w:w="1659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Stem vs. Root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AACT</w:t>
            </w:r>
          </w:p>
        </w:tc>
        <w:tc>
          <w:tcPr>
            <w:tcW w:w="1666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2.3.1.9</w:t>
            </w:r>
          </w:p>
        </w:tc>
        <w:tc>
          <w:tcPr>
            <w:tcW w:w="1524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88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65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HMGS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2.3.3.10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HMGR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1.1.1.34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MK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2.7.1.36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PMK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2.7.4.2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MDC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4.6.1.12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DXS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2.2.1.7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DXR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1.1.1.267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MCT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2.7.7.60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CMK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2.7.1.148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MCS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4.6.1.12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HDS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1.17.7.1, 1.17.7.3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HDR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1.17.7.4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IDI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5.3.3.2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FPPS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2.5.1.1</w:t>
            </w:r>
            <w:r>
              <w:rPr>
                <w:rStyle w:val="6"/>
                <w:rFonts w:hint="default" w:ascii="Times New Roman" w:hAnsi="Times New Roman" w:cs="Times New Roman"/>
                <w:sz w:val="24"/>
                <w:szCs w:val="24"/>
                <w:lang w:bidi="ar"/>
              </w:rPr>
              <w:t>, 2.5.1.10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SQS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2.5.1.21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SQE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1.14.14.17</w:t>
            </w:r>
          </w:p>
        </w:tc>
        <w:tc>
          <w:tcPr>
            <w:tcW w:w="15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8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8" w:type="dxa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β-AS</w:t>
            </w:r>
          </w:p>
        </w:tc>
        <w:tc>
          <w:tcPr>
            <w:tcW w:w="1666" w:type="dxa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5.4.99.39</w:t>
            </w:r>
          </w:p>
        </w:tc>
        <w:tc>
          <w:tcPr>
            <w:tcW w:w="1524" w:type="dxa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885" w:type="dxa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59" w:type="dxa"/>
            <w:tcBorders>
              <w:bottom w:val="single" w:color="auto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</w:tr>
    </w:tbl>
    <w:p>
      <w:pPr>
        <w:jc w:val="center"/>
        <w:rPr>
          <w:rFonts w:hint="default" w:ascii="Times New Roman" w:hAnsi="Times New Roman" w:eastAsia="宋体" w:cs="Times New Roman"/>
          <w:i/>
          <w:color w:val="000000"/>
          <w:sz w:val="24"/>
          <w:szCs w:val="24"/>
          <w:lang w:bidi="ar"/>
        </w:rPr>
      </w:pPr>
      <w:r>
        <w:rPr>
          <w:rFonts w:hint="default" w:ascii="Times New Roman" w:hAnsi="Times New Roman" w:eastAsia="宋体" w:cs="Times New Roman"/>
          <w:i/>
          <w:color w:val="000000"/>
          <w:sz w:val="24"/>
          <w:szCs w:val="24"/>
          <w:lang w:bidi="ar"/>
        </w:rPr>
        <w:br w:type="page"/>
      </w:r>
    </w:p>
    <w:p>
      <w:pPr>
        <w:pStyle w:val="7"/>
        <w:spacing w:before="0" w:line="240" w:lineRule="atLeast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S8. </w:t>
      </w:r>
      <w:r>
        <w:rPr>
          <w:rFonts w:hint="default" w:ascii="Times New Roman" w:hAnsi="Times New Roman" w:cs="Times New Roman"/>
          <w:bCs/>
          <w:sz w:val="24"/>
          <w:szCs w:val="24"/>
        </w:rPr>
        <w:t>Relevant OSCs sequences for phylogenetic analysis.</w:t>
      </w:r>
    </w:p>
    <w:tbl>
      <w:tblPr>
        <w:tblStyle w:val="3"/>
        <w:tblW w:w="875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270"/>
        <w:gridCol w:w="3220"/>
        <w:gridCol w:w="280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Enzymes</w:t>
            </w:r>
          </w:p>
        </w:tc>
        <w:tc>
          <w:tcPr>
            <w:tcW w:w="1276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Gene name</w:t>
            </w:r>
          </w:p>
        </w:tc>
        <w:tc>
          <w:tcPr>
            <w:tcW w:w="3260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Species</w:t>
            </w:r>
          </w:p>
        </w:tc>
        <w:tc>
          <w:tcPr>
            <w:tcW w:w="2835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 w:themeColor="text1"/>
                <w:kern w:val="2"/>
                <w:sz w:val="24"/>
                <w:szCs w:val="24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Genbank accession number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restart"/>
            <w:tcBorders>
              <w:top w:val="single" w:color="auto" w:sz="6" w:space="0"/>
            </w:tcBorders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eastAsia="zh-CN" w:bidi="ar"/>
              </w:rPr>
              <w:t>Cycloartenol synthetase</w:t>
            </w:r>
          </w:p>
        </w:tc>
        <w:tc>
          <w:tcPr>
            <w:tcW w:w="1276" w:type="dxa"/>
            <w:tcBorders>
              <w:top w:val="single" w:color="auto" w:sz="6" w:space="0"/>
            </w:tcBorders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AtCAS</w:t>
            </w:r>
          </w:p>
        </w:tc>
        <w:tc>
          <w:tcPr>
            <w:tcW w:w="3260" w:type="dxa"/>
            <w:tcBorders>
              <w:top w:val="single" w:color="auto" w:sz="6" w:space="0"/>
            </w:tcBorders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Arabidopsis thaliana</w:t>
            </w:r>
          </w:p>
        </w:tc>
        <w:tc>
          <w:tcPr>
            <w:tcW w:w="2835" w:type="dxa"/>
            <w:tcBorders>
              <w:top w:val="single" w:color="auto" w:sz="6" w:space="0"/>
            </w:tcBorders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AAC04931.1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RcCAS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Ricinus communis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NP_001310632.1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ArCAS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Asparagus racemosus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AYR16641.1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DcCAS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Dendrobium catenatum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PKU64407.1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SlCAS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Solanum lycopersicum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NP_001233784.1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CrCAS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Chlamydomonas reinhardtii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XP_001689874.1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PsCAS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Panax sokpayensis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AMT75535.1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NtCAS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Nicotiana tabacum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AIY33888.1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PpCAS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Paris polyphylla var. yunnanensis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AFS49705.1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StCAS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Solanum tuberosum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ANO46458.1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GgCAS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Glycyrrhiza glabra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BAA76902.1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restart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eastAsia="zh-CN" w:bidi="ar"/>
              </w:rPr>
              <w:t>Lupeol synthetase</w:t>
            </w: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WsLUS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"https://www.ncbi.nlm.nih.gov/protein/AGA17939.1" \o "https://www.ncbi.nlm.nih.gov/protein/AGA17939.1"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Withania somnifera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AGA17939.1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ToLUS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"https://www.ncbi.nlm.nih.gov/protein/BAA86932.1" \o "https://www.ncbi.nlm.nih.gov/protein/BAA86932.1"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Taraxacum officinale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BAA86932.1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OeLUS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Olea europaea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BAA86930.1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LjLUS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Lotus japonicus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BAE53430.1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SsLUS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"https://www.ncbi.nlm.nih.gov/protein/TKY60766.1" \o "https://www.ncbi.nlm.nih.gov/protein/TKY60766.1"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Spatholobus suberectus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TKY60766.1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MtLUS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Medicago truncatula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XP_013451812.1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AdLUS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Arachis duranensis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XP_015966364.1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AaLUS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Artemisia annua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AJE29379.1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LUS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Quercus suber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QJX36710.1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TaLUS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Terminalia arjuna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QIR30798.1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BpLUS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"https://www.ncbi.nlm.nih.gov/protein/BAB83087.1" \o "https://www.ncbi.nlm.nih.gov/protein/BAB83087.1"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Betula platyphylla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BAB83087.1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restart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eastAsia="zh-CN" w:bidi="ar"/>
              </w:rPr>
              <w:t>Lanosterol synthetase</w:t>
            </w: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ElLS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"https://www.ncbi.nlm.nih.gov/protein/QBQ04198.1" \o "https://www.ncbi.nlm.nih.gov/protein/QBQ04198.1"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Euphorbia lathyris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QBQ04198.1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LjLS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Lotus japonicus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BAE95410.1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AtLS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Arabidopsis thaliana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BAE95408.1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StLS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Solanum tuberosum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ANO46457.1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NcLS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instrText xml:space="preserve"> HYPERLINK "https://www.ncbi.nlm.nih.gov/protein/JAU20243.1" \o "https://www.ncbi.nlm.nih.gov/protein/JAU20243.1" </w:instrTex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Noccaea caerulescens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JAU20243.1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EsLS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Eutrema salsugineum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XP_006408625.1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OsLS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Ononis spinosa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AUD10126.1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VrLS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Vigna radiata var. radiata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XP_014516524.1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ThLS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Tarenaya hassleriana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XP_010520562.1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AlLS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Arabidopsis lyrata subsp.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XP_002877385.1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ArLS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Actinidia rufa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GFS43723.1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restart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eastAsia="zh-CN" w:bidi="ar"/>
              </w:rPr>
              <w:t>Beta-amyrin synthase</w:t>
            </w: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BcβAS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Bupleurum chinense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ADM89633.1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BvβAS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Barbarea vulgaris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AFF27506.1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EbβAS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Eschenbachia blinii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ASW22752.1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CcβAS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Cynara cardunculus var. scolymus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XP_024993750.1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CpβAS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Cucurbita pepo subsp. pepo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XP_023520471.1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MdAS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Malus domestica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NP_001280946.1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NtβAS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Nicotiana tabacum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XP_016436026.1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PtβAS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Polygala tenuifolia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ABL07607.1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PeβAS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Populus euphratica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XP_011031248.1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GuβAS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Glycyrrhiza uralensis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QMX78162.1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VvβAS1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Vitis vinifera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XP_010655248.1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VvβAS2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Vitis vinifera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RVW62838.1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WsβAS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Withania somnifera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AGA17940.1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HaβAS1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Helianthus annuus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XP_022002014.1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HaβAS2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Helianthus annuus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XP_022029164.1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GgβAS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Glycyrrhiza glabra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BAA89815.1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GiβAS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Glycyrrhiza inflata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ARB43807.1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AaβAS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Artemisia annua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ACA13386.1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DcβAS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Daucus carota subsp. sativus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XP_017244446.1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PqβAS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Panax quinquefolius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AGG09939.1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GaβAS</w:t>
            </w:r>
          </w:p>
        </w:tc>
        <w:tc>
          <w:tcPr>
            <w:tcW w:w="3260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Gossypium arboreum</w:t>
            </w:r>
          </w:p>
        </w:tc>
        <w:tc>
          <w:tcPr>
            <w:tcW w:w="2835" w:type="dxa"/>
            <w:vAlign w:val="center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KHG28306.1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PgβAS1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Panax ginseng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BAD15332.1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PgβAS2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Panax ginseng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BAA33722.1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vMerge w:val="continue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PgβAS3</w:t>
            </w:r>
          </w:p>
        </w:tc>
        <w:tc>
          <w:tcPr>
            <w:tcW w:w="3260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Panax ginseng</w:t>
            </w:r>
          </w:p>
        </w:tc>
        <w:tc>
          <w:tcPr>
            <w:tcW w:w="2835" w:type="dxa"/>
          </w:tcPr>
          <w:p>
            <w:pPr>
              <w:pStyle w:val="7"/>
              <w:widowControl w:val="0"/>
              <w:spacing w:before="0" w:line="240" w:lineRule="atLeast"/>
              <w:ind w:left="0"/>
              <w:jc w:val="left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BAA33461.1</w:t>
            </w:r>
          </w:p>
        </w:tc>
      </w:tr>
    </w:tbl>
    <w:p>
      <w:pPr>
        <w:pStyle w:val="7"/>
        <w:spacing w:before="0" w:line="240" w:lineRule="atLeast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</w:p>
    <w:p>
      <w:pPr>
        <w:pStyle w:val="7"/>
        <w:spacing w:before="0"/>
        <w:ind w:left="0"/>
        <w:jc w:val="left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jc w:val="left"/>
        <w:rPr>
          <w:rFonts w:hint="default" w:ascii="Times New Roman" w:hAnsi="Times New Roman" w:cs="Times New Roman"/>
          <w:sz w:val="24"/>
          <w:szCs w:val="24"/>
        </w:rPr>
      </w:pPr>
    </w:p>
    <w:p>
      <w:pPr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>
      <w:pPr>
        <w:pStyle w:val="7"/>
        <w:spacing w:before="0" w:line="240" w:lineRule="atLeast"/>
        <w:ind w:left="0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S9 </w:t>
      </w:r>
      <w:r>
        <w:rPr>
          <w:rFonts w:hint="default" w:ascii="Times New Roman" w:hAnsi="Times New Roman" w:cs="Times New Roman"/>
          <w:bCs/>
          <w:sz w:val="24"/>
          <w:szCs w:val="24"/>
        </w:rPr>
        <w:t>Primers of genes for qRT-PCR analysis.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6"/>
        <w:gridCol w:w="444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op w:val="single" w:color="auto" w:sz="12" w:space="0"/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Gene name</w:t>
            </w:r>
          </w:p>
        </w:tc>
        <w:tc>
          <w:tcPr>
            <w:tcW w:w="4431" w:type="dxa"/>
            <w:tcBorders>
              <w:top w:val="single" w:color="auto" w:sz="12" w:space="0"/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bidi="ar"/>
              </w:rPr>
              <w:t>Primers sequence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β-actinF</w:t>
            </w:r>
          </w:p>
        </w:tc>
        <w:tc>
          <w:tcPr>
            <w:tcW w:w="443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131413"/>
                <w:kern w:val="0"/>
                <w:sz w:val="24"/>
                <w:szCs w:val="24"/>
                <w:lang w:bidi="ar"/>
              </w:rPr>
              <w:t>GATGACATGGAAAAGATTTGGCATC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β-actinR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AAGGATGGCATGAGGGAGGGCGTAA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PgDXR1F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TCTGCTCCGAGATTACTAGGC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PgDXR2R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AAGAACTCCAGTCATAGTACCACC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PgHDR1F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TTACATTCTTGGTGGTGAACTCG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PgHDR1R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TATTTACGCATCATGGTCCTC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PgHMGR1F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AAGGGCGTGGGAAGTCA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PgHMGR1R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GGATCCTGACCAGTGGCAATA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PgHMGR2F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GACAAGAAGCCAGCAGCAGT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PgHMGR2R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AGGTCCTTGCCGTCATTCA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PgHMGS1F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CAAAGCAAGTCGGCAACATG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PgHMGS1R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AGAACATCGTAGCAGATAAACCAC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PgAACT1F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GGCAGAAGAACGGTAAATATGG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PgAACT1R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TCGAACCTAAATACAACACCCA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PgAACT2F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AAGCCAATGGTGGTTCTGTTA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PgAACT2R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CAGCGAATCCTCTTATCTTGG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PgAACT3F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GTGATTGCCAAGATAAGAGGAT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PgAACT3R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CAAGCAGCCTCTGATTGG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PgDXS1F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CGAGAAGTTGCTAAGGGTGTTA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PgDXS1R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CAACAAGATCATCTATGCTGTGAC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PgDXS2F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TTGCCGAGGCTTTGATT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PgDXS2R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CTGCAGCAAAGGTTACAGC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PgMDS1F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ACTCCGATGGTGATGTGTTG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PgMDS1R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TCTTCTCCTTGTGAGGGCTTA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PgMDS2F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TGCTTTGGGTCTTCCTGACA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PgMDS2R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AATCTTCTCCTTGTGAGGGCTTA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PgAS1F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TTCAGGCACTAATACTCTTCAAGAA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PgAS1R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CACTCCCCAGTTCCCATACC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PgFPPS1F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ATGGTGAGATGGGTGAATGC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PgFPPS1R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ACACATAACTCTTACCCTCCTTT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PgFPPS2F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CTTTTCGTTTGAGCACTTAGT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PgFPPS2R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GCTCCCAGAACCACAGAA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PgFPPS3F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CTTTTCGTTTGAGCACTTAGT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PgFPPS3R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GCTCCCAGAACCACAGAA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PgSQE1F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ATCTGCGTCGCTCCCTATG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PgSQE1R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GTACATCAACCAAACAACGAACT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PgSQE2F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CATCGCCCATCTTGTTCTACC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PgSQE2R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CTGTTGGGCATTGTCCGTAT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PgSQE3F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GTTTGTGATGGTTGCTTTTCAA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PgSQE3R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GGAAGGGTCTGCGAGGATAA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PgSQS1F</w:t>
            </w:r>
          </w:p>
        </w:tc>
        <w:tc>
          <w:tcPr>
            <w:tcW w:w="44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AAAATGGGTGGGGTGGAC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6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lang w:bidi="ar"/>
              </w:rPr>
              <w:t>PgSQS1R</w:t>
            </w:r>
          </w:p>
        </w:tc>
        <w:tc>
          <w:tcPr>
            <w:tcW w:w="4431" w:type="dxa"/>
            <w:tcBorders>
              <w:bottom w:val="single" w:color="auto" w:sz="12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AATTACTACATTCCCGACCCAC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MS Mincho">
    <w:altName w:val="Kozuka Mincho Pr6N M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Kozuka Mincho Pr6N M">
    <w:panose1 w:val="02020600000000000000"/>
    <w:charset w:val="80"/>
    <w:family w:val="auto"/>
    <w:pitch w:val="default"/>
    <w:sig w:usb0="000002D7" w:usb1="2AC71C11" w:usb2="00000012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F3672"/>
    <w:rsid w:val="003B2B42"/>
    <w:rsid w:val="006C7255"/>
    <w:rsid w:val="009978BB"/>
    <w:rsid w:val="00ED3A79"/>
    <w:rsid w:val="08423D74"/>
    <w:rsid w:val="0C3F3672"/>
    <w:rsid w:val="192261CC"/>
    <w:rsid w:val="3CE474D1"/>
    <w:rsid w:val="3E1A746C"/>
    <w:rsid w:val="7002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paragraph" w:customStyle="1" w:styleId="7">
    <w:name w:val="MDPI_4.1_table_caption"/>
    <w:qFormat/>
    <w:uiPriority w:val="0"/>
    <w:pPr>
      <w:adjustRightInd w:val="0"/>
      <w:snapToGrid w:val="0"/>
      <w:spacing w:before="240" w:after="120" w:line="228" w:lineRule="auto"/>
      <w:ind w:left="2608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1919</Words>
  <Characters>10941</Characters>
  <Lines>91</Lines>
  <Paragraphs>25</Paragraphs>
  <TotalTime>0</TotalTime>
  <ScaleCrop>false</ScaleCrop>
  <LinksUpToDate>false</LinksUpToDate>
  <CharactersWithSpaces>12835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2020-12-13T14:43:00Z</dcterms:created>
  <dc:creator>DESTINY</dc:creator>
  <cp:lastModifiedBy>DESTINY</cp:lastModifiedBy>
  <dcterms:modified xsi:type="dcterms:W3CDTF">2021-01-04T11:07:57Z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