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spacing w:line="360" w:lineRule="auto"/>
        <w:jc w:val="left"/>
        <w:rPr>
          <w:rFonts w:ascii="Times New Roman Bold" w:hAnsi="Times New Roman Bold" w:cs="Times New Roman Bold"/>
          <w:bCs/>
          <w:color w:val="FF0000"/>
        </w:rPr>
      </w:pPr>
      <w:r>
        <w:rPr>
          <w:rFonts w:ascii="Times New Roman Bold" w:hAnsi="Times New Roman Bold" w:eastAsia="Malgun Gothic" w:cs="Times New Roman Bold"/>
          <w:bCs/>
          <w:lang w:eastAsia="ko-KR"/>
        </w:rPr>
        <w:t xml:space="preserve"> </w:t>
      </w:r>
      <w:r>
        <w:rPr>
          <w:rFonts w:ascii="Times New Roman Bold" w:hAnsi="Times New Roman Bold" w:cs="Times New Roman Bold"/>
          <w:bCs/>
        </w:rPr>
        <w:t xml:space="preserve">Soft X-ray Characterization of Halide Perovskite Film by Scanning Transmission X-ray Microscopy </w:t>
      </w:r>
    </w:p>
    <w:p>
      <w:pPr>
        <w:spacing w:after="0" w:line="240" w:lineRule="auto"/>
        <w:jc w:val="left"/>
        <w:rPr>
          <w:rFonts w:ascii="Arial" w:hAnsi="Arial" w:eastAsia="Calibri" w:cs="Arial"/>
          <w:b/>
          <w:sz w:val="16"/>
          <w:szCs w:val="16"/>
          <w:lang w:val="en-US" w:eastAsia="en-US"/>
        </w:rPr>
      </w:pPr>
    </w:p>
    <w:p>
      <w:pPr>
        <w:spacing w:after="0" w:line="240" w:lineRule="auto"/>
        <w:jc w:val="left"/>
        <w:rPr>
          <w:rFonts w:ascii="Times New Roman Regular" w:hAnsi="Times New Roman Regular" w:eastAsia="Calibri" w:cs="Times New Roman Regular"/>
          <w:sz w:val="22"/>
          <w:szCs w:val="22"/>
          <w:lang w:val="en-US" w:eastAsia="en-US"/>
        </w:rPr>
      </w:pPr>
      <w:r>
        <w:rPr>
          <w:rFonts w:ascii="Times New Roman Regular" w:hAnsi="Times New Roman Regular" w:eastAsia="Calibri" w:cs="Times New Roman Regular"/>
          <w:sz w:val="22"/>
          <w:szCs w:val="22"/>
          <w:lang w:val="en-US" w:eastAsia="en-US"/>
        </w:rPr>
        <w:t>Haeyeon Jun</w:t>
      </w:r>
      <w:r>
        <w:rPr>
          <w:rFonts w:ascii="Times New Roman Regular" w:hAnsi="Times New Roman Regular" w:eastAsia="Calibri" w:cs="Times New Roman Regular"/>
          <w:sz w:val="22"/>
          <w:szCs w:val="22"/>
          <w:vertAlign w:val="superscript"/>
          <w:lang w:val="en-US" w:eastAsia="en-US"/>
        </w:rPr>
        <w:t>[a,b]</w:t>
      </w:r>
      <w:r>
        <w:rPr>
          <w:rFonts w:ascii="Times New Roman Regular" w:hAnsi="Times New Roman Regular" w:eastAsia="Calibri" w:cs="Times New Roman Regular"/>
          <w:sz w:val="22"/>
          <w:szCs w:val="22"/>
          <w:lang w:val="en-US" w:eastAsia="en-US"/>
        </w:rPr>
        <w:t>, Hee</w:t>
      </w:r>
      <w:r>
        <w:rPr>
          <w:rFonts w:ascii="Times New Roman Regular" w:hAnsi="Times New Roman Regular" w:eastAsia="Calibri" w:cs="Times New Roman Regular"/>
          <w:sz w:val="22"/>
          <w:szCs w:val="22"/>
          <w:lang w:eastAsia="en-US"/>
        </w:rPr>
        <w:t xml:space="preserve"> R</w:t>
      </w:r>
      <w:r>
        <w:rPr>
          <w:rFonts w:ascii="Times New Roman Regular" w:hAnsi="Times New Roman Regular" w:eastAsia="Calibri" w:cs="Times New Roman Regular"/>
          <w:sz w:val="22"/>
          <w:szCs w:val="22"/>
          <w:lang w:val="en-US" w:eastAsia="en-US"/>
        </w:rPr>
        <w:t>yung Lee</w:t>
      </w:r>
      <w:r>
        <w:rPr>
          <w:rFonts w:ascii="Times New Roman Regular" w:hAnsi="Times New Roman Regular" w:eastAsia="Calibri" w:cs="Times New Roman Regular"/>
          <w:sz w:val="22"/>
          <w:szCs w:val="22"/>
          <w:vertAlign w:val="superscript"/>
          <w:lang w:val="en-US" w:eastAsia="en-US"/>
        </w:rPr>
        <w:t>[a]</w:t>
      </w:r>
      <w:r>
        <w:rPr>
          <w:rFonts w:ascii="Times New Roman Regular" w:hAnsi="Times New Roman Regular" w:eastAsia="Calibri" w:cs="Times New Roman Regular"/>
          <w:sz w:val="22"/>
          <w:szCs w:val="22"/>
          <w:lang w:val="en-US" w:eastAsia="en-US"/>
        </w:rPr>
        <w:t>, Denis Tondelier</w:t>
      </w:r>
      <w:r>
        <w:rPr>
          <w:rFonts w:ascii="Times New Roman Regular" w:hAnsi="Times New Roman Regular" w:eastAsia="Calibri" w:cs="Times New Roman Regular"/>
          <w:sz w:val="22"/>
          <w:szCs w:val="22"/>
          <w:vertAlign w:val="superscript"/>
          <w:lang w:val="en-US" w:eastAsia="en-US"/>
        </w:rPr>
        <w:t>[a]</w:t>
      </w:r>
      <w:r>
        <w:rPr>
          <w:rFonts w:ascii="Times New Roman Regular" w:hAnsi="Times New Roman Regular" w:eastAsia="Calibri" w:cs="Times New Roman Regular"/>
          <w:sz w:val="22"/>
          <w:szCs w:val="22"/>
          <w:lang w:val="en-US" w:eastAsia="en-US"/>
        </w:rPr>
        <w:t>, Bernard Geffroy</w:t>
      </w:r>
      <w:r>
        <w:rPr>
          <w:rFonts w:ascii="Times New Roman Regular" w:hAnsi="Times New Roman Regular" w:eastAsia="Calibri" w:cs="Times New Roman Regular"/>
          <w:sz w:val="22"/>
          <w:szCs w:val="22"/>
          <w:vertAlign w:val="superscript"/>
          <w:lang w:val="en-US" w:eastAsia="en-US"/>
        </w:rPr>
        <w:t>[c,a]</w:t>
      </w:r>
      <w:r>
        <w:rPr>
          <w:rFonts w:ascii="Times New Roman Regular" w:hAnsi="Times New Roman Regular" w:eastAsia="Calibri" w:cs="Times New Roman Regular"/>
          <w:sz w:val="22"/>
          <w:szCs w:val="22"/>
          <w:lang w:val="en-US" w:eastAsia="en-US"/>
        </w:rPr>
        <w:t>, Philip Schulz</w:t>
      </w:r>
      <w:r>
        <w:rPr>
          <w:rFonts w:ascii="Times New Roman Regular" w:hAnsi="Times New Roman Regular" w:eastAsia="Calibri" w:cs="Times New Roman Regular"/>
          <w:sz w:val="22"/>
          <w:szCs w:val="22"/>
          <w:vertAlign w:val="superscript"/>
          <w:lang w:val="en-US" w:eastAsia="en-US"/>
        </w:rPr>
        <w:t>[d]</w:t>
      </w:r>
      <w:r>
        <w:rPr>
          <w:rFonts w:ascii="Times New Roman Regular" w:hAnsi="Times New Roman Regular" w:eastAsia="Calibri" w:cs="Times New Roman Regular"/>
          <w:sz w:val="22"/>
          <w:szCs w:val="22"/>
          <w:lang w:val="en-US" w:eastAsia="en-US"/>
        </w:rPr>
        <w:t>, Jean-Éric Bourée</w:t>
      </w:r>
      <w:r>
        <w:rPr>
          <w:rFonts w:ascii="Times New Roman Regular" w:hAnsi="Times New Roman Regular" w:eastAsia="Calibri" w:cs="Times New Roman Regular"/>
          <w:sz w:val="22"/>
          <w:szCs w:val="22"/>
          <w:vertAlign w:val="superscript"/>
          <w:lang w:val="en-US" w:eastAsia="en-US"/>
        </w:rPr>
        <w:t>[a]</w:t>
      </w:r>
      <w:r>
        <w:rPr>
          <w:rFonts w:ascii="Times New Roman Regular" w:hAnsi="Times New Roman Regular" w:eastAsia="Calibri" w:cs="Times New Roman Regular"/>
          <w:sz w:val="22"/>
          <w:szCs w:val="22"/>
          <w:lang w:val="en-US" w:eastAsia="en-US"/>
        </w:rPr>
        <w:t>, Yvan Bonnassieux</w:t>
      </w:r>
      <w:r>
        <w:rPr>
          <w:rFonts w:ascii="Times New Roman Regular" w:hAnsi="Times New Roman Regular" w:eastAsia="Calibri" w:cs="Times New Roman Regular"/>
          <w:sz w:val="22"/>
          <w:szCs w:val="22"/>
          <w:vertAlign w:val="superscript"/>
          <w:lang w:val="en-US" w:eastAsia="en-US"/>
        </w:rPr>
        <w:t>[a]</w:t>
      </w:r>
      <w:r>
        <w:rPr>
          <w:rFonts w:ascii="Times New Roman Regular" w:hAnsi="Times New Roman Regular" w:eastAsia="Calibri" w:cs="Times New Roman Regular"/>
          <w:sz w:val="22"/>
          <w:szCs w:val="22"/>
          <w:lang w:val="en-US" w:eastAsia="en-US"/>
        </w:rPr>
        <w:t>, and Sufal Swaraj</w:t>
      </w:r>
      <w:r>
        <w:rPr>
          <w:rFonts w:ascii="Times New Roman Regular" w:hAnsi="Times New Roman Regular" w:eastAsia="Calibri" w:cs="Times New Roman Regular"/>
          <w:sz w:val="22"/>
          <w:szCs w:val="22"/>
          <w:vertAlign w:val="superscript"/>
          <w:lang w:val="en-US" w:eastAsia="en-US"/>
        </w:rPr>
        <w:t>*[b]</w:t>
      </w:r>
    </w:p>
    <w:p>
      <w:pPr>
        <w:spacing w:after="0" w:line="240" w:lineRule="auto"/>
        <w:jc w:val="left"/>
        <w:rPr>
          <w:rFonts w:ascii="Arial" w:hAnsi="Arial" w:eastAsia="Calibri" w:cs="Arial"/>
          <w:sz w:val="16"/>
          <w:szCs w:val="16"/>
          <w:lang w:val="en-US" w:eastAsia="en-US"/>
        </w:rPr>
      </w:pPr>
    </w:p>
    <w:p>
      <w:pPr>
        <w:widowControl w:val="0"/>
        <w:autoSpaceDE w:val="0"/>
        <w:autoSpaceDN w:val="0"/>
        <w:adjustRightInd w:val="0"/>
        <w:spacing w:after="0" w:line="240" w:lineRule="auto"/>
        <w:jc w:val="left"/>
        <w:rPr>
          <w:rFonts w:ascii="Arial" w:hAnsi="Arial" w:eastAsia="Calibri" w:cs="Arial"/>
          <w:bCs/>
          <w:sz w:val="14"/>
          <w:szCs w:val="14"/>
          <w:lang w:val="fr-FR" w:eastAsia="en-US"/>
        </w:rPr>
      </w:pPr>
      <w:r>
        <w:rPr>
          <w:rFonts w:ascii="Arial" w:hAnsi="Arial" w:eastAsia="Calibri" w:cs="Arial"/>
          <w:bCs/>
          <w:sz w:val="14"/>
          <w:szCs w:val="14"/>
          <w:vertAlign w:val="superscript"/>
          <w:lang w:val="fr-FR" w:eastAsia="en-US"/>
        </w:rPr>
        <w:t>[a]</w:t>
      </w:r>
      <w:r>
        <w:rPr>
          <w:rFonts w:ascii="Arial" w:hAnsi="Arial" w:eastAsia="Calibri" w:cs="Arial"/>
          <w:bCs/>
          <w:sz w:val="14"/>
          <w:szCs w:val="14"/>
          <w:lang w:val="fr-FR" w:eastAsia="en-US"/>
        </w:rPr>
        <w:t>LPICM, CNRS, Ecole Polytechnique, Institut Polytechnique de Paris, route de Saclay, 91128 Palaiseau, France</w:t>
      </w:r>
    </w:p>
    <w:p>
      <w:pPr>
        <w:spacing w:after="0" w:line="240" w:lineRule="auto"/>
        <w:jc w:val="left"/>
        <w:rPr>
          <w:rFonts w:ascii="Arial" w:hAnsi="Arial" w:eastAsia="DengXian" w:cs="Arial"/>
          <w:iCs/>
          <w:sz w:val="14"/>
          <w:szCs w:val="14"/>
          <w:lang w:val="fr-FR"/>
        </w:rPr>
      </w:pPr>
      <w:r>
        <w:rPr>
          <w:rFonts w:ascii="Arial" w:hAnsi="Arial" w:eastAsia="DengXian" w:cs="Arial"/>
          <w:iCs/>
          <w:sz w:val="14"/>
          <w:szCs w:val="14"/>
          <w:vertAlign w:val="superscript"/>
          <w:lang w:val="fr-FR"/>
        </w:rPr>
        <w:t>[b]</w:t>
      </w:r>
      <w:r>
        <w:rPr>
          <w:rFonts w:ascii="Arial" w:hAnsi="Arial" w:eastAsia="DengXian" w:cs="Arial"/>
          <w:iCs/>
          <w:sz w:val="14"/>
          <w:szCs w:val="14"/>
          <w:lang w:val="fr-FR"/>
        </w:rPr>
        <w:t>Synchrotron SOLEIL, L'Orme des Merisiers Saint-Aubin, BP 48 91192 Gif-sur-Yvette Cedex, France</w:t>
      </w:r>
    </w:p>
    <w:p>
      <w:pPr>
        <w:widowControl w:val="0"/>
        <w:autoSpaceDE w:val="0"/>
        <w:autoSpaceDN w:val="0"/>
        <w:adjustRightInd w:val="0"/>
        <w:spacing w:after="0" w:line="240" w:lineRule="auto"/>
        <w:jc w:val="left"/>
        <w:rPr>
          <w:rFonts w:ascii="Arial" w:hAnsi="Arial" w:eastAsia="Calibri" w:cs="Arial"/>
          <w:color w:val="292929"/>
          <w:sz w:val="14"/>
          <w:szCs w:val="14"/>
          <w:lang w:val="fr-FR" w:eastAsia="en-US"/>
        </w:rPr>
      </w:pPr>
      <w:r>
        <w:rPr>
          <w:rFonts w:ascii="Arial" w:hAnsi="Arial" w:eastAsia="Calibri" w:cs="Arial"/>
          <w:sz w:val="14"/>
          <w:szCs w:val="14"/>
          <w:vertAlign w:val="superscript"/>
          <w:lang w:val="fr-FR" w:eastAsia="en-US"/>
        </w:rPr>
        <w:t>[c]</w:t>
      </w:r>
      <w:r>
        <w:rPr>
          <w:rFonts w:ascii="Arial" w:hAnsi="Arial" w:eastAsia="Calibri" w:cs="Arial"/>
          <w:color w:val="292929"/>
          <w:sz w:val="14"/>
          <w:szCs w:val="14"/>
          <w:lang w:val="fr-FR" w:eastAsia="en-US"/>
        </w:rPr>
        <w:t>Université Paris-Saclay, CEA, CNRS, NIMBE, LICSEN, 91191, Gif-sur-Yvette, France</w:t>
      </w:r>
    </w:p>
    <w:p>
      <w:pPr>
        <w:spacing w:after="0" w:line="240" w:lineRule="auto"/>
        <w:jc w:val="left"/>
        <w:rPr>
          <w:rFonts w:ascii="Arial" w:hAnsi="Arial" w:eastAsia="Calibri" w:cs="Arial"/>
          <w:sz w:val="14"/>
          <w:szCs w:val="14"/>
          <w:lang w:val="fr-FR" w:eastAsia="en-US"/>
        </w:rPr>
      </w:pPr>
      <w:r>
        <w:rPr>
          <w:rFonts w:ascii="Arial" w:hAnsi="Arial" w:eastAsia="Calibri" w:cs="Arial"/>
          <w:sz w:val="14"/>
          <w:szCs w:val="14"/>
          <w:vertAlign w:val="superscript"/>
          <w:lang w:val="fr-FR" w:eastAsia="en-US"/>
        </w:rPr>
        <w:t>[d]</w:t>
      </w:r>
      <w:r>
        <w:rPr>
          <w:rFonts w:ascii="Arial" w:hAnsi="Arial" w:eastAsia="Calibri" w:cs="Arial"/>
          <w:sz w:val="14"/>
          <w:szCs w:val="14"/>
          <w:lang w:val="fr-FR" w:eastAsia="en-US"/>
        </w:rPr>
        <w:t>IPVF, 18 boulevard Thomas Gobert, 91120 Palaiseau, France</w:t>
      </w:r>
    </w:p>
    <w:p>
      <w:pPr>
        <w:spacing w:after="0" w:line="240" w:lineRule="auto"/>
        <w:jc w:val="left"/>
        <w:rPr>
          <w:rFonts w:ascii="Arial" w:hAnsi="Arial" w:eastAsia="Calibri" w:cs="Arial"/>
          <w:sz w:val="14"/>
          <w:szCs w:val="14"/>
          <w:vertAlign w:val="superscript"/>
          <w:lang w:val="fr-FR" w:eastAsia="en-US"/>
        </w:rPr>
      </w:pPr>
    </w:p>
    <w:p>
      <w:pPr>
        <w:spacing w:after="0" w:line="240" w:lineRule="auto"/>
        <w:jc w:val="left"/>
        <w:rPr>
          <w:rFonts w:ascii="Arial" w:hAnsi="Arial" w:eastAsia="Calibri" w:cs="Arial"/>
          <w:sz w:val="14"/>
          <w:szCs w:val="14"/>
          <w:lang w:val="en-US" w:eastAsia="en-US"/>
        </w:rPr>
      </w:pPr>
      <w:r>
        <w:rPr>
          <w:rFonts w:ascii="Arial" w:hAnsi="Arial" w:eastAsia="Calibri" w:cs="Arial"/>
          <w:sz w:val="16"/>
          <w:szCs w:val="16"/>
          <w:lang w:val="en-US" w:eastAsia="en-US"/>
        </w:rPr>
        <w:t xml:space="preserve">* </w:t>
      </w:r>
      <w:r>
        <w:rPr>
          <w:rFonts w:ascii="Arial" w:hAnsi="Arial" w:eastAsia="Calibri" w:cs="Arial"/>
          <w:sz w:val="14"/>
          <w:szCs w:val="14"/>
          <w:lang w:val="en-US" w:eastAsia="en-US"/>
        </w:rPr>
        <w:t xml:space="preserve">Corresponding author </w:t>
      </w:r>
    </w:p>
    <w:p>
      <w:pPr>
        <w:spacing w:after="0" w:line="240" w:lineRule="auto"/>
        <w:jc w:val="left"/>
        <w:rPr>
          <w:rFonts w:ascii="Arial" w:hAnsi="Arial" w:eastAsia="Calibri" w:cs="Arial"/>
          <w:sz w:val="14"/>
          <w:szCs w:val="14"/>
          <w:lang w:val="en-US" w:eastAsia="ko-KR"/>
        </w:rPr>
      </w:pPr>
      <w:r>
        <w:rPr>
          <w:rFonts w:ascii="Arial" w:hAnsi="Arial" w:eastAsia="Calibri" w:cs="Arial"/>
          <w:sz w:val="14"/>
          <w:szCs w:val="14"/>
          <w:lang w:val="en-US" w:eastAsia="en-US"/>
        </w:rPr>
        <w:t>Phone number: +33 (0)1 69 35 81 82</w:t>
      </w:r>
    </w:p>
    <w:p>
      <w:pPr>
        <w:spacing w:after="0" w:line="240" w:lineRule="auto"/>
        <w:jc w:val="left"/>
        <w:rPr>
          <w:rFonts w:ascii="Malgun Gothic" w:hAnsi="Malgun Gothic" w:eastAsia="Malgun Gothic" w:cs="Malgun Gothic"/>
          <w:sz w:val="16"/>
          <w:szCs w:val="16"/>
          <w:lang w:val="en-US" w:eastAsia="ko-KR"/>
        </w:rPr>
      </w:pPr>
      <w:r>
        <w:rPr>
          <w:rFonts w:ascii="Arial" w:hAnsi="Arial" w:eastAsia="Calibri" w:cs="Arial"/>
          <w:sz w:val="14"/>
          <w:szCs w:val="14"/>
          <w:lang w:val="en-US" w:eastAsia="en-US"/>
        </w:rPr>
        <w:t>E-mail address</w:t>
      </w:r>
      <w:r>
        <w:rPr>
          <w:rFonts w:ascii="Arial" w:hAnsi="Arial" w:eastAsia="Calibri" w:cs="Arial"/>
          <w:color w:val="000000" w:themeColor="text1"/>
          <w:sz w:val="14"/>
          <w:szCs w:val="14"/>
          <w:lang w:val="en-US" w:eastAsia="en-US"/>
          <w14:textFill>
            <w14:solidFill>
              <w14:schemeClr w14:val="tx1"/>
            </w14:solidFill>
          </w14:textFill>
        </w:rPr>
        <w:t xml:space="preserve">: </w:t>
      </w:r>
      <w:r>
        <w:fldChar w:fldCharType="begin"/>
      </w:r>
      <w:r>
        <w:instrText xml:space="preserve"> HYPERLINK "mailto:sufal.swaraj@synchrotron-soleil.fr" </w:instrText>
      </w:r>
      <w:r>
        <w:fldChar w:fldCharType="separate"/>
      </w:r>
      <w:r>
        <w:rPr>
          <w:rStyle w:val="9"/>
          <w:rFonts w:ascii="Arial" w:hAnsi="Arial" w:eastAsia="Calibri" w:cs="Arial"/>
          <w:color w:val="000000" w:themeColor="text1"/>
          <w:sz w:val="14"/>
          <w:szCs w:val="14"/>
          <w:u w:val="none"/>
          <w:lang w:val="en-US" w:eastAsia="en-US"/>
          <w14:textFill>
            <w14:solidFill>
              <w14:schemeClr w14:val="tx1"/>
            </w14:solidFill>
          </w14:textFill>
        </w:rPr>
        <w:t>sufal.swaraj@synchrotron-soleil.fr</w:t>
      </w:r>
      <w:r>
        <w:rPr>
          <w:rStyle w:val="9"/>
          <w:rFonts w:ascii="Arial" w:hAnsi="Arial" w:eastAsia="Calibri" w:cs="Arial"/>
          <w:color w:val="000000" w:themeColor="text1"/>
          <w:sz w:val="14"/>
          <w:szCs w:val="14"/>
          <w:u w:val="none"/>
          <w:lang w:val="en-US" w:eastAsia="en-US"/>
          <w14:textFill>
            <w14:solidFill>
              <w14:schemeClr w14:val="tx1"/>
            </w14:solidFill>
          </w14:textFill>
        </w:rPr>
        <w:fldChar w:fldCharType="end"/>
      </w:r>
      <w:r>
        <w:rPr>
          <w:rFonts w:ascii="Arial" w:hAnsi="Arial" w:eastAsia="Calibri" w:cs="Arial"/>
          <w:color w:val="000000" w:themeColor="text1"/>
          <w:sz w:val="14"/>
          <w:szCs w:val="14"/>
          <w:lang w:val="en-US" w:eastAsia="en-US"/>
          <w14:textFill>
            <w14:solidFill>
              <w14:schemeClr w14:val="tx1"/>
            </w14:solidFill>
          </w14:textFill>
        </w:rPr>
        <w:t xml:space="preserve"> </w:t>
      </w:r>
    </w:p>
    <w:p>
      <w:pPr>
        <w:jc w:val="left"/>
        <w:rPr>
          <w:rFonts w:eastAsia="바탕" w:asciiTheme="minorBidi" w:hAnsiTheme="minorBidi"/>
          <w:b/>
          <w:bCs/>
          <w:sz w:val="20"/>
          <w:szCs w:val="20"/>
          <w:lang w:val="en-US" w:eastAsia="ko-KR"/>
        </w:rPr>
      </w:pPr>
      <w:bookmarkStart w:id="0" w:name="_GoBack"/>
      <w:bookmarkEnd w:id="0"/>
    </w:p>
    <w:p>
      <w:pPr>
        <w:jc w:val="left"/>
        <w:rPr>
          <w:rFonts w:eastAsia="바탕" w:asciiTheme="minorBidi" w:hAnsiTheme="minorBidi"/>
          <w:b/>
          <w:bCs/>
          <w:sz w:val="24"/>
          <w:szCs w:val="24"/>
          <w:lang w:val="en-US" w:eastAsia="ko-KR"/>
        </w:rPr>
      </w:pPr>
    </w:p>
    <w:p>
      <w:pPr>
        <w:jc w:val="left"/>
        <w:rPr>
          <w:rFonts w:ascii="Times New Roman Regular" w:hAnsi="Times New Roman Regular" w:eastAsia="바탕" w:cs="Times New Roman Regular"/>
          <w:b w:val="0"/>
          <w:bCs/>
          <w:sz w:val="24"/>
          <w:szCs w:val="24"/>
          <w:lang w:val="en-US" w:eastAsia="ko-KR"/>
        </w:rPr>
      </w:pPr>
      <w:r>
        <w:rPr>
          <w:rFonts w:ascii="Times New Roman Regular" w:hAnsi="Times New Roman Regular" w:eastAsia="바탕" w:cs="Times New Roman Regular"/>
          <w:b w:val="0"/>
          <w:bCs/>
          <w:sz w:val="24"/>
          <w:szCs w:val="24"/>
          <w:lang w:val="en-US" w:eastAsia="ko-KR"/>
        </w:rPr>
        <w:t>Contents</w:t>
      </w:r>
    </w:p>
    <w:p>
      <w:pPr>
        <w:spacing w:line="360" w:lineRule="auto"/>
        <w:ind w:firstLine="720"/>
        <w:jc w:val="left"/>
        <w:rPr>
          <w:rFonts w:ascii="Times New Roman Regular" w:hAnsi="Times New Roman Regular" w:eastAsia="바탕" w:cs="Times New Roman Regular"/>
          <w:sz w:val="24"/>
          <w:szCs w:val="24"/>
          <w:lang w:val="en-US" w:eastAsia="ko-KR"/>
        </w:rPr>
      </w:pPr>
      <w:r>
        <w:rPr>
          <w:rFonts w:ascii="Times New Roman Regular" w:hAnsi="Times New Roman Regular" w:cs="Times New Roman Regular"/>
          <w:sz w:val="24"/>
          <w:szCs w:val="24"/>
          <w:lang w:val="en-US" w:eastAsia="ko-KR"/>
        </w:rPr>
        <w:t xml:space="preserve">Figure </w:t>
      </w:r>
      <w:r>
        <w:rPr>
          <w:rFonts w:ascii="Times New Roman Regular" w:hAnsi="Times New Roman Regular" w:cs="Times New Roman Regular"/>
          <w:sz w:val="24"/>
          <w:szCs w:val="24"/>
          <w:lang w:eastAsia="ko-KR"/>
        </w:rPr>
        <w:t>S1</w:t>
      </w:r>
      <w:r>
        <w:rPr>
          <w:rFonts w:ascii="Times New Roman Regular" w:hAnsi="Times New Roman Regular" w:cs="Times New Roman Regular"/>
          <w:sz w:val="24"/>
          <w:szCs w:val="24"/>
          <w:lang w:val="en-US" w:eastAsia="ko-KR"/>
        </w:rPr>
        <w:t xml:space="preserve"> presents energy-dispersive x-ray (EDX) spectra of methylammonium iodide (MAI) film on indium tin oxide coated glass. The experimental percentages of each element, including carbon, nitrogen, and iodine, are shown in Table S1. The atomic ratio of all components obtained by the measurement is different from the ratio in the chemical formula of CH</w:t>
      </w:r>
      <w:r>
        <w:rPr>
          <w:rFonts w:ascii="Times New Roman Regular" w:hAnsi="Times New Roman Regular" w:cs="Times New Roman Regular"/>
          <w:sz w:val="24"/>
          <w:szCs w:val="24"/>
          <w:vertAlign w:val="subscript"/>
          <w:lang w:val="en-US" w:eastAsia="ko-KR"/>
        </w:rPr>
        <w:t>3</w:t>
      </w:r>
      <w:r>
        <w:rPr>
          <w:rFonts w:ascii="Times New Roman Regular" w:hAnsi="Times New Roman Regular" w:cs="Times New Roman Regular"/>
          <w:sz w:val="24"/>
          <w:szCs w:val="24"/>
          <w:lang w:val="en-US" w:eastAsia="ko-KR"/>
        </w:rPr>
        <w:t>NH</w:t>
      </w:r>
      <w:r>
        <w:rPr>
          <w:rFonts w:ascii="Times New Roman Regular" w:hAnsi="Times New Roman Regular" w:cs="Times New Roman Regular"/>
          <w:sz w:val="24"/>
          <w:szCs w:val="24"/>
          <w:vertAlign w:val="subscript"/>
          <w:lang w:val="en-US" w:eastAsia="ko-KR"/>
        </w:rPr>
        <w:t>3</w:t>
      </w:r>
      <w:r>
        <w:rPr>
          <w:rFonts w:ascii="Times New Roman Regular" w:hAnsi="Times New Roman Regular" w:cs="Times New Roman Regular"/>
          <w:sz w:val="24"/>
          <w:szCs w:val="24"/>
          <w:lang w:val="en-US" w:eastAsia="ko-KR"/>
        </w:rPr>
        <w:t xml:space="preserve">I. The atomic percentage of iodide is much smaller than those of carbon and nitrogen indicating that most iodine is </w:t>
      </w:r>
      <w:r>
        <w:rPr>
          <w:rFonts w:ascii="Times New Roman Regular" w:hAnsi="Times New Roman Regular" w:cs="Times New Roman Regular"/>
          <w:sz w:val="24"/>
          <w:szCs w:val="24"/>
          <w:lang w:eastAsia="ko-KR"/>
        </w:rPr>
        <w:t>volatilize</w:t>
      </w:r>
      <w:r>
        <w:rPr>
          <w:rFonts w:ascii="Times New Roman Regular" w:hAnsi="Times New Roman Regular" w:cs="Times New Roman Regular"/>
          <w:sz w:val="24"/>
          <w:szCs w:val="24"/>
          <w:lang w:val="en-US" w:eastAsia="ko-KR"/>
        </w:rPr>
        <w:t xml:space="preserve"> after deposition on sample substrate. </w:t>
      </w:r>
    </w:p>
    <w:p>
      <w:pPr>
        <w:ind w:firstLine="720"/>
        <w:jc w:val="left"/>
        <w:rPr>
          <w:rFonts w:ascii="바탕" w:hAnsi="바탕" w:eastAsia="바탕" w:cs="바탕"/>
          <w:sz w:val="16"/>
          <w:szCs w:val="16"/>
          <w:lang w:val="en-US" w:eastAsia="ko-KR"/>
        </w:rPr>
      </w:pPr>
    </w:p>
    <w:p>
      <w:pPr>
        <w:keepNext/>
        <w:jc w:val="left"/>
      </w:pPr>
      <w:r>
        <w:rPr>
          <w:rFonts w:eastAsia="바탕" w:asciiTheme="minorBidi" w:hAnsiTheme="minorBidi"/>
          <w:sz w:val="20"/>
          <w:szCs w:val="20"/>
          <w:lang w:eastAsia="ko-KR"/>
        </w:rPr>
        <w:drawing>
          <wp:inline distT="0" distB="0" distL="0" distR="0">
            <wp:extent cx="5731510" cy="1365885"/>
            <wp:effectExtent l="0" t="0" r="0" b="5715"/>
            <wp:docPr id="9"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그림 8"/>
                    <pic:cNvPicPr>
                      <a:picLocks noChangeAspect="1"/>
                    </pic:cNvPicPr>
                  </pic:nvPicPr>
                  <pic:blipFill>
                    <a:blip r:embed="rId4"/>
                    <a:stretch>
                      <a:fillRect/>
                    </a:stretch>
                  </pic:blipFill>
                  <pic:spPr>
                    <a:xfrm>
                      <a:off x="0" y="0"/>
                      <a:ext cx="5731510" cy="1365885"/>
                    </a:xfrm>
                    <a:prstGeom prst="rect">
                      <a:avLst/>
                    </a:prstGeom>
                  </pic:spPr>
                </pic:pic>
              </a:graphicData>
            </a:graphic>
          </wp:inline>
        </w:drawing>
      </w:r>
    </w:p>
    <w:p>
      <w:pPr>
        <w:pStyle w:val="3"/>
        <w:jc w:val="left"/>
        <w:rPr>
          <w:rFonts w:ascii="Times New Roman" w:hAnsi="Times New Roman" w:cs="Times New Roman"/>
          <w:b w:val="0"/>
          <w:i w:val="0"/>
          <w:iCs/>
          <w:color w:val="000000" w:themeColor="text1"/>
          <w:sz w:val="24"/>
          <w:szCs w:val="24"/>
          <w:lang w:val="en-US"/>
          <w14:textFill>
            <w14:solidFill>
              <w14:schemeClr w14:val="tx1"/>
            </w14:solidFill>
          </w14:textFill>
        </w:rPr>
      </w:pPr>
      <w:r>
        <w:rPr>
          <w:rFonts w:ascii="Times New Roman" w:hAnsi="Times New Roman" w:cs="Times New Roman"/>
          <w:b w:val="0"/>
          <w:bCs w:val="0"/>
          <w:i w:val="0"/>
          <w:iCs/>
          <w:color w:val="000000" w:themeColor="text1"/>
          <w:sz w:val="24"/>
          <w:szCs w:val="24"/>
          <w:lang w:val="en-US"/>
          <w14:textFill>
            <w14:solidFill>
              <w14:schemeClr w14:val="tx1"/>
            </w14:solidFill>
          </w14:textFill>
        </w:rPr>
        <w:t>Figure S</w:t>
      </w:r>
      <w:r>
        <w:rPr>
          <w:rFonts w:ascii="Times New Roman" w:hAnsi="Times New Roman" w:cs="Times New Roman"/>
          <w:b w:val="0"/>
          <w:bCs w:val="0"/>
          <w:i w:val="0"/>
          <w:iCs/>
          <w:color w:val="000000" w:themeColor="text1"/>
          <w:sz w:val="24"/>
          <w:szCs w:val="24"/>
          <w14:textFill>
            <w14:solidFill>
              <w14:schemeClr w14:val="tx1"/>
            </w14:solidFill>
          </w14:textFill>
        </w:rPr>
        <w:t>1</w:t>
      </w:r>
      <w:r>
        <w:rPr>
          <w:rFonts w:ascii="Times New Roman" w:hAnsi="Times New Roman" w:cs="Times New Roman"/>
          <w:b w:val="0"/>
          <w:i w:val="0"/>
          <w:iCs/>
          <w:color w:val="000000" w:themeColor="text1"/>
          <w:sz w:val="24"/>
          <w:szCs w:val="24"/>
          <w:lang w:val="en-US"/>
          <w14:textFill>
            <w14:solidFill>
              <w14:schemeClr w14:val="tx1"/>
            </w14:solidFill>
          </w14:textFill>
        </w:rPr>
        <w:t xml:space="preserve"> Energy-dispersive x-ray (EDX) spectra of methylammonium iodide (MAI) thin film as described in experimental details.</w:t>
      </w:r>
    </w:p>
    <w:p>
      <w:pPr>
        <w:jc w:val="left"/>
        <w:rPr>
          <w:rFonts w:ascii="Times New Roman Bold Italic" w:hAnsi="Times New Roman Bold Italic" w:cs="Times New Roman Bold Italic"/>
          <w:b/>
          <w:i/>
          <w:sz w:val="24"/>
          <w:szCs w:val="24"/>
          <w:lang w:val="en-US"/>
        </w:rPr>
      </w:pPr>
    </w:p>
    <w:p>
      <w:pPr>
        <w:pStyle w:val="3"/>
        <w:keepNext/>
        <w:jc w:val="left"/>
        <w:rPr>
          <w:rFonts w:ascii="Times New Roman" w:hAnsi="Times New Roman" w:cs="Times New Roman"/>
          <w:b w:val="0"/>
          <w:i w:val="0"/>
          <w:color w:val="000000" w:themeColor="text1"/>
          <w:sz w:val="24"/>
          <w:szCs w:val="24"/>
          <w:lang w:val="en-US"/>
          <w14:textFill>
            <w14:solidFill>
              <w14:schemeClr w14:val="tx1"/>
            </w14:solidFill>
          </w14:textFill>
        </w:rPr>
      </w:pPr>
      <w:r>
        <w:rPr>
          <w:rFonts w:ascii="Times New Roman" w:hAnsi="Times New Roman" w:cs="Times New Roman"/>
          <w:b w:val="0"/>
          <w:bCs w:val="0"/>
          <w:i w:val="0"/>
          <w:iCs/>
          <w:color w:val="000000" w:themeColor="text1"/>
          <w:sz w:val="24"/>
          <w:szCs w:val="24"/>
          <w:lang w:val="en-US"/>
          <w14:textFill>
            <w14:solidFill>
              <w14:schemeClr w14:val="tx1"/>
            </w14:solidFill>
          </w14:textFill>
        </w:rPr>
        <w:t>Table S</w:t>
      </w:r>
      <w:r>
        <w:rPr>
          <w:rFonts w:ascii="Times New Roman" w:hAnsi="Times New Roman" w:cs="Times New Roman"/>
          <w:b w:val="0"/>
          <w:bCs w:val="0"/>
          <w:i w:val="0"/>
          <w:iCs/>
          <w:color w:val="000000" w:themeColor="text1"/>
          <w:sz w:val="24"/>
          <w:szCs w:val="24"/>
          <w14:textFill>
            <w14:solidFill>
              <w14:schemeClr w14:val="tx1"/>
            </w14:solidFill>
          </w14:textFill>
        </w:rPr>
        <w:fldChar w:fldCharType="begin"/>
      </w:r>
      <w:r>
        <w:rPr>
          <w:rFonts w:ascii="Times New Roman" w:hAnsi="Times New Roman" w:cs="Times New Roman"/>
          <w:b w:val="0"/>
          <w:bCs w:val="0"/>
          <w:i w:val="0"/>
          <w:iCs/>
          <w:color w:val="000000" w:themeColor="text1"/>
          <w:sz w:val="24"/>
          <w:szCs w:val="24"/>
          <w:lang w:val="en-US"/>
          <w14:textFill>
            <w14:solidFill>
              <w14:schemeClr w14:val="tx1"/>
            </w14:solidFill>
          </w14:textFill>
        </w:rPr>
        <w:instrText xml:space="preserve"> SEQ Table_S \* ARABIC </w:instrText>
      </w:r>
      <w:r>
        <w:rPr>
          <w:rFonts w:ascii="Times New Roman" w:hAnsi="Times New Roman" w:cs="Times New Roman"/>
          <w:b w:val="0"/>
          <w:bCs w:val="0"/>
          <w:i w:val="0"/>
          <w:iCs/>
          <w:color w:val="000000" w:themeColor="text1"/>
          <w:sz w:val="24"/>
          <w:szCs w:val="24"/>
          <w14:textFill>
            <w14:solidFill>
              <w14:schemeClr w14:val="tx1"/>
            </w14:solidFill>
          </w14:textFill>
        </w:rPr>
        <w:fldChar w:fldCharType="separate"/>
      </w:r>
      <w:r>
        <w:rPr>
          <w:rFonts w:ascii="Times New Roman" w:hAnsi="Times New Roman" w:cs="Times New Roman"/>
          <w:b w:val="0"/>
          <w:bCs w:val="0"/>
          <w:i w:val="0"/>
          <w:iCs/>
          <w:color w:val="000000" w:themeColor="text1"/>
          <w:sz w:val="24"/>
          <w:szCs w:val="24"/>
          <w:lang w:val="en-US"/>
          <w14:textFill>
            <w14:solidFill>
              <w14:schemeClr w14:val="tx1"/>
            </w14:solidFill>
          </w14:textFill>
        </w:rPr>
        <w:t>1</w:t>
      </w:r>
      <w:r>
        <w:rPr>
          <w:rFonts w:ascii="Times New Roman" w:hAnsi="Times New Roman" w:cs="Times New Roman"/>
          <w:b w:val="0"/>
          <w:bCs w:val="0"/>
          <w:i w:val="0"/>
          <w:iCs/>
          <w:color w:val="000000" w:themeColor="text1"/>
          <w:sz w:val="24"/>
          <w:szCs w:val="24"/>
          <w14:textFill>
            <w14:solidFill>
              <w14:schemeClr w14:val="tx1"/>
            </w14:solidFill>
          </w14:textFill>
        </w:rPr>
        <w:fldChar w:fldCharType="end"/>
      </w:r>
      <w:r>
        <w:rPr>
          <w:rFonts w:ascii="Times New Roman" w:hAnsi="Times New Roman" w:cs="Times New Roman"/>
          <w:b w:val="0"/>
          <w:i w:val="0"/>
          <w:color w:val="000000" w:themeColor="text1"/>
          <w:sz w:val="24"/>
          <w:szCs w:val="24"/>
          <w:lang w:val="en-US"/>
          <w14:textFill>
            <w14:solidFill>
              <w14:schemeClr w14:val="tx1"/>
            </w14:solidFill>
          </w14:textFill>
        </w:rPr>
        <w:t xml:space="preserve"> </w:t>
      </w:r>
      <w:r>
        <w:rPr>
          <w:rFonts w:ascii="Times New Roman" w:hAnsi="Times New Roman" w:cs="Times New Roman"/>
          <w:b w:val="0"/>
          <w:i w:val="0"/>
          <w:iCs/>
          <w:color w:val="000000" w:themeColor="text1"/>
          <w:sz w:val="24"/>
          <w:szCs w:val="24"/>
          <w:lang w:val="en-US"/>
          <w14:textFill>
            <w14:solidFill>
              <w14:schemeClr w14:val="tx1"/>
            </w14:solidFill>
          </w14:textFill>
        </w:rPr>
        <w:t>Energy-dispersive x-ray spectroscopy (EDX) analysis of carbon (C), nitrogen (N), and iodine (I) in MAI film.</w:t>
      </w:r>
    </w:p>
    <w:tbl>
      <w:tblPr>
        <w:tblStyle w:val="18"/>
        <w:tblW w:w="0" w:type="auto"/>
        <w:tblInd w:w="851" w:type="dxa"/>
        <w:tblLayout w:type="autofit"/>
        <w:tblCellMar>
          <w:top w:w="0" w:type="dxa"/>
          <w:left w:w="108" w:type="dxa"/>
          <w:bottom w:w="0" w:type="dxa"/>
          <w:right w:w="108" w:type="dxa"/>
        </w:tblCellMar>
      </w:tblPr>
      <w:tblGrid>
        <w:gridCol w:w="2154"/>
        <w:gridCol w:w="2396"/>
        <w:gridCol w:w="2396"/>
      </w:tblGrid>
      <w:tr>
        <w:tc>
          <w:tcPr>
            <w:tcW w:w="2154" w:type="dxa"/>
            <w:tcBorders>
              <w:top w:val="single" w:color="auto" w:sz="4" w:space="0"/>
              <w:bottom w:val="single" w:color="auto" w:sz="2" w:space="0"/>
              <w:right w:val="nil"/>
            </w:tcBorders>
            <w:shd w:val="clear" w:color="auto" w:fill="FFFFFF" w:themeFill="background1"/>
          </w:tcPr>
          <w:p>
            <w:pPr>
              <w:spacing w:after="0" w:line="240" w:lineRule="auto"/>
              <w:jc w:val="left"/>
              <w:rPr>
                <w:rFonts w:asciiTheme="minorBidi" w:hAnsiTheme="minorBidi" w:eastAsiaTheme="majorEastAsia" w:cstheme="majorBidi"/>
                <w:b/>
                <w:bCs/>
                <w:i/>
                <w:iCs/>
                <w:sz w:val="16"/>
                <w:szCs w:val="16"/>
                <w:lang w:val="en-US"/>
              </w:rPr>
            </w:pPr>
            <w:r>
              <w:rPr>
                <w:rFonts w:asciiTheme="minorBidi" w:hAnsiTheme="minorBidi" w:eastAsiaTheme="majorEastAsia" w:cstheme="majorBidi"/>
                <w:b/>
                <w:bCs/>
                <w:i w:val="0"/>
                <w:iCs w:val="0"/>
                <w:sz w:val="16"/>
                <w:szCs w:val="16"/>
                <w:lang w:val="en-US"/>
              </w:rPr>
              <w:t>Element line</w:t>
            </w:r>
          </w:p>
        </w:tc>
        <w:tc>
          <w:tcPr>
            <w:tcW w:w="2396" w:type="dxa"/>
            <w:tcBorders>
              <w:top w:val="single" w:color="auto" w:sz="2" w:space="0"/>
              <w:bottom w:val="single" w:color="auto" w:sz="2" w:space="0"/>
            </w:tcBorders>
            <w:shd w:val="clear" w:color="auto" w:fill="FFFFFF" w:themeFill="background1"/>
          </w:tcPr>
          <w:p>
            <w:pPr>
              <w:spacing w:after="0" w:line="240" w:lineRule="auto"/>
              <w:jc w:val="left"/>
              <w:rPr>
                <w:rFonts w:asciiTheme="minorBidi" w:hAnsiTheme="minorBidi" w:eastAsiaTheme="majorEastAsia" w:cstheme="majorBidi"/>
                <w:b/>
                <w:bCs/>
                <w:i/>
                <w:iCs/>
                <w:sz w:val="16"/>
                <w:szCs w:val="16"/>
                <w:lang w:val="en-US"/>
              </w:rPr>
            </w:pPr>
            <w:r>
              <w:rPr>
                <w:rFonts w:asciiTheme="minorBidi" w:hAnsiTheme="minorBidi" w:eastAsiaTheme="majorEastAsia" w:cstheme="majorBidi"/>
                <w:b/>
                <w:bCs/>
                <w:i w:val="0"/>
                <w:iCs w:val="0"/>
                <w:sz w:val="16"/>
                <w:szCs w:val="16"/>
                <w:lang w:val="en-US"/>
              </w:rPr>
              <w:t>Net counts</w:t>
            </w:r>
          </w:p>
        </w:tc>
        <w:tc>
          <w:tcPr>
            <w:tcW w:w="2396" w:type="dxa"/>
            <w:tcBorders>
              <w:top w:val="single" w:color="auto" w:sz="2" w:space="0"/>
              <w:bottom w:val="single" w:color="auto" w:sz="2" w:space="0"/>
            </w:tcBorders>
            <w:shd w:val="clear" w:color="auto" w:fill="FFFFFF" w:themeFill="background1"/>
          </w:tcPr>
          <w:p>
            <w:pPr>
              <w:spacing w:after="0" w:line="240" w:lineRule="auto"/>
              <w:jc w:val="left"/>
              <w:rPr>
                <w:rFonts w:asciiTheme="minorBidi" w:hAnsiTheme="minorBidi" w:eastAsiaTheme="majorEastAsia" w:cstheme="majorBidi"/>
                <w:b/>
                <w:bCs/>
                <w:i/>
                <w:iCs/>
                <w:sz w:val="16"/>
                <w:szCs w:val="16"/>
                <w:lang w:val="en-US"/>
              </w:rPr>
            </w:pPr>
            <w:r>
              <w:rPr>
                <w:rFonts w:asciiTheme="minorBidi" w:hAnsiTheme="minorBidi" w:eastAsiaTheme="majorEastAsia" w:cstheme="majorBidi"/>
                <w:b/>
                <w:bCs/>
                <w:i w:val="0"/>
                <w:iCs w:val="0"/>
                <w:sz w:val="16"/>
                <w:szCs w:val="16"/>
                <w:lang w:val="en-US"/>
              </w:rPr>
              <w:t>Atom %</w:t>
            </w:r>
          </w:p>
        </w:tc>
      </w:tr>
      <w:tr>
        <w:trPr>
          <w:trHeight w:val="223" w:hRule="atLeast"/>
        </w:trPr>
        <w:tc>
          <w:tcPr>
            <w:tcW w:w="2154" w:type="dxa"/>
            <w:tcBorders>
              <w:top w:val="single" w:color="auto" w:sz="2" w:space="0"/>
              <w:right w:val="single" w:color="FFFFFF" w:themeColor="background1" w:sz="4" w:space="0"/>
            </w:tcBorders>
            <w:shd w:val="clear" w:color="auto" w:fill="FFFFFF" w:themeFill="background1"/>
            <w:vAlign w:val="center"/>
          </w:tcPr>
          <w:p>
            <w:pPr>
              <w:spacing w:after="0" w:line="240" w:lineRule="auto"/>
              <w:jc w:val="left"/>
              <w:rPr>
                <w:rFonts w:asciiTheme="minorBidi" w:hAnsiTheme="minorBidi" w:eastAsiaTheme="majorEastAsia" w:cstheme="majorBidi"/>
                <w:i/>
                <w:iCs/>
                <w:sz w:val="16"/>
                <w:szCs w:val="16"/>
                <w:lang w:val="en-US"/>
              </w:rPr>
            </w:pPr>
            <w:r>
              <w:rPr>
                <w:rFonts w:asciiTheme="minorBidi" w:hAnsiTheme="minorBidi" w:eastAsiaTheme="majorEastAsia" w:cstheme="majorBidi"/>
                <w:i w:val="0"/>
                <w:iCs w:val="0"/>
                <w:sz w:val="16"/>
                <w:szCs w:val="16"/>
                <w:lang w:val="en-US"/>
              </w:rPr>
              <w:t>C K</w:t>
            </w:r>
          </w:p>
        </w:tc>
        <w:tc>
          <w:tcPr>
            <w:tcW w:w="2396" w:type="dxa"/>
            <w:tcBorders>
              <w:top w:val="single" w:color="auto" w:sz="2" w:space="0"/>
              <w:left w:val="single" w:color="FFFFFF" w:themeColor="background1" w:sz="4" w:space="0"/>
            </w:tcBorders>
            <w:shd w:val="clear" w:color="auto" w:fill="F1F1F1" w:themeFill="background1" w:themeFillShade="F2"/>
            <w:vAlign w:val="center"/>
          </w:tcPr>
          <w:p>
            <w:pPr>
              <w:spacing w:after="0" w:line="240" w:lineRule="auto"/>
              <w:jc w:val="left"/>
              <w:rPr>
                <w:rFonts w:asciiTheme="minorBidi" w:hAnsiTheme="minorBidi"/>
                <w:sz w:val="16"/>
                <w:szCs w:val="16"/>
                <w:lang w:val="en-US"/>
              </w:rPr>
            </w:pPr>
            <w:r>
              <w:rPr>
                <w:rFonts w:asciiTheme="minorBidi" w:hAnsiTheme="minorBidi"/>
                <w:sz w:val="16"/>
                <w:szCs w:val="16"/>
                <w:lang w:val="en-US"/>
              </w:rPr>
              <w:t>4217</w:t>
            </w:r>
          </w:p>
        </w:tc>
        <w:tc>
          <w:tcPr>
            <w:tcW w:w="2396" w:type="dxa"/>
            <w:tcBorders>
              <w:top w:val="single" w:color="auto" w:sz="2" w:space="0"/>
            </w:tcBorders>
            <w:shd w:val="clear" w:color="auto" w:fill="F1F1F1" w:themeFill="background1" w:themeFillShade="F2"/>
            <w:vAlign w:val="center"/>
          </w:tcPr>
          <w:p>
            <w:pPr>
              <w:spacing w:after="0" w:line="240" w:lineRule="auto"/>
              <w:jc w:val="left"/>
              <w:rPr>
                <w:rFonts w:asciiTheme="minorBidi" w:hAnsiTheme="minorBidi"/>
                <w:sz w:val="16"/>
                <w:szCs w:val="16"/>
                <w:lang w:val="en-US"/>
              </w:rPr>
            </w:pPr>
            <w:r>
              <w:rPr>
                <w:rFonts w:asciiTheme="minorBidi" w:hAnsiTheme="minorBidi"/>
                <w:sz w:val="16"/>
                <w:szCs w:val="16"/>
                <w:lang w:val="en-US"/>
              </w:rPr>
              <w:t>10.82</w:t>
            </w:r>
            <w:r>
              <w:rPr>
                <w:rFonts w:hint="default" w:ascii="Arial" w:hAnsi="Arial" w:cs="Arial"/>
                <w:sz w:val="16"/>
                <w:szCs w:val="16"/>
                <w:lang w:val="en-US"/>
              </w:rPr>
              <w:t>±</w:t>
            </w:r>
            <w:r>
              <w:rPr>
                <w:rFonts w:hint="default" w:asciiTheme="minorBidi" w:hAnsiTheme="minorBidi" w:cstheme="minorBidi"/>
                <w:sz w:val="16"/>
                <w:szCs w:val="16"/>
              </w:rPr>
              <w:t>1.</w:t>
            </w:r>
            <w:r>
              <w:rPr>
                <w:rFonts w:hint="default" w:asciiTheme="minorBidi" w:hAnsiTheme="minorBidi" w:cstheme="minorBidi"/>
                <w:sz w:val="16"/>
                <w:szCs w:val="16"/>
              </w:rPr>
              <w:t>2</w:t>
            </w:r>
          </w:p>
        </w:tc>
      </w:tr>
      <w:tr>
        <w:trPr>
          <w:trHeight w:val="223" w:hRule="atLeast"/>
        </w:trPr>
        <w:tc>
          <w:tcPr>
            <w:tcW w:w="2154" w:type="dxa"/>
            <w:tcBorders>
              <w:right w:val="single" w:color="FFFFFF" w:themeColor="background1" w:sz="4" w:space="0"/>
            </w:tcBorders>
            <w:shd w:val="clear" w:color="auto" w:fill="FFFFFF" w:themeFill="background1"/>
            <w:vAlign w:val="center"/>
          </w:tcPr>
          <w:p>
            <w:pPr>
              <w:spacing w:after="0" w:line="240" w:lineRule="auto"/>
              <w:jc w:val="left"/>
              <w:rPr>
                <w:rFonts w:asciiTheme="minorBidi" w:hAnsiTheme="minorBidi" w:eastAsiaTheme="majorEastAsia" w:cstheme="majorBidi"/>
                <w:i/>
                <w:iCs/>
                <w:sz w:val="16"/>
                <w:szCs w:val="16"/>
                <w:lang w:val="en-US"/>
              </w:rPr>
            </w:pPr>
            <w:r>
              <w:rPr>
                <w:rFonts w:asciiTheme="minorBidi" w:hAnsiTheme="minorBidi" w:eastAsiaTheme="majorEastAsia" w:cstheme="majorBidi"/>
                <w:i w:val="0"/>
                <w:iCs w:val="0"/>
                <w:sz w:val="16"/>
                <w:szCs w:val="16"/>
                <w:lang w:val="en-US"/>
              </w:rPr>
              <w:t>N K</w:t>
            </w:r>
          </w:p>
        </w:tc>
        <w:tc>
          <w:tcPr>
            <w:tcW w:w="2396" w:type="dxa"/>
            <w:tcBorders>
              <w:left w:val="single" w:color="FFFFFF" w:themeColor="background1" w:sz="4" w:space="0"/>
            </w:tcBorders>
            <w:vAlign w:val="center"/>
          </w:tcPr>
          <w:p>
            <w:pPr>
              <w:spacing w:after="0" w:line="240" w:lineRule="auto"/>
              <w:jc w:val="left"/>
              <w:rPr>
                <w:rFonts w:asciiTheme="minorBidi" w:hAnsiTheme="minorBidi"/>
                <w:sz w:val="16"/>
                <w:szCs w:val="16"/>
                <w:lang w:val="en-US"/>
              </w:rPr>
            </w:pPr>
            <w:r>
              <w:rPr>
                <w:rFonts w:asciiTheme="minorBidi" w:hAnsiTheme="minorBidi"/>
                <w:sz w:val="16"/>
                <w:szCs w:val="16"/>
                <w:lang w:val="en-US"/>
              </w:rPr>
              <w:t>6305</w:t>
            </w:r>
          </w:p>
        </w:tc>
        <w:tc>
          <w:tcPr>
            <w:tcW w:w="2396" w:type="dxa"/>
            <w:vAlign w:val="center"/>
          </w:tcPr>
          <w:p>
            <w:pPr>
              <w:spacing w:after="0" w:line="240" w:lineRule="auto"/>
              <w:jc w:val="left"/>
              <w:rPr>
                <w:rFonts w:asciiTheme="minorBidi" w:hAnsiTheme="minorBidi"/>
                <w:sz w:val="16"/>
                <w:szCs w:val="16"/>
                <w:lang w:val="en-US"/>
              </w:rPr>
            </w:pPr>
            <w:r>
              <w:rPr>
                <w:rFonts w:asciiTheme="minorBidi" w:hAnsiTheme="minorBidi"/>
                <w:sz w:val="16"/>
                <w:szCs w:val="16"/>
                <w:lang w:val="en-US"/>
              </w:rPr>
              <w:t>20.43</w:t>
            </w:r>
            <w:r>
              <w:rPr>
                <w:rFonts w:hint="default" w:ascii="Arial" w:hAnsi="Arial" w:cs="Arial"/>
                <w:sz w:val="16"/>
                <w:szCs w:val="16"/>
                <w:lang w:val="en-US"/>
              </w:rPr>
              <w:t>±</w:t>
            </w:r>
            <w:r>
              <w:rPr>
                <w:rFonts w:hint="default" w:asciiTheme="minorBidi" w:hAnsiTheme="minorBidi" w:cstheme="minorBidi"/>
                <w:sz w:val="16"/>
                <w:szCs w:val="16"/>
              </w:rPr>
              <w:t>1.8</w:t>
            </w:r>
          </w:p>
        </w:tc>
      </w:tr>
      <w:tr>
        <w:trPr>
          <w:trHeight w:val="223" w:hRule="atLeast"/>
        </w:trPr>
        <w:tc>
          <w:tcPr>
            <w:tcW w:w="2154" w:type="dxa"/>
            <w:tcBorders>
              <w:bottom w:val="single" w:color="auto" w:sz="2" w:space="0"/>
              <w:right w:val="single" w:color="FFFFFF" w:themeColor="background1" w:sz="4" w:space="0"/>
            </w:tcBorders>
            <w:shd w:val="clear" w:color="auto" w:fill="FFFFFF" w:themeFill="background1"/>
            <w:vAlign w:val="center"/>
          </w:tcPr>
          <w:p>
            <w:pPr>
              <w:spacing w:after="0" w:line="240" w:lineRule="auto"/>
              <w:jc w:val="left"/>
              <w:rPr>
                <w:rFonts w:asciiTheme="minorBidi" w:hAnsiTheme="minorBidi" w:eastAsiaTheme="majorEastAsia" w:cstheme="majorBidi"/>
                <w:i/>
                <w:iCs/>
                <w:sz w:val="16"/>
                <w:szCs w:val="16"/>
                <w:lang w:val="en-US"/>
              </w:rPr>
            </w:pPr>
            <w:r>
              <w:rPr>
                <w:rFonts w:asciiTheme="minorBidi" w:hAnsiTheme="minorBidi" w:eastAsiaTheme="majorEastAsia" w:cstheme="majorBidi"/>
                <w:i w:val="0"/>
                <w:iCs w:val="0"/>
                <w:sz w:val="16"/>
                <w:szCs w:val="16"/>
                <w:lang w:val="en-US"/>
              </w:rPr>
              <w:t>I L</w:t>
            </w:r>
          </w:p>
        </w:tc>
        <w:tc>
          <w:tcPr>
            <w:tcW w:w="2396" w:type="dxa"/>
            <w:tcBorders>
              <w:left w:val="single" w:color="FFFFFF" w:themeColor="background1" w:sz="4" w:space="0"/>
              <w:bottom w:val="single" w:color="auto" w:sz="2" w:space="0"/>
            </w:tcBorders>
            <w:shd w:val="clear" w:color="auto" w:fill="F1F1F1" w:themeFill="background1" w:themeFillShade="F2"/>
            <w:vAlign w:val="center"/>
          </w:tcPr>
          <w:p>
            <w:pPr>
              <w:spacing w:after="0" w:line="240" w:lineRule="auto"/>
              <w:jc w:val="left"/>
              <w:rPr>
                <w:rFonts w:asciiTheme="minorBidi" w:hAnsiTheme="minorBidi"/>
                <w:sz w:val="16"/>
                <w:szCs w:val="16"/>
                <w:lang w:val="en-US"/>
              </w:rPr>
            </w:pPr>
            <w:r>
              <w:rPr>
                <w:rFonts w:asciiTheme="minorBidi" w:hAnsiTheme="minorBidi"/>
                <w:sz w:val="16"/>
                <w:szCs w:val="16"/>
                <w:lang w:val="en-US"/>
              </w:rPr>
              <w:t>572</w:t>
            </w:r>
          </w:p>
        </w:tc>
        <w:tc>
          <w:tcPr>
            <w:tcW w:w="2396" w:type="dxa"/>
            <w:tcBorders>
              <w:bottom w:val="single" w:color="auto" w:sz="2" w:space="0"/>
            </w:tcBorders>
            <w:shd w:val="clear" w:color="auto" w:fill="F1F1F1" w:themeFill="background1" w:themeFillShade="F2"/>
            <w:vAlign w:val="center"/>
          </w:tcPr>
          <w:p>
            <w:pPr>
              <w:keepNext/>
              <w:spacing w:after="0" w:line="240" w:lineRule="auto"/>
              <w:jc w:val="left"/>
              <w:rPr>
                <w:rFonts w:asciiTheme="minorBidi" w:hAnsiTheme="minorBidi"/>
                <w:sz w:val="16"/>
                <w:szCs w:val="16"/>
                <w:lang w:val="en-US"/>
              </w:rPr>
            </w:pPr>
            <w:r>
              <w:rPr>
                <w:rFonts w:asciiTheme="minorBidi" w:hAnsiTheme="minorBidi"/>
                <w:sz w:val="16"/>
                <w:szCs w:val="16"/>
                <w:lang w:val="en-US"/>
              </w:rPr>
              <w:t>0.17</w:t>
            </w:r>
            <w:r>
              <w:rPr>
                <w:rFonts w:hint="default" w:ascii="Arial" w:hAnsi="Arial" w:cs="Arial"/>
                <w:sz w:val="16"/>
                <w:szCs w:val="16"/>
                <w:lang w:val="en-US"/>
              </w:rPr>
              <w:t>±</w:t>
            </w:r>
            <w:r>
              <w:rPr>
                <w:rFonts w:hint="default" w:asciiTheme="minorBidi" w:hAnsiTheme="minorBidi" w:cstheme="minorBidi"/>
                <w:sz w:val="16"/>
                <w:szCs w:val="16"/>
              </w:rPr>
              <w:t>0.03</w:t>
            </w:r>
          </w:p>
        </w:tc>
      </w:tr>
    </w:tbl>
    <w:p>
      <w:pPr>
        <w:jc w:val="left"/>
        <w:rPr>
          <w:rFonts w:asciiTheme="minorBidi" w:hAnsiTheme="minorBidi"/>
          <w:sz w:val="16"/>
          <w:szCs w:val="16"/>
          <w:lang w:val="en-US" w:eastAsia="ko-KR"/>
        </w:rPr>
      </w:pPr>
    </w:p>
    <w:p>
      <w:pPr>
        <w:spacing w:line="360" w:lineRule="auto"/>
        <w:ind w:firstLine="720"/>
        <w:jc w:val="left"/>
        <w:rPr>
          <w:rFonts w:ascii="Times New Roman Regular" w:hAnsi="Times New Roman Regular" w:cs="Times New Roman Regular"/>
          <w:sz w:val="24"/>
          <w:szCs w:val="24"/>
          <w:lang w:val="en-US" w:eastAsia="ko-KR"/>
        </w:rPr>
      </w:pPr>
      <w:r>
        <w:rPr>
          <w:rFonts w:ascii="Times New Roman Regular" w:hAnsi="Times New Roman Regular" w:cs="Times New Roman Regular"/>
          <w:color w:val="000000" w:themeColor="text1"/>
          <w:sz w:val="24"/>
          <w:szCs w:val="24"/>
          <w:lang w:val="en-US" w:eastAsia="ko-KR"/>
          <w14:textFill>
            <w14:solidFill>
              <w14:schemeClr w14:val="tx1"/>
            </w14:solidFill>
          </w14:textFill>
        </w:rPr>
        <w:t>Surface morphologies of MAPbI</w:t>
      </w:r>
      <w:r>
        <w:rPr>
          <w:rFonts w:ascii="Times New Roman Regular" w:hAnsi="Times New Roman Regular" w:cs="Times New Roman Regular"/>
          <w:color w:val="000000" w:themeColor="text1"/>
          <w:sz w:val="24"/>
          <w:szCs w:val="24"/>
          <w:vertAlign w:val="subscript"/>
          <w:lang w:val="en-US" w:eastAsia="ko-KR"/>
          <w14:textFill>
            <w14:solidFill>
              <w14:schemeClr w14:val="tx1"/>
            </w14:solidFill>
          </w14:textFill>
        </w:rPr>
        <w:t>3</w:t>
      </w:r>
      <w:r>
        <w:rPr>
          <w:rFonts w:ascii="Times New Roman Regular" w:hAnsi="Times New Roman Regular" w:cs="Times New Roman Regular"/>
          <w:color w:val="000000" w:themeColor="text1"/>
          <w:sz w:val="24"/>
          <w:szCs w:val="24"/>
          <w:lang w:val="en-US" w:eastAsia="ko-KR"/>
          <w14:textFill>
            <w14:solidFill>
              <w14:schemeClr w14:val="tx1"/>
            </w14:solidFill>
          </w14:textFill>
        </w:rPr>
        <w:t xml:space="preserve"> with different deposition ratios of PbI</w:t>
      </w:r>
      <w:r>
        <w:rPr>
          <w:rFonts w:ascii="Times New Roman Regular" w:hAnsi="Times New Roman Regular" w:cs="Times New Roman Regular"/>
          <w:color w:val="000000" w:themeColor="text1"/>
          <w:sz w:val="24"/>
          <w:szCs w:val="24"/>
          <w:vertAlign w:val="subscript"/>
          <w:lang w:val="en-US" w:eastAsia="ko-KR"/>
          <w14:textFill>
            <w14:solidFill>
              <w14:schemeClr w14:val="tx1"/>
            </w14:solidFill>
          </w14:textFill>
        </w:rPr>
        <w:t>2</w:t>
      </w:r>
      <w:r>
        <w:rPr>
          <w:rFonts w:ascii="Times New Roman Regular" w:hAnsi="Times New Roman Regular" w:cs="Times New Roman Regular"/>
          <w:color w:val="000000" w:themeColor="text1"/>
          <w:sz w:val="24"/>
          <w:szCs w:val="24"/>
          <w:lang w:val="en-US" w:eastAsia="ko-KR"/>
          <w14:textFill>
            <w14:solidFill>
              <w14:schemeClr w14:val="tx1"/>
            </w14:solidFill>
          </w14:textFill>
        </w:rPr>
        <w:t xml:space="preserve"> and MAI are shown in Figure S2. In MAPbI</w:t>
      </w:r>
      <w:r>
        <w:rPr>
          <w:rFonts w:ascii="Times New Roman Regular" w:hAnsi="Times New Roman Regular" w:cs="Times New Roman Regular"/>
          <w:color w:val="000000" w:themeColor="text1"/>
          <w:sz w:val="24"/>
          <w:szCs w:val="24"/>
          <w:vertAlign w:val="subscript"/>
          <w:lang w:val="en-US" w:eastAsia="ko-KR"/>
          <w14:textFill>
            <w14:solidFill>
              <w14:schemeClr w14:val="tx1"/>
            </w14:solidFill>
          </w14:textFill>
        </w:rPr>
        <w:t>3</w:t>
      </w:r>
      <w:r>
        <w:rPr>
          <w:rFonts w:ascii="Times New Roman Regular" w:hAnsi="Times New Roman Regular" w:cs="Times New Roman Regular"/>
          <w:color w:val="000000" w:themeColor="text1"/>
          <w:sz w:val="24"/>
          <w:szCs w:val="24"/>
          <w:lang w:val="en-US" w:eastAsia="ko-KR"/>
          <w14:textFill>
            <w14:solidFill>
              <w14:schemeClr w14:val="tx1"/>
            </w14:solidFill>
          </w14:textFill>
        </w:rPr>
        <w:t xml:space="preserve"> film with the ratio of PbI</w:t>
      </w:r>
      <w:r>
        <w:rPr>
          <w:rFonts w:ascii="Times New Roman Regular" w:hAnsi="Times New Roman Regular" w:cs="Times New Roman Regular"/>
          <w:color w:val="000000" w:themeColor="text1"/>
          <w:sz w:val="24"/>
          <w:szCs w:val="24"/>
          <w:vertAlign w:val="subscript"/>
          <w:lang w:val="en-US" w:eastAsia="ko-KR"/>
          <w14:textFill>
            <w14:solidFill>
              <w14:schemeClr w14:val="tx1"/>
            </w14:solidFill>
          </w14:textFill>
        </w:rPr>
        <w:t>2</w:t>
      </w:r>
      <w:r>
        <w:rPr>
          <w:rFonts w:ascii="Times New Roman Regular" w:hAnsi="Times New Roman Regular" w:cs="Times New Roman Regular"/>
          <w:color w:val="000000" w:themeColor="text1"/>
          <w:sz w:val="24"/>
          <w:szCs w:val="24"/>
          <w:lang w:val="en-US" w:eastAsia="ko-KR"/>
          <w14:textFill>
            <w14:solidFill>
              <w14:schemeClr w14:val="tx1"/>
            </w14:solidFill>
          </w14:textFill>
        </w:rPr>
        <w:t>:MAI = 1:0.5, the average grain size is around 100 nm (Figure S2a). As the amount of MAI increases with the ratio PbI</w:t>
      </w:r>
      <w:r>
        <w:rPr>
          <w:rFonts w:ascii="Times New Roman Regular" w:hAnsi="Times New Roman Regular" w:cs="Times New Roman Regular"/>
          <w:color w:val="000000" w:themeColor="text1"/>
          <w:sz w:val="24"/>
          <w:szCs w:val="24"/>
          <w:vertAlign w:val="subscript"/>
          <w:lang w:val="en-US" w:eastAsia="ko-KR"/>
          <w14:textFill>
            <w14:solidFill>
              <w14:schemeClr w14:val="tx1"/>
            </w14:solidFill>
          </w14:textFill>
        </w:rPr>
        <w:t>2</w:t>
      </w:r>
      <w:r>
        <w:rPr>
          <w:rFonts w:ascii="Times New Roman Regular" w:hAnsi="Times New Roman Regular" w:cs="Times New Roman Regular"/>
          <w:color w:val="000000" w:themeColor="text1"/>
          <w:sz w:val="24"/>
          <w:szCs w:val="24"/>
          <w:lang w:val="en-US" w:eastAsia="ko-KR"/>
          <w14:textFill>
            <w14:solidFill>
              <w14:schemeClr w14:val="tx1"/>
            </w14:solidFill>
          </w14:textFill>
        </w:rPr>
        <w:t>:MAI = 1:1, the size of most grains does not change, however bigger grains with a size of 150 nm appear Figure S2b. When the ratio of PbI</w:t>
      </w:r>
      <w:r>
        <w:rPr>
          <w:rFonts w:ascii="Times New Roman Regular" w:hAnsi="Times New Roman Regular" w:cs="Times New Roman Regular"/>
          <w:color w:val="000000" w:themeColor="text1"/>
          <w:sz w:val="24"/>
          <w:szCs w:val="24"/>
          <w:vertAlign w:val="subscript"/>
          <w:lang w:val="en-US" w:eastAsia="ko-KR"/>
          <w14:textFill>
            <w14:solidFill>
              <w14:schemeClr w14:val="tx1"/>
            </w14:solidFill>
          </w14:textFill>
        </w:rPr>
        <w:t>2</w:t>
      </w:r>
      <w:r>
        <w:rPr>
          <w:rFonts w:ascii="Times New Roman Regular" w:hAnsi="Times New Roman Regular" w:cs="Times New Roman Regular"/>
          <w:color w:val="000000" w:themeColor="text1"/>
          <w:sz w:val="24"/>
          <w:szCs w:val="24"/>
          <w:lang w:val="en-US" w:eastAsia="ko-KR"/>
          <w14:textFill>
            <w14:solidFill>
              <w14:schemeClr w14:val="tx1"/>
            </w14:solidFill>
          </w14:textFill>
        </w:rPr>
        <w:t xml:space="preserve"> and MAI equals 1 to 2.5, the grain size is </w:t>
      </w:r>
      <w:r>
        <w:rPr>
          <w:rFonts w:ascii="Times New Roman Regular" w:hAnsi="Times New Roman Regular" w:eastAsia="바탕" w:cs="Times New Roman Regular"/>
          <w:color w:val="000000" w:themeColor="text1"/>
          <w:sz w:val="24"/>
          <w:szCs w:val="24"/>
          <w:lang w:val="en-US" w:eastAsia="ko-KR"/>
          <w14:textFill>
            <w14:solidFill>
              <w14:schemeClr w14:val="tx1"/>
            </w14:solidFill>
          </w14:textFill>
        </w:rPr>
        <w:t xml:space="preserve">the </w:t>
      </w:r>
      <w:r>
        <w:rPr>
          <w:rFonts w:ascii="Times New Roman Regular" w:hAnsi="Times New Roman Regular" w:cs="Times New Roman Regular"/>
          <w:color w:val="000000" w:themeColor="text1"/>
          <w:sz w:val="24"/>
          <w:szCs w:val="24"/>
          <w:lang w:val="en-US" w:eastAsia="ko-KR"/>
          <w14:textFill>
            <w14:solidFill>
              <w14:schemeClr w14:val="tx1"/>
            </w14:solidFill>
          </w14:textFill>
        </w:rPr>
        <w:t xml:space="preserve">biggest in all films, and the average grain size is around 250 nm Figure S2c. Figure S2d </w:t>
      </w:r>
      <w:r>
        <w:rPr>
          <w:rFonts w:ascii="Times New Roman Regular" w:hAnsi="Times New Roman Regular" w:eastAsia="바탕" w:cs="Times New Roman Regular"/>
          <w:color w:val="000000" w:themeColor="text1"/>
          <w:sz w:val="24"/>
          <w:szCs w:val="24"/>
          <w:lang w:val="en-US" w:eastAsia="ko-KR"/>
          <w14:textFill>
            <w14:solidFill>
              <w14:schemeClr w14:val="tx1"/>
            </w14:solidFill>
          </w14:textFill>
        </w:rPr>
        <w:t>shows X-ray diffraction (XRD) patterns of MAPbI</w:t>
      </w:r>
      <w:r>
        <w:rPr>
          <w:rFonts w:ascii="Times New Roman Regular" w:hAnsi="Times New Roman Regular" w:eastAsia="바탕" w:cs="Times New Roman Regular"/>
          <w:color w:val="000000" w:themeColor="text1"/>
          <w:sz w:val="24"/>
          <w:szCs w:val="24"/>
          <w:vertAlign w:val="subscript"/>
          <w:lang w:val="en-US" w:eastAsia="ko-KR"/>
          <w14:textFill>
            <w14:solidFill>
              <w14:schemeClr w14:val="tx1"/>
            </w14:solidFill>
          </w14:textFill>
        </w:rPr>
        <w:t>3</w:t>
      </w:r>
      <w:r>
        <w:rPr>
          <w:rFonts w:ascii="Times New Roman Regular" w:hAnsi="Times New Roman Regular" w:eastAsia="바탕" w:cs="Times New Roman Regular"/>
          <w:color w:val="000000" w:themeColor="text1"/>
          <w:sz w:val="24"/>
          <w:szCs w:val="24"/>
          <w:lang w:val="en-US" w:eastAsia="ko-KR"/>
          <w14:textFill>
            <w14:solidFill>
              <w14:schemeClr w14:val="tx1"/>
            </w14:solidFill>
          </w14:textFill>
        </w:rPr>
        <w:t xml:space="preserve"> with the different ratios. Major peaks (2θ) at 14.2°, 28.6°, and 32.2° are shown in the spectra, and they indicate three tetragonal phases of (001), (220), and (301) in MAPbI</w:t>
      </w:r>
      <w:r>
        <w:rPr>
          <w:rFonts w:ascii="Times New Roman Regular" w:hAnsi="Times New Roman Regular" w:eastAsia="바탕" w:cs="Times New Roman Regular"/>
          <w:color w:val="000000" w:themeColor="text1"/>
          <w:sz w:val="24"/>
          <w:szCs w:val="24"/>
          <w:vertAlign w:val="subscript"/>
          <w:lang w:val="en-US" w:eastAsia="ko-KR"/>
          <w14:textFill>
            <w14:solidFill>
              <w14:schemeClr w14:val="tx1"/>
            </w14:solidFill>
          </w14:textFill>
        </w:rPr>
        <w:t>3</w:t>
      </w:r>
      <w:r>
        <w:rPr>
          <w:rFonts w:ascii="Times New Roman Regular" w:hAnsi="Times New Roman Regular" w:eastAsia="바탕" w:cs="Times New Roman Regular"/>
          <w:color w:val="000000" w:themeColor="text1"/>
          <w:sz w:val="24"/>
          <w:szCs w:val="24"/>
          <w:lang w:val="en-US" w:eastAsia="ko-KR"/>
          <w14:textFill>
            <w14:solidFill>
              <w14:schemeClr w14:val="tx1"/>
            </w14:solidFill>
          </w14:textFill>
        </w:rPr>
        <w:t>, respectively. In addition, the peak at 2θ = 12.5° (black star) is (001) phased PbI</w:t>
      </w:r>
      <w:r>
        <w:rPr>
          <w:rFonts w:ascii="Times New Roman Regular" w:hAnsi="Times New Roman Regular" w:eastAsia="바탕" w:cs="Times New Roman Regular"/>
          <w:color w:val="000000" w:themeColor="text1"/>
          <w:sz w:val="24"/>
          <w:szCs w:val="24"/>
          <w:vertAlign w:val="subscript"/>
          <w:lang w:val="en-US" w:eastAsia="ko-KR"/>
          <w14:textFill>
            <w14:solidFill>
              <w14:schemeClr w14:val="tx1"/>
            </w14:solidFill>
          </w14:textFill>
        </w:rPr>
        <w:t>2</w:t>
      </w:r>
      <w:r>
        <w:rPr>
          <w:rFonts w:ascii="Times New Roman Regular" w:hAnsi="Times New Roman Regular" w:eastAsia="바탕" w:cs="Times New Roman Regular"/>
          <w:color w:val="000000" w:themeColor="text1"/>
          <w:sz w:val="24"/>
          <w:szCs w:val="24"/>
          <w:lang w:val="en-US" w:eastAsia="ko-KR"/>
          <w14:textFill>
            <w14:solidFill>
              <w14:schemeClr w14:val="tx1"/>
            </w14:solidFill>
          </w14:textFill>
        </w:rPr>
        <w:t>.  When the amount of MAI in deposition increases, the peak of PbI</w:t>
      </w:r>
      <w:r>
        <w:rPr>
          <w:rFonts w:ascii="Times New Roman Regular" w:hAnsi="Times New Roman Regular" w:eastAsia="바탕" w:cs="Times New Roman Regular"/>
          <w:color w:val="000000" w:themeColor="text1"/>
          <w:sz w:val="24"/>
          <w:szCs w:val="24"/>
          <w:vertAlign w:val="subscript"/>
          <w:lang w:val="en-US" w:eastAsia="ko-KR"/>
          <w14:textFill>
            <w14:solidFill>
              <w14:schemeClr w14:val="tx1"/>
            </w14:solidFill>
          </w14:textFill>
        </w:rPr>
        <w:t>2</w:t>
      </w:r>
      <w:r>
        <w:rPr>
          <w:rFonts w:ascii="Times New Roman Regular" w:hAnsi="Times New Roman Regular" w:eastAsia="바탕" w:cs="Times New Roman Regular"/>
          <w:color w:val="000000" w:themeColor="text1"/>
          <w:sz w:val="24"/>
          <w:szCs w:val="24"/>
          <w:lang w:val="en-US" w:eastAsia="ko-KR"/>
          <w14:textFill>
            <w14:solidFill>
              <w14:schemeClr w14:val="tx1"/>
            </w14:solidFill>
          </w14:textFill>
        </w:rPr>
        <w:t xml:space="preserve"> at 12.5° decreases, and it is negligible in MAPbI</w:t>
      </w:r>
      <w:r>
        <w:rPr>
          <w:rFonts w:ascii="Times New Roman Regular" w:hAnsi="Times New Roman Regular" w:eastAsia="바탕" w:cs="Times New Roman Regular"/>
          <w:color w:val="000000" w:themeColor="text1"/>
          <w:sz w:val="24"/>
          <w:szCs w:val="24"/>
          <w:vertAlign w:val="subscript"/>
          <w:lang w:val="en-US" w:eastAsia="ko-KR"/>
          <w14:textFill>
            <w14:solidFill>
              <w14:schemeClr w14:val="tx1"/>
            </w14:solidFill>
          </w14:textFill>
        </w:rPr>
        <w:t>3</w:t>
      </w:r>
      <w:r>
        <w:rPr>
          <w:rFonts w:ascii="Times New Roman Regular" w:hAnsi="Times New Roman Regular" w:eastAsia="바탕" w:cs="Times New Roman Regular"/>
          <w:color w:val="000000" w:themeColor="text1"/>
          <w:sz w:val="24"/>
          <w:szCs w:val="24"/>
          <w:lang w:val="en-US" w:eastAsia="ko-KR"/>
          <w14:textFill>
            <w14:solidFill>
              <w14:schemeClr w14:val="tx1"/>
            </w14:solidFill>
          </w14:textFill>
        </w:rPr>
        <w:t xml:space="preserve"> with the ratio of </w:t>
      </w:r>
      <w:r>
        <w:rPr>
          <w:rFonts w:ascii="Times New Roman Regular" w:hAnsi="Times New Roman Regular" w:cs="Times New Roman Regular"/>
          <w:color w:val="000000" w:themeColor="text1"/>
          <w:sz w:val="24"/>
          <w:szCs w:val="24"/>
          <w:lang w:val="en-US" w:eastAsia="ko-KR"/>
          <w14:textFill>
            <w14:solidFill>
              <w14:schemeClr w14:val="tx1"/>
            </w14:solidFill>
          </w14:textFill>
        </w:rPr>
        <w:t>1 to 2.5. Furthermore, the phase (110) in MAPbI</w:t>
      </w:r>
      <w:r>
        <w:rPr>
          <w:rFonts w:ascii="Times New Roman Regular" w:hAnsi="Times New Roman Regular" w:cs="Times New Roman Regular"/>
          <w:color w:val="000000" w:themeColor="text1"/>
          <w:sz w:val="24"/>
          <w:szCs w:val="24"/>
          <w:vertAlign w:val="subscript"/>
          <w:lang w:val="en-US" w:eastAsia="ko-KR"/>
          <w14:textFill>
            <w14:solidFill>
              <w14:schemeClr w14:val="tx1"/>
            </w14:solidFill>
          </w14:textFill>
        </w:rPr>
        <w:t>3</w:t>
      </w:r>
      <w:r>
        <w:rPr>
          <w:rFonts w:ascii="Times New Roman Regular" w:hAnsi="Times New Roman Regular" w:cs="Times New Roman Regular"/>
          <w:color w:val="000000" w:themeColor="text1"/>
          <w:sz w:val="24"/>
          <w:szCs w:val="24"/>
          <w:lang w:val="en-US" w:eastAsia="ko-KR"/>
          <w14:textFill>
            <w14:solidFill>
              <w14:schemeClr w14:val="tx1"/>
            </w14:solidFill>
          </w14:textFill>
        </w:rPr>
        <w:t xml:space="preserve"> is relatively more dominant compared than the phase (220) as the proportion of MAI increases. Table S2 indicates net counts and atomic percentages of each element (carbon, nitrogen, lead, and iodine) calculated from EDX spectra of MAPbI</w:t>
      </w:r>
      <w:r>
        <w:rPr>
          <w:rFonts w:ascii="Times New Roman Regular" w:hAnsi="Times New Roman Regular" w:cs="Times New Roman Regular"/>
          <w:color w:val="000000" w:themeColor="text1"/>
          <w:sz w:val="24"/>
          <w:szCs w:val="24"/>
          <w:vertAlign w:val="subscript"/>
          <w:lang w:val="en-US" w:eastAsia="ko-KR"/>
          <w14:textFill>
            <w14:solidFill>
              <w14:schemeClr w14:val="tx1"/>
            </w14:solidFill>
          </w14:textFill>
        </w:rPr>
        <w:t>3</w:t>
      </w:r>
      <w:r>
        <w:rPr>
          <w:rFonts w:ascii="Times New Roman Regular" w:hAnsi="Times New Roman Regular" w:cs="Times New Roman Regular"/>
          <w:color w:val="000000" w:themeColor="text1"/>
          <w:sz w:val="24"/>
          <w:szCs w:val="24"/>
          <w:lang w:val="en-US" w:eastAsia="ko-KR"/>
          <w14:textFill>
            <w14:solidFill>
              <w14:schemeClr w14:val="tx1"/>
            </w14:solidFill>
          </w14:textFill>
        </w:rPr>
        <w:t xml:space="preserve"> with different ratios of PbI</w:t>
      </w:r>
      <w:r>
        <w:rPr>
          <w:rFonts w:ascii="Times New Roman Regular" w:hAnsi="Times New Roman Regular" w:cs="Times New Roman Regular"/>
          <w:color w:val="000000" w:themeColor="text1"/>
          <w:sz w:val="24"/>
          <w:szCs w:val="24"/>
          <w:vertAlign w:val="subscript"/>
          <w:lang w:val="en-US" w:eastAsia="ko-KR"/>
          <w14:textFill>
            <w14:solidFill>
              <w14:schemeClr w14:val="tx1"/>
            </w14:solidFill>
          </w14:textFill>
        </w:rPr>
        <w:t>2</w:t>
      </w:r>
      <w:r>
        <w:rPr>
          <w:rFonts w:ascii="Times New Roman Regular" w:hAnsi="Times New Roman Regular" w:cs="Times New Roman Regular"/>
          <w:color w:val="000000" w:themeColor="text1"/>
          <w:sz w:val="24"/>
          <w:szCs w:val="24"/>
          <w:lang w:val="en-US" w:eastAsia="ko-KR"/>
          <w14:textFill>
            <w14:solidFill>
              <w14:schemeClr w14:val="tx1"/>
            </w14:solidFill>
          </w14:textFill>
        </w:rPr>
        <w:t xml:space="preserve"> and MAI. The atomic percentages of carbon and lead don’t change. However, the percentages of nitrogen and iodine increase as the amount of MAI increases</w:t>
      </w:r>
      <w:r>
        <w:rPr>
          <w:rFonts w:ascii="Times New Roman Regular" w:hAnsi="Times New Roman Regular" w:cs="Times New Roman Regular"/>
          <w:sz w:val="24"/>
          <w:szCs w:val="24"/>
          <w:lang w:val="en-US" w:eastAsia="ko-KR"/>
        </w:rPr>
        <w:t>.</w:t>
      </w:r>
    </w:p>
    <w:p>
      <w:pPr>
        <w:jc w:val="left"/>
        <w:rPr>
          <w:rFonts w:asciiTheme="minorBidi" w:hAnsiTheme="minorBidi"/>
          <w:sz w:val="16"/>
          <w:szCs w:val="16"/>
          <w:lang w:val="en-US" w:eastAsia="ko-KR"/>
        </w:rPr>
      </w:pPr>
    </w:p>
    <w:p>
      <w:pPr>
        <w:keepNext/>
        <w:jc w:val="left"/>
      </w:pPr>
      <w:r>
        <w:rPr>
          <w:rFonts w:asciiTheme="minorBidi" w:hAnsiTheme="minorBidi"/>
          <w:lang w:eastAsia="ko-KR"/>
        </w:rPr>
        <w:drawing>
          <wp:inline distT="0" distB="0" distL="0" distR="0">
            <wp:extent cx="5731510" cy="5473065"/>
            <wp:effectExtent l="0" t="0" r="0" b="635"/>
            <wp:docPr id="18"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그림 17"/>
                    <pic:cNvPicPr>
                      <a:picLocks noChangeAspect="1"/>
                    </pic:cNvPicPr>
                  </pic:nvPicPr>
                  <pic:blipFill>
                    <a:blip r:embed="rId5"/>
                    <a:srcRect b="6120"/>
                    <a:stretch>
                      <a:fillRect/>
                    </a:stretch>
                  </pic:blipFill>
                  <pic:spPr>
                    <a:xfrm>
                      <a:off x="0" y="0"/>
                      <a:ext cx="5731510" cy="5473148"/>
                    </a:xfrm>
                    <a:prstGeom prst="rect">
                      <a:avLst/>
                    </a:prstGeom>
                    <a:ln>
                      <a:noFill/>
                    </a:ln>
                  </pic:spPr>
                </pic:pic>
              </a:graphicData>
            </a:graphic>
          </wp:inline>
        </w:drawing>
      </w:r>
      <w:r>
        <w:rPr>
          <w:rFonts w:asciiTheme="minorBidi" w:hAnsiTheme="minorBidi"/>
          <w:lang w:eastAsia="ko-KR"/>
        </w:rPr>
        <w:t xml:space="preserve"> </w:t>
      </w:r>
      <w:r>
        <w:rPr>
          <w:rFonts w:asciiTheme="minorBidi" w:hAnsiTheme="minorBidi"/>
          <w:lang w:val="en-US" w:eastAsia="ko-KR"/>
        </w:rPr>
        <w:t xml:space="preserve"> </w:t>
      </w:r>
    </w:p>
    <w:p>
      <w:pPr>
        <w:pStyle w:val="3"/>
        <w:jc w:val="left"/>
        <w:rPr>
          <w:rFonts w:ascii="Times New Roman Regular" w:hAnsi="Times New Roman Regular" w:eastAsia="바탕" w:cs="Times New Roman Regular"/>
          <w:i w:val="0"/>
          <w:sz w:val="24"/>
          <w:szCs w:val="24"/>
          <w:lang w:val="en-US"/>
        </w:rPr>
      </w:pPr>
      <w:r>
        <w:rPr>
          <w:rFonts w:ascii="Times New Roman Regular" w:hAnsi="Times New Roman Regular" w:cs="Times New Roman Regular"/>
          <w:b w:val="0"/>
          <w:bCs/>
          <w:i w:val="0"/>
          <w:iCs w:val="0"/>
          <w:color w:val="000000" w:themeColor="text1"/>
          <w:sz w:val="24"/>
          <w:szCs w:val="24"/>
          <w:lang w:val="en-US"/>
          <w14:textFill>
            <w14:solidFill>
              <w14:schemeClr w14:val="tx1"/>
            </w14:solidFill>
          </w14:textFill>
        </w:rPr>
        <w:t xml:space="preserve">Figure </w:t>
      </w:r>
      <w:r>
        <w:rPr>
          <w:rFonts w:ascii="Times New Roman Regular" w:hAnsi="Times New Roman Regular" w:cs="Times New Roman Regular"/>
          <w:b w:val="0"/>
          <w:bCs/>
          <w:i w:val="0"/>
          <w:iCs w:val="0"/>
          <w:color w:val="000000" w:themeColor="text1"/>
          <w:sz w:val="24"/>
          <w:szCs w:val="24"/>
          <w14:textFill>
            <w14:solidFill>
              <w14:schemeClr w14:val="tx1"/>
            </w14:solidFill>
          </w14:textFill>
        </w:rPr>
        <w:t xml:space="preserve">S2 </w:t>
      </w:r>
      <w:r>
        <w:rPr>
          <w:rFonts w:ascii="Times New Roman Regular" w:hAnsi="Times New Roman Regular" w:cs="Times New Roman Regular"/>
          <w:i w:val="0"/>
          <w:iCs w:val="0"/>
          <w:color w:val="000000" w:themeColor="text1"/>
          <w:sz w:val="24"/>
          <w:szCs w:val="24"/>
          <w:lang w:val="en-US"/>
          <w14:textFill>
            <w14:solidFill>
              <w14:schemeClr w14:val="tx1"/>
            </w14:solidFill>
          </w14:textFill>
        </w:rPr>
        <w:t>Scanning electron microscopy (SEM) images of MAPbI</w:t>
      </w:r>
      <w:r>
        <w:rPr>
          <w:rFonts w:ascii="Times New Roman Regular" w:hAnsi="Times New Roman Regular" w:cs="Times New Roman Regular"/>
          <w:i w:val="0"/>
          <w:iCs w:val="0"/>
          <w:color w:val="000000" w:themeColor="text1"/>
          <w:sz w:val="24"/>
          <w:szCs w:val="24"/>
          <w:vertAlign w:val="subscript"/>
          <w:lang w:val="en-US"/>
          <w14:textFill>
            <w14:solidFill>
              <w14:schemeClr w14:val="tx1"/>
            </w14:solidFill>
          </w14:textFill>
        </w:rPr>
        <w:t>3</w:t>
      </w:r>
      <w:r>
        <w:rPr>
          <w:rFonts w:ascii="Times New Roman Regular" w:hAnsi="Times New Roman Regular" w:cs="Times New Roman Regular"/>
          <w:i w:val="0"/>
          <w:iCs w:val="0"/>
          <w:color w:val="000000" w:themeColor="text1"/>
          <w:sz w:val="24"/>
          <w:szCs w:val="24"/>
          <w:lang w:val="en-US"/>
          <w14:textFill>
            <w14:solidFill>
              <w14:schemeClr w14:val="tx1"/>
            </w14:solidFill>
          </w14:textFill>
        </w:rPr>
        <w:t xml:space="preserve"> film with different deposition ratio of PbI</w:t>
      </w:r>
      <w:r>
        <w:rPr>
          <w:rFonts w:ascii="Times New Roman Regular" w:hAnsi="Times New Roman Regular" w:cs="Times New Roman Regular"/>
          <w:i w:val="0"/>
          <w:iCs w:val="0"/>
          <w:color w:val="000000" w:themeColor="text1"/>
          <w:sz w:val="24"/>
          <w:szCs w:val="24"/>
          <w:vertAlign w:val="subscript"/>
          <w:lang w:val="en-US"/>
          <w14:textFill>
            <w14:solidFill>
              <w14:schemeClr w14:val="tx1"/>
            </w14:solidFill>
          </w14:textFill>
        </w:rPr>
        <w:t>2</w:t>
      </w:r>
      <w:r>
        <w:rPr>
          <w:rFonts w:ascii="Times New Roman Regular" w:hAnsi="Times New Roman Regular" w:cs="Times New Roman Regular"/>
          <w:i w:val="0"/>
          <w:iCs w:val="0"/>
          <w:color w:val="000000" w:themeColor="text1"/>
          <w:sz w:val="24"/>
          <w:szCs w:val="24"/>
          <w:lang w:val="en-US"/>
          <w14:textFill>
            <w14:solidFill>
              <w14:schemeClr w14:val="tx1"/>
            </w14:solidFill>
          </w14:textFill>
        </w:rPr>
        <w:t xml:space="preserve"> and MAI a) 1:0.5, b) 1:1 and c) 1:2.5,</w:t>
      </w:r>
      <w:r>
        <w:rPr>
          <w:rFonts w:ascii="Times New Roman Regular" w:hAnsi="Times New Roman Regular" w:cs="Times New Roman Regular"/>
          <w:i w:val="0"/>
          <w:iCs w:val="0"/>
          <w:color w:val="000000" w:themeColor="text1"/>
          <w:sz w:val="24"/>
          <w:szCs w:val="24"/>
          <w:lang w:val="en-US"/>
          <w14:textFill>
            <w14:solidFill>
              <w14:schemeClr w14:val="tx1"/>
            </w14:solidFill>
          </w14:textFill>
        </w:rPr>
        <w:t xml:space="preserve"> </w:t>
      </w:r>
      <w:r>
        <w:rPr>
          <w:rFonts w:ascii="Times New Roman Regular" w:hAnsi="Times New Roman Regular" w:cs="Times New Roman Regular"/>
          <w:i w:val="0"/>
          <w:iCs w:val="0"/>
          <w:color w:val="000000" w:themeColor="text1"/>
          <w:sz w:val="24"/>
          <w:szCs w:val="24"/>
          <w:lang w:val="en-US"/>
          <w14:textFill>
            <w14:solidFill>
              <w14:schemeClr w14:val="tx1"/>
            </w14:solidFill>
          </w14:textFill>
        </w:rPr>
        <w:t>d) X-ray diffraction (XRD) patterns  of MAPbI</w:t>
      </w:r>
      <w:r>
        <w:rPr>
          <w:rFonts w:ascii="Times New Roman Regular" w:hAnsi="Times New Roman Regular" w:cs="Times New Roman Regular"/>
          <w:i w:val="0"/>
          <w:iCs w:val="0"/>
          <w:color w:val="000000" w:themeColor="text1"/>
          <w:sz w:val="24"/>
          <w:szCs w:val="24"/>
          <w:vertAlign w:val="subscript"/>
          <w:lang w:val="en-US"/>
          <w14:textFill>
            <w14:solidFill>
              <w14:schemeClr w14:val="tx1"/>
            </w14:solidFill>
          </w14:textFill>
        </w:rPr>
        <w:t>3</w:t>
      </w:r>
      <w:r>
        <w:rPr>
          <w:rFonts w:ascii="Times New Roman Regular" w:hAnsi="Times New Roman Regular" w:cs="Times New Roman Regular"/>
          <w:i w:val="0"/>
          <w:iCs w:val="0"/>
          <w:color w:val="000000" w:themeColor="text1"/>
          <w:sz w:val="24"/>
          <w:szCs w:val="24"/>
          <w:lang w:val="en-US"/>
          <w14:textFill>
            <w14:solidFill>
              <w14:schemeClr w14:val="tx1"/>
            </w14:solidFill>
          </w14:textFill>
        </w:rPr>
        <w:t xml:space="preserve"> film with different deposition ratio of PbI</w:t>
      </w:r>
      <w:r>
        <w:rPr>
          <w:rFonts w:ascii="Times New Roman Regular" w:hAnsi="Times New Roman Regular" w:cs="Times New Roman Regular"/>
          <w:i w:val="0"/>
          <w:iCs w:val="0"/>
          <w:color w:val="000000" w:themeColor="text1"/>
          <w:sz w:val="24"/>
          <w:szCs w:val="24"/>
          <w:vertAlign w:val="subscript"/>
          <w:lang w:val="en-US"/>
          <w14:textFill>
            <w14:solidFill>
              <w14:schemeClr w14:val="tx1"/>
            </w14:solidFill>
          </w14:textFill>
        </w:rPr>
        <w:t>2</w:t>
      </w:r>
      <w:r>
        <w:rPr>
          <w:rFonts w:ascii="Times New Roman Regular" w:hAnsi="Times New Roman Regular" w:cs="Times New Roman Regular"/>
          <w:i w:val="0"/>
          <w:iCs w:val="0"/>
          <w:color w:val="000000" w:themeColor="text1"/>
          <w:sz w:val="24"/>
          <w:szCs w:val="24"/>
          <w:lang w:val="en-US"/>
          <w14:textFill>
            <w14:solidFill>
              <w14:schemeClr w14:val="tx1"/>
            </w14:solidFill>
          </w14:textFill>
        </w:rPr>
        <w:t xml:space="preserve"> and MAI. </w:t>
      </w:r>
    </w:p>
    <w:p>
      <w:pPr>
        <w:pStyle w:val="3"/>
        <w:keepNext/>
        <w:jc w:val="left"/>
        <w:rPr>
          <w:rFonts w:ascii="Times New Roman Regular" w:hAnsi="Times New Roman Regular" w:cs="Times New Roman Regular"/>
          <w:i w:val="0"/>
          <w:iCs w:val="0"/>
          <w:color w:val="000000" w:themeColor="text1"/>
          <w:sz w:val="24"/>
          <w:szCs w:val="24"/>
          <w:lang w:val="en-US"/>
          <w14:textFill>
            <w14:solidFill>
              <w14:schemeClr w14:val="tx1"/>
            </w14:solidFill>
          </w14:textFill>
        </w:rPr>
      </w:pPr>
      <w:r>
        <w:rPr>
          <w:rFonts w:ascii="Times New Roman Regular" w:hAnsi="Times New Roman Regular" w:cs="Times New Roman Regular"/>
          <w:b w:val="0"/>
          <w:bCs/>
          <w:i w:val="0"/>
          <w:iCs w:val="0"/>
          <w:color w:val="000000" w:themeColor="text1"/>
          <w:sz w:val="24"/>
          <w:szCs w:val="24"/>
          <w:lang w:val="en-US"/>
          <w14:textFill>
            <w14:solidFill>
              <w14:schemeClr w14:val="tx1"/>
            </w14:solidFill>
          </w14:textFill>
        </w:rPr>
        <w:t>Table S</w:t>
      </w:r>
      <w:r>
        <w:rPr>
          <w:rFonts w:ascii="Times New Roman Regular" w:hAnsi="Times New Roman Regular" w:cs="Times New Roman Regular"/>
          <w:b w:val="0"/>
          <w:bCs/>
          <w:i w:val="0"/>
          <w:iCs w:val="0"/>
          <w:color w:val="000000" w:themeColor="text1"/>
          <w:sz w:val="24"/>
          <w:szCs w:val="24"/>
          <w14:textFill>
            <w14:solidFill>
              <w14:schemeClr w14:val="tx1"/>
            </w14:solidFill>
          </w14:textFill>
        </w:rPr>
        <w:t>2</w:t>
      </w:r>
      <w:r>
        <w:rPr>
          <w:rFonts w:ascii="Times New Roman Regular" w:hAnsi="Times New Roman Regular" w:cs="Times New Roman Regular"/>
          <w:i w:val="0"/>
          <w:iCs w:val="0"/>
          <w:color w:val="000000" w:themeColor="text1"/>
          <w:sz w:val="24"/>
          <w:szCs w:val="24"/>
          <w:lang w:val="en-US"/>
          <w14:textFill>
            <w14:solidFill>
              <w14:schemeClr w14:val="tx1"/>
            </w14:solidFill>
          </w14:textFill>
        </w:rPr>
        <w:t xml:space="preserve"> Energy-dispersive x-ray spectroscopy (EDX) analysis of carbon (C), nitrogen (N), lead (Pb), and iodine (I) in MAPbI</w:t>
      </w:r>
      <w:r>
        <w:rPr>
          <w:rFonts w:ascii="Times New Roman Regular" w:hAnsi="Times New Roman Regular" w:cs="Times New Roman Regular"/>
          <w:i w:val="0"/>
          <w:iCs w:val="0"/>
          <w:color w:val="000000" w:themeColor="text1"/>
          <w:sz w:val="24"/>
          <w:szCs w:val="24"/>
          <w:vertAlign w:val="subscript"/>
          <w:lang w:val="en-US"/>
          <w14:textFill>
            <w14:solidFill>
              <w14:schemeClr w14:val="tx1"/>
            </w14:solidFill>
          </w14:textFill>
        </w:rPr>
        <w:t>3</w:t>
      </w:r>
      <w:r>
        <w:rPr>
          <w:rFonts w:ascii="Times New Roman Regular" w:hAnsi="Times New Roman Regular" w:cs="Times New Roman Regular"/>
          <w:i w:val="0"/>
          <w:iCs w:val="0"/>
          <w:color w:val="000000" w:themeColor="text1"/>
          <w:sz w:val="24"/>
          <w:szCs w:val="24"/>
          <w:lang w:val="en-US"/>
          <w14:textFill>
            <w14:solidFill>
              <w14:schemeClr w14:val="tx1"/>
            </w14:solidFill>
          </w14:textFill>
        </w:rPr>
        <w:t xml:space="preserve"> according to deposition ratio of PbI</w:t>
      </w:r>
      <w:r>
        <w:rPr>
          <w:rFonts w:ascii="Times New Roman Regular" w:hAnsi="Times New Roman Regular" w:cs="Times New Roman Regular"/>
          <w:i w:val="0"/>
          <w:iCs w:val="0"/>
          <w:color w:val="000000" w:themeColor="text1"/>
          <w:sz w:val="24"/>
          <w:szCs w:val="24"/>
          <w:vertAlign w:val="subscript"/>
          <w:lang w:val="en-US"/>
          <w14:textFill>
            <w14:solidFill>
              <w14:schemeClr w14:val="tx1"/>
            </w14:solidFill>
          </w14:textFill>
        </w:rPr>
        <w:t>2</w:t>
      </w:r>
      <w:r>
        <w:rPr>
          <w:rFonts w:ascii="Times New Roman Regular" w:hAnsi="Times New Roman Regular" w:cs="Times New Roman Regular"/>
          <w:i w:val="0"/>
          <w:iCs w:val="0"/>
          <w:color w:val="000000" w:themeColor="text1"/>
          <w:sz w:val="24"/>
          <w:szCs w:val="24"/>
          <w:lang w:val="en-US"/>
          <w14:textFill>
            <w14:solidFill>
              <w14:schemeClr w14:val="tx1"/>
            </w14:solidFill>
          </w14:textFill>
        </w:rPr>
        <w:t xml:space="preserve"> and MAI.</w:t>
      </w:r>
    </w:p>
    <w:tbl>
      <w:tblPr>
        <w:tblStyle w:val="18"/>
        <w:tblW w:w="0" w:type="auto"/>
        <w:jc w:val="center"/>
        <w:tblLayout w:type="autofit"/>
        <w:tblCellMar>
          <w:top w:w="0" w:type="dxa"/>
          <w:left w:w="108" w:type="dxa"/>
          <w:bottom w:w="0" w:type="dxa"/>
          <w:right w:w="108" w:type="dxa"/>
        </w:tblCellMar>
      </w:tblPr>
      <w:tblGrid>
        <w:gridCol w:w="2268"/>
        <w:gridCol w:w="1937"/>
        <w:gridCol w:w="1937"/>
        <w:gridCol w:w="1938"/>
      </w:tblGrid>
      <w:tr>
        <w:trPr>
          <w:trHeight w:val="390" w:hRule="atLeast"/>
          <w:jc w:val="center"/>
        </w:trPr>
        <w:tc>
          <w:tcPr>
            <w:tcW w:w="2268" w:type="dxa"/>
            <w:tcBorders>
              <w:bottom w:val="single" w:color="7E7E7E" w:themeColor="text1" w:themeTint="80" w:sz="4" w:space="0"/>
              <w:right w:val="nil"/>
              <w:insideH w:val="single" w:sz="4" w:space="0"/>
            </w:tcBorders>
            <w:shd w:val="clear" w:color="auto" w:fill="FFFFFF" w:themeFill="background1"/>
            <w:vAlign w:val="center"/>
          </w:tcPr>
          <w:p>
            <w:pPr>
              <w:spacing w:after="0" w:line="240" w:lineRule="auto"/>
              <w:jc w:val="left"/>
              <w:rPr>
                <w:rFonts w:ascii="Times New Roman Regular" w:hAnsi="Times New Roman Regular" w:cs="Times New Roman Regular" w:eastAsiaTheme="majorEastAsia"/>
                <w:b w:val="0"/>
                <w:bCs/>
                <w:i w:val="0"/>
                <w:iCs/>
                <w:sz w:val="24"/>
                <w:szCs w:val="24"/>
                <w:lang w:val="en-US"/>
              </w:rPr>
            </w:pPr>
            <w:r>
              <w:rPr>
                <w:rFonts w:ascii="Times New Roman Regular" w:hAnsi="Times New Roman Regular" w:cs="Times New Roman Regular" w:eastAsiaTheme="majorEastAsia"/>
                <w:b w:val="0"/>
                <w:bCs/>
                <w:i w:val="0"/>
                <w:iCs w:val="0"/>
                <w:sz w:val="24"/>
                <w:szCs w:val="24"/>
                <w:lang w:val="en-US"/>
              </w:rPr>
              <w:t>PbI</w:t>
            </w:r>
            <w:r>
              <w:rPr>
                <w:rFonts w:ascii="Times New Roman Regular" w:hAnsi="Times New Roman Regular" w:cs="Times New Roman Regular" w:eastAsiaTheme="majorEastAsia"/>
                <w:b w:val="0"/>
                <w:bCs/>
                <w:i w:val="0"/>
                <w:iCs w:val="0"/>
                <w:sz w:val="24"/>
                <w:szCs w:val="24"/>
                <w:vertAlign w:val="subscript"/>
                <w:lang w:val="en-US"/>
              </w:rPr>
              <w:t>2</w:t>
            </w:r>
            <w:r>
              <w:rPr>
                <w:rFonts w:ascii="Times New Roman Regular" w:hAnsi="Times New Roman Regular" w:cs="Times New Roman Regular" w:eastAsiaTheme="majorEastAsia"/>
                <w:b w:val="0"/>
                <w:bCs/>
                <w:i w:val="0"/>
                <w:iCs w:val="0"/>
                <w:sz w:val="24"/>
                <w:szCs w:val="24"/>
                <w:lang w:val="en-US"/>
              </w:rPr>
              <w:t>: MAI deposition ratio</w:t>
            </w:r>
          </w:p>
        </w:tc>
        <w:tc>
          <w:tcPr>
            <w:tcW w:w="1937" w:type="dxa"/>
            <w:tcBorders>
              <w:bottom w:val="single" w:color="7E7E7E" w:themeColor="text1" w:themeTint="80" w:sz="4" w:space="0"/>
              <w:insideH w:val="single" w:sz="4" w:space="0"/>
            </w:tcBorders>
            <w:shd w:val="clear" w:color="auto" w:fill="FFFFFF" w:themeFill="background1"/>
            <w:vAlign w:val="center"/>
          </w:tcPr>
          <w:p>
            <w:pPr>
              <w:spacing w:after="0" w:line="240" w:lineRule="auto"/>
              <w:jc w:val="left"/>
              <w:rPr>
                <w:rFonts w:ascii="Times New Roman Regular" w:hAnsi="Times New Roman Regular" w:cs="Times New Roman Regular" w:eastAsiaTheme="majorEastAsia"/>
                <w:b w:val="0"/>
                <w:bCs/>
                <w:i w:val="0"/>
                <w:iCs/>
                <w:sz w:val="24"/>
                <w:szCs w:val="24"/>
                <w:lang w:val="en-US"/>
              </w:rPr>
            </w:pPr>
            <w:r>
              <w:rPr>
                <w:rFonts w:ascii="Times New Roman Regular" w:hAnsi="Times New Roman Regular" w:cs="Times New Roman Regular" w:eastAsiaTheme="majorEastAsia"/>
                <w:b w:val="0"/>
                <w:bCs/>
                <w:i w:val="0"/>
                <w:iCs w:val="0"/>
                <w:sz w:val="24"/>
                <w:szCs w:val="24"/>
                <w:lang w:val="en-US"/>
              </w:rPr>
              <w:t>1 : 0.5</w:t>
            </w:r>
          </w:p>
        </w:tc>
        <w:tc>
          <w:tcPr>
            <w:tcW w:w="1937" w:type="dxa"/>
            <w:tcBorders>
              <w:bottom w:val="single" w:color="7E7E7E" w:themeColor="text1" w:themeTint="80" w:sz="4" w:space="0"/>
              <w:insideH w:val="single" w:sz="4" w:space="0"/>
            </w:tcBorders>
            <w:shd w:val="clear" w:color="auto" w:fill="FFFFFF" w:themeFill="background1"/>
            <w:vAlign w:val="center"/>
          </w:tcPr>
          <w:p>
            <w:pPr>
              <w:spacing w:after="0" w:line="240" w:lineRule="auto"/>
              <w:jc w:val="left"/>
              <w:rPr>
                <w:rFonts w:ascii="Times New Roman Regular" w:hAnsi="Times New Roman Regular" w:cs="Times New Roman Regular" w:eastAsiaTheme="majorEastAsia"/>
                <w:b w:val="0"/>
                <w:bCs/>
                <w:i w:val="0"/>
                <w:iCs/>
                <w:sz w:val="24"/>
                <w:szCs w:val="24"/>
                <w:lang w:val="en-US"/>
              </w:rPr>
            </w:pPr>
            <w:r>
              <w:rPr>
                <w:rFonts w:ascii="Times New Roman Regular" w:hAnsi="Times New Roman Regular" w:cs="Times New Roman Regular" w:eastAsiaTheme="majorEastAsia"/>
                <w:b w:val="0"/>
                <w:bCs/>
                <w:i w:val="0"/>
                <w:iCs w:val="0"/>
                <w:sz w:val="24"/>
                <w:szCs w:val="24"/>
                <w:lang w:val="en-US"/>
              </w:rPr>
              <w:t>1 : 1</w:t>
            </w:r>
          </w:p>
        </w:tc>
        <w:tc>
          <w:tcPr>
            <w:tcW w:w="1938" w:type="dxa"/>
            <w:tcBorders>
              <w:bottom w:val="single" w:color="7E7E7E" w:themeColor="text1" w:themeTint="80" w:sz="4" w:space="0"/>
              <w:insideH w:val="single" w:sz="4" w:space="0"/>
            </w:tcBorders>
            <w:shd w:val="clear" w:color="auto" w:fill="FFFFFF" w:themeFill="background1"/>
            <w:vAlign w:val="center"/>
          </w:tcPr>
          <w:p>
            <w:pPr>
              <w:spacing w:after="0" w:line="240" w:lineRule="auto"/>
              <w:jc w:val="left"/>
              <w:rPr>
                <w:rFonts w:ascii="Times New Roman Regular" w:hAnsi="Times New Roman Regular" w:cs="Times New Roman Regular" w:eastAsiaTheme="majorEastAsia"/>
                <w:b w:val="0"/>
                <w:bCs/>
                <w:i w:val="0"/>
                <w:iCs/>
                <w:sz w:val="24"/>
                <w:szCs w:val="24"/>
                <w:lang w:val="en-US"/>
              </w:rPr>
            </w:pPr>
            <w:r>
              <w:rPr>
                <w:rFonts w:ascii="Times New Roman Regular" w:hAnsi="Times New Roman Regular" w:cs="Times New Roman Regular" w:eastAsiaTheme="majorEastAsia"/>
                <w:b w:val="0"/>
                <w:bCs/>
                <w:i w:val="0"/>
                <w:iCs w:val="0"/>
                <w:sz w:val="24"/>
                <w:szCs w:val="24"/>
                <w:lang w:val="en-US"/>
              </w:rPr>
              <w:t>1 : 2.5</w:t>
            </w:r>
          </w:p>
        </w:tc>
      </w:tr>
      <w:tr>
        <w:trPr>
          <w:trHeight w:val="271" w:hRule="atLeast"/>
          <w:jc w:val="center"/>
        </w:trPr>
        <w:tc>
          <w:tcPr>
            <w:tcW w:w="2268" w:type="dxa"/>
            <w:tcBorders>
              <w:right w:val="single" w:color="FFFFFF" w:sz="4" w:space="0"/>
            </w:tcBorders>
            <w:shd w:val="clear" w:color="auto" w:fill="FFFFFF" w:themeFill="background1"/>
            <w:vAlign w:val="center"/>
          </w:tcPr>
          <w:p>
            <w:pPr>
              <w:spacing w:after="0" w:line="240" w:lineRule="auto"/>
              <w:jc w:val="left"/>
              <w:rPr>
                <w:rFonts w:ascii="Times New Roman Regular" w:hAnsi="Times New Roman Regular" w:cs="Times New Roman Regular" w:eastAsiaTheme="majorEastAsia"/>
                <w:i w:val="0"/>
                <w:iCs/>
                <w:sz w:val="24"/>
                <w:szCs w:val="24"/>
                <w:lang w:val="en-US"/>
              </w:rPr>
            </w:pPr>
            <w:r>
              <w:rPr>
                <w:rFonts w:ascii="Times New Roman Regular" w:hAnsi="Times New Roman Regular" w:cs="Times New Roman Regular" w:eastAsiaTheme="majorEastAsia"/>
                <w:i w:val="0"/>
                <w:iCs w:val="0"/>
                <w:sz w:val="24"/>
                <w:szCs w:val="24"/>
                <w:lang w:val="en-US"/>
              </w:rPr>
              <w:t>Net counts of C</w:t>
            </w:r>
          </w:p>
        </w:tc>
        <w:tc>
          <w:tcPr>
            <w:tcW w:w="1937" w:type="dxa"/>
            <w:tcBorders>
              <w:left w:val="single" w:color="FFFFFF" w:sz="4" w:space="0"/>
            </w:tcBorders>
            <w:shd w:val="clear" w:color="auto" w:fill="F1F1F1" w:themeFill="background1" w:themeFillShade="F2"/>
            <w:vAlign w:val="center"/>
          </w:tcPr>
          <w:p>
            <w:pPr>
              <w:spacing w:after="0" w:line="240" w:lineRule="auto"/>
              <w:jc w:val="left"/>
              <w:rPr>
                <w:rFonts w:ascii="Times New Roman Regular" w:hAnsi="Times New Roman Regular" w:cs="Times New Roman Regular"/>
                <w:sz w:val="24"/>
                <w:szCs w:val="24"/>
                <w:lang w:val="en-US"/>
              </w:rPr>
            </w:pPr>
            <w:r>
              <w:rPr>
                <w:rFonts w:ascii="Times New Roman Regular" w:hAnsi="Times New Roman Regular" w:cs="Times New Roman Regular"/>
                <w:sz w:val="24"/>
                <w:szCs w:val="24"/>
                <w:lang w:val="en-US"/>
              </w:rPr>
              <w:t>3613</w:t>
            </w:r>
          </w:p>
        </w:tc>
        <w:tc>
          <w:tcPr>
            <w:tcW w:w="1937" w:type="dxa"/>
            <w:shd w:val="clear" w:color="auto" w:fill="F1F1F1" w:themeFill="background1" w:themeFillShade="F2"/>
            <w:vAlign w:val="center"/>
          </w:tcPr>
          <w:p>
            <w:pPr>
              <w:spacing w:after="0" w:line="240" w:lineRule="auto"/>
              <w:jc w:val="left"/>
              <w:rPr>
                <w:rFonts w:ascii="Times New Roman Regular" w:hAnsi="Times New Roman Regular" w:cs="Times New Roman Regular"/>
                <w:sz w:val="24"/>
                <w:szCs w:val="24"/>
                <w:lang w:val="en-US"/>
              </w:rPr>
            </w:pPr>
            <w:r>
              <w:rPr>
                <w:rFonts w:ascii="Times New Roman Regular" w:hAnsi="Times New Roman Regular" w:cs="Times New Roman Regular"/>
                <w:sz w:val="24"/>
                <w:szCs w:val="24"/>
                <w:lang w:val="en-US"/>
              </w:rPr>
              <w:t>4247</w:t>
            </w:r>
          </w:p>
        </w:tc>
        <w:tc>
          <w:tcPr>
            <w:tcW w:w="1938" w:type="dxa"/>
            <w:shd w:val="clear" w:color="auto" w:fill="F1F1F1" w:themeFill="background1" w:themeFillShade="F2"/>
            <w:vAlign w:val="center"/>
          </w:tcPr>
          <w:p>
            <w:pPr>
              <w:spacing w:after="0" w:line="240" w:lineRule="auto"/>
              <w:jc w:val="left"/>
              <w:rPr>
                <w:rFonts w:ascii="Times New Roman Regular" w:hAnsi="Times New Roman Regular" w:cs="Times New Roman Regular"/>
                <w:sz w:val="24"/>
                <w:szCs w:val="24"/>
                <w:lang w:val="en-US"/>
              </w:rPr>
            </w:pPr>
            <w:r>
              <w:rPr>
                <w:rFonts w:ascii="Times New Roman Regular" w:hAnsi="Times New Roman Regular" w:cs="Times New Roman Regular"/>
                <w:sz w:val="24"/>
                <w:szCs w:val="24"/>
                <w:lang w:val="en-US"/>
              </w:rPr>
              <w:t>4550</w:t>
            </w:r>
          </w:p>
        </w:tc>
      </w:tr>
      <w:tr>
        <w:trPr>
          <w:trHeight w:val="271" w:hRule="atLeast"/>
          <w:jc w:val="center"/>
        </w:trPr>
        <w:tc>
          <w:tcPr>
            <w:tcW w:w="2268" w:type="dxa"/>
            <w:tcBorders>
              <w:right w:val="single" w:color="FFFFFF" w:sz="4" w:space="0"/>
            </w:tcBorders>
            <w:shd w:val="clear" w:color="auto" w:fill="FFFFFF" w:themeFill="background1"/>
            <w:vAlign w:val="center"/>
          </w:tcPr>
          <w:p>
            <w:pPr>
              <w:spacing w:after="0" w:line="240" w:lineRule="auto"/>
              <w:jc w:val="left"/>
              <w:rPr>
                <w:rFonts w:ascii="Times New Roman Regular" w:hAnsi="Times New Roman Regular" w:cs="Times New Roman Regular" w:eastAsiaTheme="majorEastAsia"/>
                <w:i w:val="0"/>
                <w:iCs/>
                <w:sz w:val="24"/>
                <w:szCs w:val="24"/>
                <w:lang w:val="en-US"/>
              </w:rPr>
            </w:pPr>
            <w:r>
              <w:rPr>
                <w:rFonts w:ascii="Times New Roman Regular" w:hAnsi="Times New Roman Regular" w:cs="Times New Roman Regular" w:eastAsiaTheme="majorEastAsia"/>
                <w:i w:val="0"/>
                <w:iCs w:val="0"/>
                <w:sz w:val="24"/>
                <w:szCs w:val="24"/>
                <w:lang w:val="en-US"/>
              </w:rPr>
              <w:t>Atom % of C</w:t>
            </w:r>
          </w:p>
        </w:tc>
        <w:tc>
          <w:tcPr>
            <w:tcW w:w="1937" w:type="dxa"/>
            <w:tcBorders>
              <w:left w:val="single" w:color="FFFFFF" w:sz="4" w:space="0"/>
            </w:tcBorders>
            <w:vAlign w:val="center"/>
          </w:tcPr>
          <w:p>
            <w:pPr>
              <w:spacing w:after="0" w:line="240" w:lineRule="auto"/>
              <w:jc w:val="left"/>
              <w:rPr>
                <w:rFonts w:ascii="Times New Roman Regular" w:hAnsi="Times New Roman Regular" w:cs="Times New Roman Regular"/>
                <w:sz w:val="24"/>
                <w:szCs w:val="24"/>
                <w:lang w:val="en-US"/>
              </w:rPr>
            </w:pPr>
            <w:r>
              <w:rPr>
                <w:rFonts w:ascii="Times New Roman Regular" w:hAnsi="Times New Roman Regular" w:cs="Times New Roman Regular"/>
                <w:sz w:val="24"/>
                <w:szCs w:val="24"/>
                <w:lang w:val="en-US"/>
              </w:rPr>
              <w:t>10.66</w:t>
            </w:r>
          </w:p>
        </w:tc>
        <w:tc>
          <w:tcPr>
            <w:tcW w:w="1937" w:type="dxa"/>
            <w:vAlign w:val="center"/>
          </w:tcPr>
          <w:p>
            <w:pPr>
              <w:spacing w:after="0" w:line="240" w:lineRule="auto"/>
              <w:jc w:val="left"/>
              <w:rPr>
                <w:rFonts w:ascii="Times New Roman Regular" w:hAnsi="Times New Roman Regular" w:cs="Times New Roman Regular"/>
                <w:sz w:val="24"/>
                <w:szCs w:val="24"/>
                <w:lang w:val="en-US"/>
              </w:rPr>
            </w:pPr>
            <w:r>
              <w:rPr>
                <w:rFonts w:ascii="Times New Roman Regular" w:hAnsi="Times New Roman Regular" w:cs="Times New Roman Regular"/>
                <w:sz w:val="24"/>
                <w:szCs w:val="24"/>
                <w:lang w:val="en-US"/>
              </w:rPr>
              <w:t>10.66</w:t>
            </w:r>
          </w:p>
        </w:tc>
        <w:tc>
          <w:tcPr>
            <w:tcW w:w="1938" w:type="dxa"/>
            <w:vAlign w:val="center"/>
          </w:tcPr>
          <w:p>
            <w:pPr>
              <w:spacing w:after="0" w:line="240" w:lineRule="auto"/>
              <w:jc w:val="left"/>
              <w:rPr>
                <w:rFonts w:ascii="Times New Roman Regular" w:hAnsi="Times New Roman Regular" w:cs="Times New Roman Regular"/>
                <w:sz w:val="24"/>
                <w:szCs w:val="24"/>
                <w:lang w:val="en-US"/>
              </w:rPr>
            </w:pPr>
            <w:r>
              <w:rPr>
                <w:rFonts w:ascii="Times New Roman Regular" w:hAnsi="Times New Roman Regular" w:cs="Times New Roman Regular"/>
                <w:sz w:val="24"/>
                <w:szCs w:val="24"/>
                <w:lang w:val="en-US"/>
              </w:rPr>
              <w:t>10.31</w:t>
            </w:r>
          </w:p>
        </w:tc>
      </w:tr>
      <w:tr>
        <w:trPr>
          <w:trHeight w:val="271" w:hRule="atLeast"/>
          <w:jc w:val="center"/>
        </w:trPr>
        <w:tc>
          <w:tcPr>
            <w:tcW w:w="2268" w:type="dxa"/>
            <w:tcBorders>
              <w:right w:val="single" w:color="FFFFFF" w:sz="4" w:space="0"/>
            </w:tcBorders>
            <w:shd w:val="clear" w:color="auto" w:fill="FFFFFF" w:themeFill="background1"/>
            <w:vAlign w:val="center"/>
          </w:tcPr>
          <w:p>
            <w:pPr>
              <w:spacing w:after="0" w:line="240" w:lineRule="auto"/>
              <w:jc w:val="left"/>
              <w:rPr>
                <w:rFonts w:ascii="Times New Roman Regular" w:hAnsi="Times New Roman Regular" w:cs="Times New Roman Regular" w:eastAsiaTheme="majorEastAsia"/>
                <w:i w:val="0"/>
                <w:iCs/>
                <w:sz w:val="24"/>
                <w:szCs w:val="24"/>
                <w:lang w:val="en-US"/>
              </w:rPr>
            </w:pPr>
            <w:r>
              <w:rPr>
                <w:rFonts w:ascii="Times New Roman Regular" w:hAnsi="Times New Roman Regular" w:cs="Times New Roman Regular" w:eastAsiaTheme="majorEastAsia"/>
                <w:i w:val="0"/>
                <w:iCs w:val="0"/>
                <w:sz w:val="24"/>
                <w:szCs w:val="24"/>
                <w:lang w:val="en-US"/>
              </w:rPr>
              <w:t>Net counts of N</w:t>
            </w:r>
          </w:p>
        </w:tc>
        <w:tc>
          <w:tcPr>
            <w:tcW w:w="1937" w:type="dxa"/>
            <w:tcBorders>
              <w:left w:val="single" w:color="FFFFFF" w:sz="4" w:space="0"/>
            </w:tcBorders>
            <w:shd w:val="clear" w:color="auto" w:fill="F1F1F1" w:themeFill="background1" w:themeFillShade="F2"/>
            <w:vAlign w:val="center"/>
          </w:tcPr>
          <w:p>
            <w:pPr>
              <w:spacing w:after="0" w:line="240" w:lineRule="auto"/>
              <w:jc w:val="left"/>
              <w:rPr>
                <w:rFonts w:ascii="Times New Roman Regular" w:hAnsi="Times New Roman Regular" w:cs="Times New Roman Regular"/>
                <w:sz w:val="24"/>
                <w:szCs w:val="24"/>
                <w:lang w:val="en-US"/>
              </w:rPr>
            </w:pPr>
            <w:r>
              <w:rPr>
                <w:rFonts w:ascii="Times New Roman Regular" w:hAnsi="Times New Roman Regular" w:cs="Times New Roman Regular"/>
                <w:sz w:val="24"/>
                <w:szCs w:val="24"/>
                <w:lang w:val="en-US"/>
              </w:rPr>
              <w:t>4461</w:t>
            </w:r>
          </w:p>
        </w:tc>
        <w:tc>
          <w:tcPr>
            <w:tcW w:w="1937" w:type="dxa"/>
            <w:shd w:val="clear" w:color="auto" w:fill="F1F1F1" w:themeFill="background1" w:themeFillShade="F2"/>
            <w:vAlign w:val="center"/>
          </w:tcPr>
          <w:p>
            <w:pPr>
              <w:spacing w:after="0" w:line="240" w:lineRule="auto"/>
              <w:jc w:val="left"/>
              <w:rPr>
                <w:rFonts w:ascii="Times New Roman Regular" w:hAnsi="Times New Roman Regular" w:cs="Times New Roman Regular"/>
                <w:sz w:val="24"/>
                <w:szCs w:val="24"/>
                <w:lang w:val="en-US"/>
              </w:rPr>
            </w:pPr>
            <w:r>
              <w:rPr>
                <w:rFonts w:ascii="Times New Roman Regular" w:hAnsi="Times New Roman Regular" w:cs="Times New Roman Regular"/>
                <w:sz w:val="24"/>
                <w:szCs w:val="24"/>
                <w:lang w:val="en-US"/>
              </w:rPr>
              <w:t>5431</w:t>
            </w:r>
          </w:p>
        </w:tc>
        <w:tc>
          <w:tcPr>
            <w:tcW w:w="1938" w:type="dxa"/>
            <w:shd w:val="clear" w:color="auto" w:fill="F1F1F1" w:themeFill="background1" w:themeFillShade="F2"/>
            <w:vAlign w:val="center"/>
          </w:tcPr>
          <w:p>
            <w:pPr>
              <w:spacing w:after="0" w:line="240" w:lineRule="auto"/>
              <w:jc w:val="left"/>
              <w:rPr>
                <w:rFonts w:ascii="Times New Roman Regular" w:hAnsi="Times New Roman Regular" w:cs="Times New Roman Regular"/>
                <w:sz w:val="24"/>
                <w:szCs w:val="24"/>
                <w:lang w:val="en-US"/>
              </w:rPr>
            </w:pPr>
            <w:r>
              <w:rPr>
                <w:rFonts w:ascii="Times New Roman Regular" w:hAnsi="Times New Roman Regular" w:cs="Times New Roman Regular"/>
                <w:sz w:val="24"/>
                <w:szCs w:val="24"/>
                <w:lang w:val="en-US"/>
              </w:rPr>
              <w:t>6561</w:t>
            </w:r>
          </w:p>
        </w:tc>
      </w:tr>
      <w:tr>
        <w:trPr>
          <w:trHeight w:val="271" w:hRule="atLeast"/>
          <w:jc w:val="center"/>
        </w:trPr>
        <w:tc>
          <w:tcPr>
            <w:tcW w:w="2268" w:type="dxa"/>
            <w:tcBorders>
              <w:right w:val="single" w:color="FFFFFF" w:sz="4" w:space="0"/>
            </w:tcBorders>
            <w:shd w:val="clear" w:color="auto" w:fill="FFFFFF" w:themeFill="background1"/>
            <w:vAlign w:val="center"/>
          </w:tcPr>
          <w:p>
            <w:pPr>
              <w:spacing w:after="0" w:line="240" w:lineRule="auto"/>
              <w:jc w:val="left"/>
              <w:rPr>
                <w:rFonts w:ascii="Times New Roman Regular" w:hAnsi="Times New Roman Regular" w:cs="Times New Roman Regular" w:eastAsiaTheme="majorEastAsia"/>
                <w:i w:val="0"/>
                <w:iCs/>
                <w:sz w:val="24"/>
                <w:szCs w:val="24"/>
                <w:lang w:val="en-US"/>
              </w:rPr>
            </w:pPr>
            <w:r>
              <w:rPr>
                <w:rFonts w:ascii="Times New Roman Regular" w:hAnsi="Times New Roman Regular" w:cs="Times New Roman Regular" w:eastAsiaTheme="majorEastAsia"/>
                <w:i w:val="0"/>
                <w:iCs w:val="0"/>
                <w:sz w:val="24"/>
                <w:szCs w:val="24"/>
                <w:lang w:val="en-US"/>
              </w:rPr>
              <w:t>Atom % of N</w:t>
            </w:r>
          </w:p>
        </w:tc>
        <w:tc>
          <w:tcPr>
            <w:tcW w:w="1937" w:type="dxa"/>
            <w:tcBorders>
              <w:left w:val="single" w:color="FFFFFF" w:sz="4" w:space="0"/>
            </w:tcBorders>
            <w:vAlign w:val="center"/>
          </w:tcPr>
          <w:p>
            <w:pPr>
              <w:spacing w:after="0" w:line="240" w:lineRule="auto"/>
              <w:jc w:val="left"/>
              <w:rPr>
                <w:rFonts w:ascii="Times New Roman Regular" w:hAnsi="Times New Roman Regular" w:cs="Times New Roman Regular"/>
                <w:sz w:val="24"/>
                <w:szCs w:val="24"/>
                <w:lang w:val="en-US"/>
              </w:rPr>
            </w:pPr>
            <w:r>
              <w:rPr>
                <w:rFonts w:ascii="Times New Roman Regular" w:hAnsi="Times New Roman Regular" w:cs="Times New Roman Regular"/>
                <w:sz w:val="24"/>
                <w:szCs w:val="24"/>
                <w:lang w:val="en-US"/>
              </w:rPr>
              <w:t>18.49</w:t>
            </w:r>
          </w:p>
        </w:tc>
        <w:tc>
          <w:tcPr>
            <w:tcW w:w="1937" w:type="dxa"/>
            <w:vAlign w:val="center"/>
          </w:tcPr>
          <w:p>
            <w:pPr>
              <w:spacing w:after="0" w:line="240" w:lineRule="auto"/>
              <w:jc w:val="left"/>
              <w:rPr>
                <w:rFonts w:ascii="Times New Roman Regular" w:hAnsi="Times New Roman Regular" w:cs="Times New Roman Regular"/>
                <w:sz w:val="24"/>
                <w:szCs w:val="24"/>
                <w:lang w:val="en-US"/>
              </w:rPr>
            </w:pPr>
            <w:r>
              <w:rPr>
                <w:rFonts w:ascii="Times New Roman Regular" w:hAnsi="Times New Roman Regular" w:cs="Times New Roman Regular"/>
                <w:sz w:val="24"/>
                <w:szCs w:val="24"/>
                <w:lang w:val="en-US"/>
              </w:rPr>
              <w:t>19.07</w:t>
            </w:r>
          </w:p>
        </w:tc>
        <w:tc>
          <w:tcPr>
            <w:tcW w:w="1938" w:type="dxa"/>
            <w:vAlign w:val="center"/>
          </w:tcPr>
          <w:p>
            <w:pPr>
              <w:spacing w:after="0" w:line="240" w:lineRule="auto"/>
              <w:jc w:val="left"/>
              <w:rPr>
                <w:rFonts w:ascii="Times New Roman Regular" w:hAnsi="Times New Roman Regular" w:cs="Times New Roman Regular"/>
                <w:sz w:val="24"/>
                <w:szCs w:val="24"/>
                <w:lang w:val="en-US"/>
              </w:rPr>
            </w:pPr>
            <w:r>
              <w:rPr>
                <w:rFonts w:ascii="Times New Roman Regular" w:hAnsi="Times New Roman Regular" w:cs="Times New Roman Regular"/>
                <w:sz w:val="24"/>
                <w:szCs w:val="24"/>
                <w:lang w:val="en-US"/>
              </w:rPr>
              <w:t>21.19</w:t>
            </w:r>
          </w:p>
        </w:tc>
      </w:tr>
      <w:tr>
        <w:trPr>
          <w:trHeight w:val="271" w:hRule="atLeast"/>
          <w:jc w:val="center"/>
        </w:trPr>
        <w:tc>
          <w:tcPr>
            <w:tcW w:w="2268" w:type="dxa"/>
            <w:tcBorders>
              <w:right w:val="single" w:color="FFFFFF" w:sz="4" w:space="0"/>
            </w:tcBorders>
            <w:shd w:val="clear" w:color="auto" w:fill="FFFFFF" w:themeFill="background1"/>
            <w:vAlign w:val="center"/>
          </w:tcPr>
          <w:p>
            <w:pPr>
              <w:spacing w:after="0" w:line="240" w:lineRule="auto"/>
              <w:jc w:val="left"/>
              <w:rPr>
                <w:rFonts w:ascii="Times New Roman Regular" w:hAnsi="Times New Roman Regular" w:cs="Times New Roman Regular" w:eastAsiaTheme="majorEastAsia"/>
                <w:i w:val="0"/>
                <w:iCs/>
                <w:sz w:val="24"/>
                <w:szCs w:val="24"/>
                <w:lang w:val="en-US"/>
              </w:rPr>
            </w:pPr>
            <w:r>
              <w:rPr>
                <w:rFonts w:ascii="Times New Roman Regular" w:hAnsi="Times New Roman Regular" w:cs="Times New Roman Regular" w:eastAsiaTheme="majorEastAsia"/>
                <w:i w:val="0"/>
                <w:iCs w:val="0"/>
                <w:sz w:val="24"/>
                <w:szCs w:val="24"/>
                <w:lang w:val="en-US"/>
              </w:rPr>
              <w:t>Net counts of Pb</w:t>
            </w:r>
          </w:p>
        </w:tc>
        <w:tc>
          <w:tcPr>
            <w:tcW w:w="1937" w:type="dxa"/>
            <w:tcBorders>
              <w:left w:val="single" w:color="FFFFFF" w:sz="4" w:space="0"/>
            </w:tcBorders>
            <w:shd w:val="clear" w:color="auto" w:fill="F1F1F1" w:themeFill="background1" w:themeFillShade="F2"/>
            <w:vAlign w:val="center"/>
          </w:tcPr>
          <w:p>
            <w:pPr>
              <w:spacing w:after="0" w:line="240" w:lineRule="auto"/>
              <w:jc w:val="left"/>
              <w:rPr>
                <w:rFonts w:ascii="Times New Roman Regular" w:hAnsi="Times New Roman Regular" w:cs="Times New Roman Regular"/>
                <w:sz w:val="24"/>
                <w:szCs w:val="24"/>
                <w:lang w:val="en-US"/>
              </w:rPr>
            </w:pPr>
            <w:r>
              <w:rPr>
                <w:rFonts w:ascii="Times New Roman Regular" w:hAnsi="Times New Roman Regular" w:cs="Times New Roman Regular"/>
                <w:sz w:val="24"/>
                <w:szCs w:val="24"/>
                <w:lang w:val="en-US"/>
              </w:rPr>
              <w:t>7411</w:t>
            </w:r>
          </w:p>
        </w:tc>
        <w:tc>
          <w:tcPr>
            <w:tcW w:w="1937" w:type="dxa"/>
            <w:shd w:val="clear" w:color="auto" w:fill="F1F1F1" w:themeFill="background1" w:themeFillShade="F2"/>
            <w:vAlign w:val="center"/>
          </w:tcPr>
          <w:p>
            <w:pPr>
              <w:spacing w:after="0" w:line="240" w:lineRule="auto"/>
              <w:jc w:val="left"/>
              <w:rPr>
                <w:rFonts w:ascii="Times New Roman Regular" w:hAnsi="Times New Roman Regular" w:cs="Times New Roman Regular"/>
                <w:sz w:val="24"/>
                <w:szCs w:val="24"/>
                <w:lang w:val="en-US"/>
              </w:rPr>
            </w:pPr>
            <w:r>
              <w:rPr>
                <w:rFonts w:ascii="Times New Roman Regular" w:hAnsi="Times New Roman Regular" w:cs="Times New Roman Regular"/>
                <w:sz w:val="24"/>
                <w:szCs w:val="24"/>
                <w:lang w:val="en-US"/>
              </w:rPr>
              <w:t>9072</w:t>
            </w:r>
          </w:p>
        </w:tc>
        <w:tc>
          <w:tcPr>
            <w:tcW w:w="1938" w:type="dxa"/>
            <w:shd w:val="clear" w:color="auto" w:fill="F1F1F1" w:themeFill="background1" w:themeFillShade="F2"/>
            <w:vAlign w:val="center"/>
          </w:tcPr>
          <w:p>
            <w:pPr>
              <w:spacing w:after="0" w:line="240" w:lineRule="auto"/>
              <w:jc w:val="left"/>
              <w:rPr>
                <w:rFonts w:ascii="Times New Roman Regular" w:hAnsi="Times New Roman Regular" w:cs="Times New Roman Regular"/>
                <w:sz w:val="24"/>
                <w:szCs w:val="24"/>
                <w:lang w:val="en-US"/>
              </w:rPr>
            </w:pPr>
            <w:r>
              <w:rPr>
                <w:rFonts w:ascii="Times New Roman Regular" w:hAnsi="Times New Roman Regular" w:cs="Times New Roman Regular"/>
                <w:sz w:val="24"/>
                <w:szCs w:val="24"/>
                <w:lang w:val="en-US"/>
              </w:rPr>
              <w:t>8290</w:t>
            </w:r>
          </w:p>
        </w:tc>
      </w:tr>
      <w:tr>
        <w:trPr>
          <w:trHeight w:val="271" w:hRule="atLeast"/>
          <w:jc w:val="center"/>
        </w:trPr>
        <w:tc>
          <w:tcPr>
            <w:tcW w:w="2268" w:type="dxa"/>
            <w:tcBorders>
              <w:right w:val="single" w:color="FFFFFF" w:sz="4" w:space="0"/>
            </w:tcBorders>
            <w:shd w:val="clear" w:color="auto" w:fill="FFFFFF" w:themeFill="background1"/>
            <w:vAlign w:val="center"/>
          </w:tcPr>
          <w:p>
            <w:pPr>
              <w:spacing w:after="0" w:line="240" w:lineRule="auto"/>
              <w:jc w:val="left"/>
              <w:rPr>
                <w:rFonts w:ascii="Times New Roman Regular" w:hAnsi="Times New Roman Regular" w:cs="Times New Roman Regular" w:eastAsiaTheme="majorEastAsia"/>
                <w:i w:val="0"/>
                <w:iCs/>
                <w:sz w:val="24"/>
                <w:szCs w:val="24"/>
                <w:lang w:val="en-US"/>
              </w:rPr>
            </w:pPr>
            <w:r>
              <w:rPr>
                <w:rFonts w:ascii="Times New Roman Regular" w:hAnsi="Times New Roman Regular" w:cs="Times New Roman Regular" w:eastAsiaTheme="majorEastAsia"/>
                <w:i w:val="0"/>
                <w:iCs w:val="0"/>
                <w:sz w:val="24"/>
                <w:szCs w:val="24"/>
                <w:lang w:val="en-US"/>
              </w:rPr>
              <w:t>Atom % of Pb</w:t>
            </w:r>
          </w:p>
        </w:tc>
        <w:tc>
          <w:tcPr>
            <w:tcW w:w="1937" w:type="dxa"/>
            <w:tcBorders>
              <w:left w:val="single" w:color="FFFFFF" w:sz="4" w:space="0"/>
            </w:tcBorders>
            <w:vAlign w:val="center"/>
          </w:tcPr>
          <w:p>
            <w:pPr>
              <w:spacing w:after="0" w:line="240" w:lineRule="auto"/>
              <w:jc w:val="left"/>
              <w:rPr>
                <w:rFonts w:ascii="Times New Roman Regular" w:hAnsi="Times New Roman Regular" w:cs="Times New Roman Regular"/>
                <w:sz w:val="24"/>
                <w:szCs w:val="24"/>
                <w:lang w:val="en-US"/>
              </w:rPr>
            </w:pPr>
            <w:r>
              <w:rPr>
                <w:rFonts w:ascii="Times New Roman Regular" w:hAnsi="Times New Roman Regular" w:cs="Times New Roman Regular"/>
                <w:sz w:val="24"/>
                <w:szCs w:val="24"/>
                <w:lang w:val="en-US"/>
              </w:rPr>
              <w:t>1.02</w:t>
            </w:r>
          </w:p>
        </w:tc>
        <w:tc>
          <w:tcPr>
            <w:tcW w:w="1937" w:type="dxa"/>
            <w:vAlign w:val="center"/>
          </w:tcPr>
          <w:p>
            <w:pPr>
              <w:spacing w:after="0" w:line="240" w:lineRule="auto"/>
              <w:jc w:val="left"/>
              <w:rPr>
                <w:rFonts w:ascii="Times New Roman Regular" w:hAnsi="Times New Roman Regular" w:cs="Times New Roman Regular"/>
                <w:sz w:val="24"/>
                <w:szCs w:val="24"/>
                <w:lang w:val="en-US"/>
              </w:rPr>
            </w:pPr>
            <w:r>
              <w:rPr>
                <w:rFonts w:ascii="Times New Roman Regular" w:hAnsi="Times New Roman Regular" w:cs="Times New Roman Regular"/>
                <w:sz w:val="24"/>
                <w:szCs w:val="24"/>
                <w:lang w:val="en-US"/>
              </w:rPr>
              <w:t>1.05</w:t>
            </w:r>
          </w:p>
        </w:tc>
        <w:tc>
          <w:tcPr>
            <w:tcW w:w="1938" w:type="dxa"/>
            <w:vAlign w:val="center"/>
          </w:tcPr>
          <w:p>
            <w:pPr>
              <w:spacing w:after="0" w:line="240" w:lineRule="auto"/>
              <w:jc w:val="left"/>
              <w:rPr>
                <w:rFonts w:ascii="Times New Roman Regular" w:hAnsi="Times New Roman Regular" w:cs="Times New Roman Regular"/>
                <w:sz w:val="24"/>
                <w:szCs w:val="24"/>
                <w:lang w:val="en-US"/>
              </w:rPr>
            </w:pPr>
            <w:r>
              <w:rPr>
                <w:rFonts w:ascii="Times New Roman Regular" w:hAnsi="Times New Roman Regular" w:cs="Times New Roman Regular"/>
                <w:sz w:val="24"/>
                <w:szCs w:val="24"/>
                <w:lang w:val="en-US"/>
              </w:rPr>
              <w:t>0.95</w:t>
            </w:r>
          </w:p>
        </w:tc>
      </w:tr>
      <w:tr>
        <w:trPr>
          <w:trHeight w:val="271" w:hRule="atLeast"/>
          <w:jc w:val="center"/>
        </w:trPr>
        <w:tc>
          <w:tcPr>
            <w:tcW w:w="2268" w:type="dxa"/>
            <w:tcBorders>
              <w:right w:val="single" w:color="FFFFFF" w:sz="4" w:space="0"/>
            </w:tcBorders>
            <w:shd w:val="clear" w:color="auto" w:fill="FFFFFF" w:themeFill="background1"/>
            <w:vAlign w:val="center"/>
          </w:tcPr>
          <w:p>
            <w:pPr>
              <w:spacing w:after="0" w:line="240" w:lineRule="auto"/>
              <w:jc w:val="left"/>
              <w:rPr>
                <w:rFonts w:ascii="Times New Roman Regular" w:hAnsi="Times New Roman Regular" w:cs="Times New Roman Regular" w:eastAsiaTheme="majorEastAsia"/>
                <w:i w:val="0"/>
                <w:iCs/>
                <w:sz w:val="24"/>
                <w:szCs w:val="24"/>
                <w:lang w:val="en-US"/>
              </w:rPr>
            </w:pPr>
            <w:r>
              <w:rPr>
                <w:rFonts w:ascii="Times New Roman Regular" w:hAnsi="Times New Roman Regular" w:cs="Times New Roman Regular" w:eastAsiaTheme="majorEastAsia"/>
                <w:i w:val="0"/>
                <w:iCs w:val="0"/>
                <w:sz w:val="24"/>
                <w:szCs w:val="24"/>
                <w:lang w:val="en-US"/>
              </w:rPr>
              <w:t>Net counts of I</w:t>
            </w:r>
          </w:p>
        </w:tc>
        <w:tc>
          <w:tcPr>
            <w:tcW w:w="1937" w:type="dxa"/>
            <w:tcBorders>
              <w:left w:val="single" w:color="FFFFFF" w:sz="4" w:space="0"/>
            </w:tcBorders>
            <w:shd w:val="clear" w:color="auto" w:fill="F1F1F1" w:themeFill="background1" w:themeFillShade="F2"/>
            <w:vAlign w:val="center"/>
          </w:tcPr>
          <w:p>
            <w:pPr>
              <w:spacing w:after="0" w:line="240" w:lineRule="auto"/>
              <w:jc w:val="left"/>
              <w:rPr>
                <w:rFonts w:ascii="Times New Roman Regular" w:hAnsi="Times New Roman Regular" w:cs="Times New Roman Regular"/>
                <w:sz w:val="24"/>
                <w:szCs w:val="24"/>
                <w:lang w:val="en-US"/>
              </w:rPr>
            </w:pPr>
            <w:r>
              <w:rPr>
                <w:rFonts w:ascii="Times New Roman Regular" w:hAnsi="Times New Roman Regular" w:cs="Times New Roman Regular"/>
                <w:sz w:val="24"/>
                <w:szCs w:val="24"/>
                <w:lang w:val="en-US"/>
              </w:rPr>
              <w:t>5407</w:t>
            </w:r>
          </w:p>
        </w:tc>
        <w:tc>
          <w:tcPr>
            <w:tcW w:w="1937" w:type="dxa"/>
            <w:shd w:val="clear" w:color="auto" w:fill="F1F1F1" w:themeFill="background1" w:themeFillShade="F2"/>
            <w:vAlign w:val="center"/>
          </w:tcPr>
          <w:p>
            <w:pPr>
              <w:spacing w:after="0" w:line="240" w:lineRule="auto"/>
              <w:jc w:val="left"/>
              <w:rPr>
                <w:rFonts w:ascii="Times New Roman Regular" w:hAnsi="Times New Roman Regular" w:cs="Times New Roman Regular"/>
                <w:sz w:val="24"/>
                <w:szCs w:val="24"/>
                <w:lang w:val="en-US"/>
              </w:rPr>
            </w:pPr>
            <w:r>
              <w:rPr>
                <w:rFonts w:ascii="Times New Roman Regular" w:hAnsi="Times New Roman Regular" w:cs="Times New Roman Regular"/>
                <w:sz w:val="24"/>
                <w:szCs w:val="24"/>
                <w:lang w:val="en-US"/>
              </w:rPr>
              <w:t>5982</w:t>
            </w:r>
          </w:p>
        </w:tc>
        <w:tc>
          <w:tcPr>
            <w:tcW w:w="1938" w:type="dxa"/>
            <w:shd w:val="clear" w:color="auto" w:fill="F1F1F1" w:themeFill="background1" w:themeFillShade="F2"/>
            <w:vAlign w:val="center"/>
          </w:tcPr>
          <w:p>
            <w:pPr>
              <w:spacing w:after="0" w:line="240" w:lineRule="auto"/>
              <w:jc w:val="left"/>
              <w:rPr>
                <w:rFonts w:ascii="Times New Roman Regular" w:hAnsi="Times New Roman Regular" w:cs="Times New Roman Regular"/>
                <w:sz w:val="24"/>
                <w:szCs w:val="24"/>
                <w:lang w:val="en-US"/>
              </w:rPr>
            </w:pPr>
            <w:r>
              <w:rPr>
                <w:rFonts w:ascii="Times New Roman Regular" w:hAnsi="Times New Roman Regular" w:cs="Times New Roman Regular"/>
                <w:sz w:val="24"/>
                <w:szCs w:val="24"/>
                <w:lang w:val="en-US"/>
              </w:rPr>
              <w:t>6492</w:t>
            </w:r>
          </w:p>
        </w:tc>
      </w:tr>
      <w:tr>
        <w:trPr>
          <w:trHeight w:val="271" w:hRule="atLeast"/>
          <w:jc w:val="center"/>
        </w:trPr>
        <w:tc>
          <w:tcPr>
            <w:tcW w:w="2268" w:type="dxa"/>
            <w:tcBorders>
              <w:bottom w:val="single" w:color="FFFFFF" w:sz="4" w:space="0"/>
              <w:right w:val="single" w:color="FFFFFF" w:sz="4" w:space="0"/>
            </w:tcBorders>
            <w:shd w:val="clear" w:color="auto" w:fill="FFFFFF" w:themeFill="background1"/>
            <w:vAlign w:val="center"/>
          </w:tcPr>
          <w:p>
            <w:pPr>
              <w:spacing w:after="0" w:line="240" w:lineRule="auto"/>
              <w:jc w:val="left"/>
              <w:rPr>
                <w:rFonts w:ascii="Times New Roman Regular" w:hAnsi="Times New Roman Regular" w:cs="Times New Roman Regular" w:eastAsiaTheme="majorEastAsia"/>
                <w:i w:val="0"/>
                <w:iCs/>
                <w:sz w:val="24"/>
                <w:szCs w:val="24"/>
                <w:lang w:val="en-US"/>
              </w:rPr>
            </w:pPr>
            <w:r>
              <w:rPr>
                <w:rFonts w:ascii="Times New Roman Regular" w:hAnsi="Times New Roman Regular" w:cs="Times New Roman Regular" w:eastAsiaTheme="majorEastAsia"/>
                <w:i w:val="0"/>
                <w:iCs w:val="0"/>
                <w:sz w:val="24"/>
                <w:szCs w:val="24"/>
                <w:lang w:val="en-US"/>
              </w:rPr>
              <w:t>Atom % of I</w:t>
            </w:r>
          </w:p>
        </w:tc>
        <w:tc>
          <w:tcPr>
            <w:tcW w:w="1937" w:type="dxa"/>
            <w:tcBorders>
              <w:left w:val="single" w:color="FFFFFF" w:sz="4" w:space="0"/>
            </w:tcBorders>
            <w:vAlign w:val="center"/>
          </w:tcPr>
          <w:p>
            <w:pPr>
              <w:spacing w:after="0" w:line="240" w:lineRule="auto"/>
              <w:jc w:val="left"/>
              <w:rPr>
                <w:rFonts w:ascii="Times New Roman Regular" w:hAnsi="Times New Roman Regular" w:cs="Times New Roman Regular"/>
                <w:sz w:val="24"/>
                <w:szCs w:val="24"/>
                <w:lang w:val="en-US"/>
              </w:rPr>
            </w:pPr>
            <w:r>
              <w:rPr>
                <w:rFonts w:ascii="Times New Roman Regular" w:hAnsi="Times New Roman Regular" w:cs="Times New Roman Regular"/>
                <w:sz w:val="24"/>
                <w:szCs w:val="24"/>
                <w:lang w:val="en-US"/>
              </w:rPr>
              <w:t>2.04</w:t>
            </w:r>
          </w:p>
        </w:tc>
        <w:tc>
          <w:tcPr>
            <w:tcW w:w="1937" w:type="dxa"/>
            <w:vAlign w:val="center"/>
          </w:tcPr>
          <w:p>
            <w:pPr>
              <w:spacing w:after="0" w:line="240" w:lineRule="auto"/>
              <w:jc w:val="left"/>
              <w:rPr>
                <w:rFonts w:ascii="Times New Roman Regular" w:hAnsi="Times New Roman Regular" w:cs="Times New Roman Regular"/>
                <w:sz w:val="24"/>
                <w:szCs w:val="24"/>
                <w:lang w:val="en-US"/>
              </w:rPr>
            </w:pPr>
            <w:r>
              <w:rPr>
                <w:rFonts w:ascii="Times New Roman Regular" w:hAnsi="Times New Roman Regular" w:cs="Times New Roman Regular"/>
                <w:sz w:val="24"/>
                <w:szCs w:val="24"/>
                <w:lang w:val="en-US"/>
              </w:rPr>
              <w:t>2.19</w:t>
            </w:r>
          </w:p>
        </w:tc>
        <w:tc>
          <w:tcPr>
            <w:tcW w:w="1938" w:type="dxa"/>
            <w:vAlign w:val="center"/>
          </w:tcPr>
          <w:p>
            <w:pPr>
              <w:spacing w:after="0" w:line="240" w:lineRule="auto"/>
              <w:jc w:val="left"/>
              <w:rPr>
                <w:rFonts w:ascii="Times New Roman Regular" w:hAnsi="Times New Roman Regular" w:cs="Times New Roman Regular"/>
                <w:sz w:val="24"/>
                <w:szCs w:val="24"/>
                <w:lang w:val="en-US"/>
              </w:rPr>
            </w:pPr>
            <w:r>
              <w:rPr>
                <w:rFonts w:ascii="Times New Roman Regular" w:hAnsi="Times New Roman Regular" w:cs="Times New Roman Regular"/>
                <w:sz w:val="24"/>
                <w:szCs w:val="24"/>
                <w:lang w:val="en-US"/>
              </w:rPr>
              <w:t>2.27</w:t>
            </w:r>
          </w:p>
        </w:tc>
      </w:tr>
      <w:tr>
        <w:trPr>
          <w:trHeight w:val="271" w:hRule="atLeast"/>
          <w:jc w:val="center"/>
        </w:trPr>
        <w:tc>
          <w:tcPr>
            <w:tcW w:w="2268" w:type="dxa"/>
            <w:tcBorders>
              <w:top w:val="single" w:color="FFFFFF" w:sz="4" w:space="0"/>
              <w:right w:val="single" w:color="FFFFFF" w:sz="4" w:space="0"/>
            </w:tcBorders>
            <w:shd w:val="clear" w:color="auto" w:fill="FFFFFF" w:themeFill="background1"/>
            <w:vAlign w:val="center"/>
          </w:tcPr>
          <w:p>
            <w:pPr>
              <w:spacing w:after="0" w:line="240" w:lineRule="auto"/>
              <w:jc w:val="left"/>
              <w:rPr>
                <w:rFonts w:ascii="Times New Roman Regular" w:hAnsi="Times New Roman Regular" w:cs="Times New Roman Regular" w:eastAsiaTheme="majorEastAsia"/>
                <w:i w:val="0"/>
                <w:iCs/>
                <w:sz w:val="24"/>
                <w:szCs w:val="24"/>
                <w:lang w:val="en-US"/>
              </w:rPr>
            </w:pPr>
            <w:r>
              <w:rPr>
                <w:rFonts w:ascii="Times New Roman Regular" w:hAnsi="Times New Roman Regular" w:cs="Times New Roman Regular" w:eastAsiaTheme="majorEastAsia"/>
                <w:i w:val="0"/>
                <w:iCs w:val="0"/>
                <w:sz w:val="24"/>
                <w:szCs w:val="24"/>
                <w:lang w:val="en-US"/>
              </w:rPr>
              <w:t>Pb/I ratio</w:t>
            </w:r>
          </w:p>
        </w:tc>
        <w:tc>
          <w:tcPr>
            <w:tcW w:w="1937" w:type="dxa"/>
            <w:tcBorders>
              <w:left w:val="single" w:color="FFFFFF" w:sz="4" w:space="0"/>
            </w:tcBorders>
            <w:shd w:val="clear" w:color="auto" w:fill="F1F1F1" w:themeFill="background1" w:themeFillShade="F2"/>
            <w:vAlign w:val="center"/>
          </w:tcPr>
          <w:p>
            <w:pPr>
              <w:spacing w:after="0" w:line="240" w:lineRule="auto"/>
              <w:jc w:val="left"/>
              <w:rPr>
                <w:rFonts w:ascii="Times New Roman Regular" w:hAnsi="Times New Roman Regular" w:cs="Times New Roman Regular"/>
                <w:sz w:val="24"/>
                <w:szCs w:val="24"/>
                <w:lang w:val="en-US"/>
              </w:rPr>
            </w:pPr>
            <w:r>
              <w:rPr>
                <w:rFonts w:ascii="Times New Roman Regular" w:hAnsi="Times New Roman Regular" w:cs="Times New Roman Regular"/>
                <w:sz w:val="24"/>
                <w:szCs w:val="24"/>
                <w:lang w:val="en-US"/>
              </w:rPr>
              <w:t>0.50</w:t>
            </w:r>
          </w:p>
        </w:tc>
        <w:tc>
          <w:tcPr>
            <w:tcW w:w="1937" w:type="dxa"/>
            <w:shd w:val="clear" w:color="auto" w:fill="F1F1F1" w:themeFill="background1" w:themeFillShade="F2"/>
            <w:vAlign w:val="center"/>
          </w:tcPr>
          <w:p>
            <w:pPr>
              <w:spacing w:after="0" w:line="240" w:lineRule="auto"/>
              <w:jc w:val="left"/>
              <w:rPr>
                <w:rFonts w:ascii="Times New Roman Regular" w:hAnsi="Times New Roman Regular" w:cs="Times New Roman Regular"/>
                <w:sz w:val="24"/>
                <w:szCs w:val="24"/>
                <w:lang w:val="en-US"/>
              </w:rPr>
            </w:pPr>
            <w:r>
              <w:rPr>
                <w:rFonts w:ascii="Times New Roman Regular" w:hAnsi="Times New Roman Regular" w:cs="Times New Roman Regular"/>
                <w:sz w:val="24"/>
                <w:szCs w:val="24"/>
                <w:lang w:val="en-US"/>
              </w:rPr>
              <w:t>0.48</w:t>
            </w:r>
          </w:p>
        </w:tc>
        <w:tc>
          <w:tcPr>
            <w:tcW w:w="1938" w:type="dxa"/>
            <w:shd w:val="clear" w:color="auto" w:fill="F1F1F1" w:themeFill="background1" w:themeFillShade="F2"/>
            <w:vAlign w:val="center"/>
          </w:tcPr>
          <w:p>
            <w:pPr>
              <w:spacing w:after="0" w:line="240" w:lineRule="auto"/>
              <w:jc w:val="left"/>
              <w:rPr>
                <w:rFonts w:ascii="Times New Roman Regular" w:hAnsi="Times New Roman Regular" w:cs="Times New Roman Regular"/>
                <w:sz w:val="24"/>
                <w:szCs w:val="24"/>
                <w:lang w:val="en-US"/>
              </w:rPr>
            </w:pPr>
            <w:r>
              <w:rPr>
                <w:rFonts w:ascii="Times New Roman Regular" w:hAnsi="Times New Roman Regular" w:cs="Times New Roman Regular"/>
                <w:sz w:val="24"/>
                <w:szCs w:val="24"/>
                <w:lang w:val="en-US"/>
              </w:rPr>
              <w:t>0.42</w:t>
            </w:r>
          </w:p>
        </w:tc>
      </w:tr>
    </w:tbl>
    <w:p>
      <w:pPr>
        <w:jc w:val="left"/>
        <w:rPr>
          <w:rFonts w:asciiTheme="minorBidi" w:hAnsiTheme="minorBidi"/>
          <w:lang w:val="en-US"/>
        </w:rPr>
      </w:pPr>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黑体">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宋体-简">
    <w:panose1 w:val="02010800040101010101"/>
    <w:charset w:val="86"/>
    <w:family w:val="auto"/>
    <w:pitch w:val="default"/>
    <w:sig w:usb0="00000001" w:usb1="080F0000" w:usb2="00000000" w:usb3="00000000" w:csb0="00040000" w:csb1="00000000"/>
  </w:font>
  <w:font w:name="黑体-简">
    <w:panose1 w:val="02000000000000000000"/>
    <w:charset w:val="86"/>
    <w:family w:val="auto"/>
    <w:pitch w:val="default"/>
    <w:sig w:usb0="8000002F" w:usb1="0800004A" w:usb2="00000000" w:usb3="00000000" w:csb0="203E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SimSun">
    <w:altName w:val="宋体-简"/>
    <w:panose1 w:val="00000000000000000000"/>
    <w:charset w:val="86"/>
    <w:family w:val="auto"/>
    <w:pitch w:val="default"/>
    <w:sig w:usb0="00000000" w:usb1="00000000" w:usb2="00000000" w:usb3="00000000" w:csb0="00000000" w:csb1="00000000"/>
  </w:font>
  <w:font w:name="DengXian">
    <w:altName w:val="苹方-简"/>
    <w:panose1 w:val="02010600030101010101"/>
    <w:charset w:val="86"/>
    <w:family w:val="auto"/>
    <w:pitch w:val="default"/>
    <w:sig w:usb0="00000000" w:usb1="00000000" w:usb2="00000016" w:usb3="00000000" w:csb0="0004000F" w:csb1="00000000"/>
  </w:font>
  <w:font w:name="Segoe UI">
    <w:altName w:val="苹方-简"/>
    <w:panose1 w:val="020B0502040204020203"/>
    <w:charset w:val="00"/>
    <w:family w:val="swiss"/>
    <w:pitch w:val="default"/>
    <w:sig w:usb0="00000000" w:usb1="00000000" w:usb2="00000009" w:usb3="00000000" w:csb0="000001FF" w:csb1="00000000"/>
  </w:font>
  <w:font w:name="DengXian Light">
    <w:altName w:val="苹方-简"/>
    <w:panose1 w:val="02010600030101010101"/>
    <w:charset w:val="86"/>
    <w:family w:val="auto"/>
    <w:pitch w:val="default"/>
    <w:sig w:usb0="00000000" w:usb1="00000000" w:usb2="00000016" w:usb3="00000000" w:csb0="0004000F" w:csb1="00000000"/>
  </w:font>
  <w:font w:name="Times New Roman Bold">
    <w:panose1 w:val="02020503050405090304"/>
    <w:charset w:val="00"/>
    <w:family w:val="auto"/>
    <w:pitch w:val="default"/>
    <w:sig w:usb0="E0000AFF" w:usb1="00007843" w:usb2="00000001" w:usb3="00000000" w:csb0="400001BF" w:csb1="DFF70000"/>
  </w:font>
  <w:font w:name="Malgun Gothic">
    <w:altName w:val="Apple SD Gothic Neo"/>
    <w:panose1 w:val="020B0503020000020004"/>
    <w:charset w:val="81"/>
    <w:family w:val="swiss"/>
    <w:pitch w:val="default"/>
    <w:sig w:usb0="00000000" w:usb1="00000000" w:usb2="00000012" w:usb3="00000000" w:csb0="00080001" w:csb1="00000000"/>
  </w:font>
  <w:font w:name="바탕">
    <w:altName w:val="Apple SD Gothic Neo"/>
    <w:panose1 w:val="02030600000101010101"/>
    <w:charset w:val="81"/>
    <w:family w:val="roman"/>
    <w:pitch w:val="default"/>
    <w:sig w:usb0="00000000" w:usb1="00000000" w:usb2="00000030" w:usb3="00000000" w:csb0="0008009F" w:csb1="00000000"/>
  </w:font>
  <w:font w:name="等线">
    <w:altName w:val="苹方-简"/>
    <w:panose1 w:val="00000000000000000000"/>
    <w:charset w:val="86"/>
    <w:family w:val="auto"/>
    <w:pitch w:val="default"/>
    <w:sig w:usb0="00000000" w:usb1="00000000" w:usb2="00000000" w:usb3="00000000" w:csb0="00000000" w:csb1="00000000"/>
  </w:font>
  <w:font w:name="等线">
    <w:altName w:val="苹方-简"/>
    <w:panose1 w:val="00000000000000000000"/>
    <w:charset w:val="00"/>
    <w:family w:val="auto"/>
    <w:pitch w:val="default"/>
    <w:sig w:usb0="00000000" w:usb1="00000000" w:usb2="00000000" w:usb3="00000000" w:csb0="00000000" w:csb1="00000000"/>
  </w:font>
  <w:font w:name="Apple SD Gothic Neo">
    <w:panose1 w:val="02000300000000000000"/>
    <w:charset w:val="81"/>
    <w:family w:val="auto"/>
    <w:pitch w:val="default"/>
    <w:sig w:usb0="00000203" w:usb1="21D12C10" w:usb2="00000010" w:usb3="00000000" w:csb0="00280005" w:csb1="00000000"/>
  </w:font>
  <w:font w:name="Arial Unicode MS">
    <w:panose1 w:val="020B0604020202020204"/>
    <w:charset w:val="86"/>
    <w:family w:val="auto"/>
    <w:pitch w:val="default"/>
    <w:sig w:usb0="FFFFFFFF" w:usb1="E9FFFFFF" w:usb2="0000003F" w:usb3="00000000" w:csb0="603F01FF" w:csb1="FFFF0000"/>
  </w:font>
  <w:font w:name="SimSun">
    <w:altName w:val="宋体-简"/>
    <w:panose1 w:val="02010600030101010101"/>
    <w:charset w:val="86"/>
    <w:family w:val="auto"/>
    <w:pitch w:val="default"/>
    <w:sig w:usb0="00000000" w:usb1="00000000" w:usb2="00000010" w:usb3="00000000" w:csb0="00040001" w:csb1="00000000"/>
  </w:font>
  <w:font w:name="Arial Regular">
    <w:panose1 w:val="020B0604020202090204"/>
    <w:charset w:val="00"/>
    <w:family w:val="auto"/>
    <w:pitch w:val="default"/>
    <w:sig w:usb0="E0000AFF" w:usb1="00007843" w:usb2="00000001" w:usb3="00000000" w:csb0="400001BF" w:csb1="DFF70000"/>
  </w:font>
  <w:font w:name="Times New Roman Bold Italic">
    <w:panose1 w:val="02020503050405090304"/>
    <w:charset w:val="00"/>
    <w:family w:val="auto"/>
    <w:pitch w:val="default"/>
    <w:sig w:usb0="E0000AFF" w:usb1="00007843" w:usb2="00000001" w:usb3="00000000" w:csb0="400001BF" w:csb1="DFF70000"/>
  </w:font>
  <w:font w:name="Times New Roman Regular">
    <w:panose1 w:val="02020503050405090304"/>
    <w:charset w:val="00"/>
    <w:family w:val="auto"/>
    <w:pitch w:val="default"/>
    <w:sig w:usb0="E0000AFF" w:usb1="00007843" w:usb2="00000001" w:usb3="00000000" w:csb0="400001BF" w:csb1="DFF70000"/>
  </w:font>
  <w:font w:name="等线 Light">
    <w:altName w:val="苹方-简"/>
    <w:panose1 w:val="00000000000000000000"/>
    <w:charset w:val="00"/>
    <w:family w:val="auto"/>
    <w:pitch w:val="default"/>
    <w:sig w:usb0="00000000" w:usb1="00000000" w:usb2="00000000" w:usb3="00000000" w:csb0="00000000" w:csb1="00000000"/>
  </w:font>
  <w:font w:name="Times New Roman Italic">
    <w:panose1 w:val="02020503050405090304"/>
    <w:charset w:val="00"/>
    <w:family w:val="auto"/>
    <w:pitch w:val="default"/>
    <w:sig w:usb0="E0000AFF" w:usb1="00007843" w:usb2="00000001" w:usb3="00000000" w:csb0="400001BF" w:csb1="DFF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val="1"/>
  <w:bordersDoNotSurroundFooter w:val="1"/>
  <w:trackRevisions w:val="1"/>
  <w:documentProtection w:enforcement="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3C4"/>
    <w:rsid w:val="0000185C"/>
    <w:rsid w:val="000045D1"/>
    <w:rsid w:val="00013550"/>
    <w:rsid w:val="0001715E"/>
    <w:rsid w:val="00027343"/>
    <w:rsid w:val="00027660"/>
    <w:rsid w:val="0003242D"/>
    <w:rsid w:val="000359BC"/>
    <w:rsid w:val="00041284"/>
    <w:rsid w:val="0004164C"/>
    <w:rsid w:val="000418E8"/>
    <w:rsid w:val="00053C16"/>
    <w:rsid w:val="00062109"/>
    <w:rsid w:val="00064A87"/>
    <w:rsid w:val="000721CC"/>
    <w:rsid w:val="00073494"/>
    <w:rsid w:val="000752CE"/>
    <w:rsid w:val="000A4340"/>
    <w:rsid w:val="000B117A"/>
    <w:rsid w:val="000C4450"/>
    <w:rsid w:val="000C4F41"/>
    <w:rsid w:val="000C5D94"/>
    <w:rsid w:val="000C79D1"/>
    <w:rsid w:val="000D1113"/>
    <w:rsid w:val="000D2DA9"/>
    <w:rsid w:val="000F1016"/>
    <w:rsid w:val="000F621B"/>
    <w:rsid w:val="00103AC0"/>
    <w:rsid w:val="00106400"/>
    <w:rsid w:val="00114504"/>
    <w:rsid w:val="00120A26"/>
    <w:rsid w:val="001212BF"/>
    <w:rsid w:val="0013288E"/>
    <w:rsid w:val="00134364"/>
    <w:rsid w:val="00134EAF"/>
    <w:rsid w:val="00136F5D"/>
    <w:rsid w:val="00140E6C"/>
    <w:rsid w:val="00146B83"/>
    <w:rsid w:val="001641C9"/>
    <w:rsid w:val="00165696"/>
    <w:rsid w:val="00165AA2"/>
    <w:rsid w:val="00173DA3"/>
    <w:rsid w:val="00184C3C"/>
    <w:rsid w:val="00187852"/>
    <w:rsid w:val="00194FD9"/>
    <w:rsid w:val="00195CF5"/>
    <w:rsid w:val="00197EC6"/>
    <w:rsid w:val="001A0FAA"/>
    <w:rsid w:val="001A1E22"/>
    <w:rsid w:val="001A6D70"/>
    <w:rsid w:val="001B1917"/>
    <w:rsid w:val="001B1A9A"/>
    <w:rsid w:val="001B3918"/>
    <w:rsid w:val="001B728C"/>
    <w:rsid w:val="001B7D9C"/>
    <w:rsid w:val="001C7025"/>
    <w:rsid w:val="001C78A7"/>
    <w:rsid w:val="001D16E9"/>
    <w:rsid w:val="001E091F"/>
    <w:rsid w:val="001E238F"/>
    <w:rsid w:val="001F0F99"/>
    <w:rsid w:val="001F713C"/>
    <w:rsid w:val="002138FD"/>
    <w:rsid w:val="00214F91"/>
    <w:rsid w:val="00224758"/>
    <w:rsid w:val="002260EE"/>
    <w:rsid w:val="002302D0"/>
    <w:rsid w:val="00236C22"/>
    <w:rsid w:val="00241CEB"/>
    <w:rsid w:val="0024205B"/>
    <w:rsid w:val="0024336D"/>
    <w:rsid w:val="0024795A"/>
    <w:rsid w:val="00252C4B"/>
    <w:rsid w:val="0025761E"/>
    <w:rsid w:val="00260B32"/>
    <w:rsid w:val="00260E79"/>
    <w:rsid w:val="00266A08"/>
    <w:rsid w:val="002712AD"/>
    <w:rsid w:val="00272805"/>
    <w:rsid w:val="0027594E"/>
    <w:rsid w:val="002801E2"/>
    <w:rsid w:val="002809F5"/>
    <w:rsid w:val="002813D3"/>
    <w:rsid w:val="0028413D"/>
    <w:rsid w:val="00286004"/>
    <w:rsid w:val="002920BE"/>
    <w:rsid w:val="002937B6"/>
    <w:rsid w:val="0029784F"/>
    <w:rsid w:val="002A1BF5"/>
    <w:rsid w:val="002A27F5"/>
    <w:rsid w:val="002A401E"/>
    <w:rsid w:val="002B2592"/>
    <w:rsid w:val="002C3360"/>
    <w:rsid w:val="002D18CD"/>
    <w:rsid w:val="002D7316"/>
    <w:rsid w:val="002E15FB"/>
    <w:rsid w:val="002E1AD6"/>
    <w:rsid w:val="002E2E16"/>
    <w:rsid w:val="002E688E"/>
    <w:rsid w:val="002E786A"/>
    <w:rsid w:val="002F05E8"/>
    <w:rsid w:val="002F416C"/>
    <w:rsid w:val="00302544"/>
    <w:rsid w:val="0030653F"/>
    <w:rsid w:val="0031343D"/>
    <w:rsid w:val="00313E49"/>
    <w:rsid w:val="0032034F"/>
    <w:rsid w:val="00336F72"/>
    <w:rsid w:val="0033727C"/>
    <w:rsid w:val="003401B7"/>
    <w:rsid w:val="00350751"/>
    <w:rsid w:val="00353D3B"/>
    <w:rsid w:val="00354106"/>
    <w:rsid w:val="00364B70"/>
    <w:rsid w:val="00367F2A"/>
    <w:rsid w:val="003704DF"/>
    <w:rsid w:val="0038367D"/>
    <w:rsid w:val="00383EFC"/>
    <w:rsid w:val="00391815"/>
    <w:rsid w:val="00393D38"/>
    <w:rsid w:val="00395A71"/>
    <w:rsid w:val="00395B9A"/>
    <w:rsid w:val="003A03E8"/>
    <w:rsid w:val="003A1D1A"/>
    <w:rsid w:val="003B48EA"/>
    <w:rsid w:val="003B5B43"/>
    <w:rsid w:val="003B674E"/>
    <w:rsid w:val="003C4AF5"/>
    <w:rsid w:val="003D1A91"/>
    <w:rsid w:val="003D270C"/>
    <w:rsid w:val="003E0529"/>
    <w:rsid w:val="003E3587"/>
    <w:rsid w:val="00410360"/>
    <w:rsid w:val="0041093D"/>
    <w:rsid w:val="00416340"/>
    <w:rsid w:val="00422C2B"/>
    <w:rsid w:val="004254D5"/>
    <w:rsid w:val="004273D6"/>
    <w:rsid w:val="00430191"/>
    <w:rsid w:val="004337B5"/>
    <w:rsid w:val="004340A2"/>
    <w:rsid w:val="0044069C"/>
    <w:rsid w:val="00440EED"/>
    <w:rsid w:val="004505E6"/>
    <w:rsid w:val="00450B32"/>
    <w:rsid w:val="0045106A"/>
    <w:rsid w:val="00454554"/>
    <w:rsid w:val="00457080"/>
    <w:rsid w:val="00465551"/>
    <w:rsid w:val="00466EDB"/>
    <w:rsid w:val="00471533"/>
    <w:rsid w:val="00472E40"/>
    <w:rsid w:val="00473368"/>
    <w:rsid w:val="00473A11"/>
    <w:rsid w:val="00482653"/>
    <w:rsid w:val="00497B5C"/>
    <w:rsid w:val="00497CBB"/>
    <w:rsid w:val="004A2CA7"/>
    <w:rsid w:val="004A5276"/>
    <w:rsid w:val="004B1A07"/>
    <w:rsid w:val="004C233D"/>
    <w:rsid w:val="004C5DA2"/>
    <w:rsid w:val="004C6485"/>
    <w:rsid w:val="004D0F80"/>
    <w:rsid w:val="004D268C"/>
    <w:rsid w:val="004D4D11"/>
    <w:rsid w:val="004E74A6"/>
    <w:rsid w:val="004F2974"/>
    <w:rsid w:val="004F2D24"/>
    <w:rsid w:val="004F486C"/>
    <w:rsid w:val="004F6B94"/>
    <w:rsid w:val="00503FC0"/>
    <w:rsid w:val="00505813"/>
    <w:rsid w:val="00507683"/>
    <w:rsid w:val="0050797D"/>
    <w:rsid w:val="00510C4B"/>
    <w:rsid w:val="005176FC"/>
    <w:rsid w:val="00521F41"/>
    <w:rsid w:val="00523BD3"/>
    <w:rsid w:val="00523C37"/>
    <w:rsid w:val="00542DC8"/>
    <w:rsid w:val="00551DBE"/>
    <w:rsid w:val="005536A3"/>
    <w:rsid w:val="00553B6C"/>
    <w:rsid w:val="00555B4A"/>
    <w:rsid w:val="00560192"/>
    <w:rsid w:val="0056252A"/>
    <w:rsid w:val="00563146"/>
    <w:rsid w:val="00563AA1"/>
    <w:rsid w:val="00564D79"/>
    <w:rsid w:val="00584864"/>
    <w:rsid w:val="00585C56"/>
    <w:rsid w:val="00585FB8"/>
    <w:rsid w:val="00586B37"/>
    <w:rsid w:val="00594886"/>
    <w:rsid w:val="005975D3"/>
    <w:rsid w:val="005A240B"/>
    <w:rsid w:val="005A4787"/>
    <w:rsid w:val="005A4FA9"/>
    <w:rsid w:val="005B220B"/>
    <w:rsid w:val="005C3D90"/>
    <w:rsid w:val="005E052D"/>
    <w:rsid w:val="005E228A"/>
    <w:rsid w:val="005E3F8E"/>
    <w:rsid w:val="005F07F2"/>
    <w:rsid w:val="005F663F"/>
    <w:rsid w:val="005F78E9"/>
    <w:rsid w:val="006017A6"/>
    <w:rsid w:val="0061349D"/>
    <w:rsid w:val="00615084"/>
    <w:rsid w:val="00615AF1"/>
    <w:rsid w:val="006259DE"/>
    <w:rsid w:val="00632AA6"/>
    <w:rsid w:val="00636E12"/>
    <w:rsid w:val="00640179"/>
    <w:rsid w:val="00642061"/>
    <w:rsid w:val="00642C49"/>
    <w:rsid w:val="00645F37"/>
    <w:rsid w:val="00651651"/>
    <w:rsid w:val="00655EF8"/>
    <w:rsid w:val="0066359A"/>
    <w:rsid w:val="00667195"/>
    <w:rsid w:val="006712A1"/>
    <w:rsid w:val="00671429"/>
    <w:rsid w:val="0067236F"/>
    <w:rsid w:val="006728C5"/>
    <w:rsid w:val="006742AF"/>
    <w:rsid w:val="00674F2C"/>
    <w:rsid w:val="00687D74"/>
    <w:rsid w:val="0069321A"/>
    <w:rsid w:val="00694469"/>
    <w:rsid w:val="00697C6C"/>
    <w:rsid w:val="006A16AA"/>
    <w:rsid w:val="006A38A0"/>
    <w:rsid w:val="006B235A"/>
    <w:rsid w:val="006B2DCD"/>
    <w:rsid w:val="006B3606"/>
    <w:rsid w:val="006B3A70"/>
    <w:rsid w:val="006C42A1"/>
    <w:rsid w:val="006D1B0C"/>
    <w:rsid w:val="006D21C8"/>
    <w:rsid w:val="006D4C86"/>
    <w:rsid w:val="006D518B"/>
    <w:rsid w:val="006E27E7"/>
    <w:rsid w:val="006E3525"/>
    <w:rsid w:val="006F03B8"/>
    <w:rsid w:val="006F743A"/>
    <w:rsid w:val="00705FD0"/>
    <w:rsid w:val="00711C71"/>
    <w:rsid w:val="00714711"/>
    <w:rsid w:val="00721FFF"/>
    <w:rsid w:val="00727316"/>
    <w:rsid w:val="007364EB"/>
    <w:rsid w:val="007512CC"/>
    <w:rsid w:val="00753AA3"/>
    <w:rsid w:val="00765746"/>
    <w:rsid w:val="00767615"/>
    <w:rsid w:val="00771EC7"/>
    <w:rsid w:val="00772146"/>
    <w:rsid w:val="00781FB6"/>
    <w:rsid w:val="00784C49"/>
    <w:rsid w:val="007A5C0E"/>
    <w:rsid w:val="007A734E"/>
    <w:rsid w:val="007B28D8"/>
    <w:rsid w:val="007C3A7C"/>
    <w:rsid w:val="007C3B14"/>
    <w:rsid w:val="007D2CA7"/>
    <w:rsid w:val="007D3342"/>
    <w:rsid w:val="007E24CD"/>
    <w:rsid w:val="007E25C8"/>
    <w:rsid w:val="007F1BD3"/>
    <w:rsid w:val="007F2E84"/>
    <w:rsid w:val="00801292"/>
    <w:rsid w:val="00804472"/>
    <w:rsid w:val="00805FBB"/>
    <w:rsid w:val="00806520"/>
    <w:rsid w:val="00806AE4"/>
    <w:rsid w:val="00806B27"/>
    <w:rsid w:val="00810C7D"/>
    <w:rsid w:val="00815522"/>
    <w:rsid w:val="008179EA"/>
    <w:rsid w:val="00821E57"/>
    <w:rsid w:val="00824A4A"/>
    <w:rsid w:val="0082672C"/>
    <w:rsid w:val="00831ABA"/>
    <w:rsid w:val="00834748"/>
    <w:rsid w:val="00835A2E"/>
    <w:rsid w:val="00837DD2"/>
    <w:rsid w:val="00847BAD"/>
    <w:rsid w:val="0085283F"/>
    <w:rsid w:val="00856C46"/>
    <w:rsid w:val="00860AB6"/>
    <w:rsid w:val="00860FE8"/>
    <w:rsid w:val="008703A0"/>
    <w:rsid w:val="00871031"/>
    <w:rsid w:val="00880ACF"/>
    <w:rsid w:val="008837F4"/>
    <w:rsid w:val="00884DD9"/>
    <w:rsid w:val="00885A2A"/>
    <w:rsid w:val="008927CE"/>
    <w:rsid w:val="0089750D"/>
    <w:rsid w:val="008B0390"/>
    <w:rsid w:val="008B28BB"/>
    <w:rsid w:val="008C4613"/>
    <w:rsid w:val="008E423B"/>
    <w:rsid w:val="008E65E7"/>
    <w:rsid w:val="008E7D8C"/>
    <w:rsid w:val="008F2F38"/>
    <w:rsid w:val="008F5922"/>
    <w:rsid w:val="009037BA"/>
    <w:rsid w:val="009161FF"/>
    <w:rsid w:val="00926B1F"/>
    <w:rsid w:val="00931AF7"/>
    <w:rsid w:val="00941A30"/>
    <w:rsid w:val="00951DA2"/>
    <w:rsid w:val="00952EEC"/>
    <w:rsid w:val="00957E1F"/>
    <w:rsid w:val="00960CBF"/>
    <w:rsid w:val="00961AD9"/>
    <w:rsid w:val="00964D77"/>
    <w:rsid w:val="009677F2"/>
    <w:rsid w:val="0097456F"/>
    <w:rsid w:val="00980A66"/>
    <w:rsid w:val="009833CF"/>
    <w:rsid w:val="009926EF"/>
    <w:rsid w:val="009960DE"/>
    <w:rsid w:val="00996DC0"/>
    <w:rsid w:val="009A49F7"/>
    <w:rsid w:val="009A5F98"/>
    <w:rsid w:val="009B048E"/>
    <w:rsid w:val="009B1655"/>
    <w:rsid w:val="009B21D7"/>
    <w:rsid w:val="009B402C"/>
    <w:rsid w:val="009C034B"/>
    <w:rsid w:val="009C14BA"/>
    <w:rsid w:val="009C43FF"/>
    <w:rsid w:val="009E3FBA"/>
    <w:rsid w:val="009F0835"/>
    <w:rsid w:val="00A054D1"/>
    <w:rsid w:val="00A13F16"/>
    <w:rsid w:val="00A16292"/>
    <w:rsid w:val="00A22B6A"/>
    <w:rsid w:val="00A44947"/>
    <w:rsid w:val="00A4718B"/>
    <w:rsid w:val="00A5155E"/>
    <w:rsid w:val="00A55F2C"/>
    <w:rsid w:val="00A60E06"/>
    <w:rsid w:val="00A618B9"/>
    <w:rsid w:val="00AA3E27"/>
    <w:rsid w:val="00AB701A"/>
    <w:rsid w:val="00AC2645"/>
    <w:rsid w:val="00AC3734"/>
    <w:rsid w:val="00AC3E77"/>
    <w:rsid w:val="00AC42DE"/>
    <w:rsid w:val="00AC57B9"/>
    <w:rsid w:val="00AD7E75"/>
    <w:rsid w:val="00AE7EBC"/>
    <w:rsid w:val="00AE7EDA"/>
    <w:rsid w:val="00AF044B"/>
    <w:rsid w:val="00AF19CB"/>
    <w:rsid w:val="00AF217F"/>
    <w:rsid w:val="00AF551B"/>
    <w:rsid w:val="00AF73A3"/>
    <w:rsid w:val="00B025B5"/>
    <w:rsid w:val="00B1150D"/>
    <w:rsid w:val="00B11B91"/>
    <w:rsid w:val="00B127E1"/>
    <w:rsid w:val="00B1322D"/>
    <w:rsid w:val="00B21C8E"/>
    <w:rsid w:val="00B224D5"/>
    <w:rsid w:val="00B2372D"/>
    <w:rsid w:val="00B3359C"/>
    <w:rsid w:val="00B3579F"/>
    <w:rsid w:val="00B66FAA"/>
    <w:rsid w:val="00B7067B"/>
    <w:rsid w:val="00B71DDE"/>
    <w:rsid w:val="00B8177C"/>
    <w:rsid w:val="00B871EE"/>
    <w:rsid w:val="00B94806"/>
    <w:rsid w:val="00B94D5B"/>
    <w:rsid w:val="00BB1B41"/>
    <w:rsid w:val="00BB5B47"/>
    <w:rsid w:val="00BB63AA"/>
    <w:rsid w:val="00BC7127"/>
    <w:rsid w:val="00BD6305"/>
    <w:rsid w:val="00BE0D3D"/>
    <w:rsid w:val="00BE4EF4"/>
    <w:rsid w:val="00BF3257"/>
    <w:rsid w:val="00C016EE"/>
    <w:rsid w:val="00C047DA"/>
    <w:rsid w:val="00C166A8"/>
    <w:rsid w:val="00C17FA8"/>
    <w:rsid w:val="00C266E3"/>
    <w:rsid w:val="00C2791B"/>
    <w:rsid w:val="00C316F4"/>
    <w:rsid w:val="00C31DEB"/>
    <w:rsid w:val="00C356AA"/>
    <w:rsid w:val="00C405AA"/>
    <w:rsid w:val="00C4110C"/>
    <w:rsid w:val="00C476D7"/>
    <w:rsid w:val="00C51408"/>
    <w:rsid w:val="00C521FE"/>
    <w:rsid w:val="00C55E00"/>
    <w:rsid w:val="00C63A12"/>
    <w:rsid w:val="00C71F9E"/>
    <w:rsid w:val="00C745A0"/>
    <w:rsid w:val="00C80472"/>
    <w:rsid w:val="00C82595"/>
    <w:rsid w:val="00C93E84"/>
    <w:rsid w:val="00CA279C"/>
    <w:rsid w:val="00CA373D"/>
    <w:rsid w:val="00CA5A65"/>
    <w:rsid w:val="00CA6EE5"/>
    <w:rsid w:val="00CA7F8D"/>
    <w:rsid w:val="00CB322F"/>
    <w:rsid w:val="00CB39C5"/>
    <w:rsid w:val="00CB4020"/>
    <w:rsid w:val="00CB4364"/>
    <w:rsid w:val="00CC25E3"/>
    <w:rsid w:val="00CC3971"/>
    <w:rsid w:val="00CD5DD6"/>
    <w:rsid w:val="00CE07C0"/>
    <w:rsid w:val="00CE1389"/>
    <w:rsid w:val="00CE3B3B"/>
    <w:rsid w:val="00CF3058"/>
    <w:rsid w:val="00CF79F5"/>
    <w:rsid w:val="00D1335E"/>
    <w:rsid w:val="00D224F6"/>
    <w:rsid w:val="00D25741"/>
    <w:rsid w:val="00D306E1"/>
    <w:rsid w:val="00D36B91"/>
    <w:rsid w:val="00D42A7E"/>
    <w:rsid w:val="00D43E1C"/>
    <w:rsid w:val="00D45415"/>
    <w:rsid w:val="00D51AD6"/>
    <w:rsid w:val="00D5723D"/>
    <w:rsid w:val="00D57794"/>
    <w:rsid w:val="00D64C48"/>
    <w:rsid w:val="00D76A4B"/>
    <w:rsid w:val="00D8365E"/>
    <w:rsid w:val="00DA1AC8"/>
    <w:rsid w:val="00DB1C77"/>
    <w:rsid w:val="00DC3F1D"/>
    <w:rsid w:val="00DD005D"/>
    <w:rsid w:val="00DD0CBB"/>
    <w:rsid w:val="00DD1F02"/>
    <w:rsid w:val="00DD53DC"/>
    <w:rsid w:val="00DD6CF9"/>
    <w:rsid w:val="00DE20C2"/>
    <w:rsid w:val="00DE4432"/>
    <w:rsid w:val="00DE4B99"/>
    <w:rsid w:val="00DE60BA"/>
    <w:rsid w:val="00DE6F41"/>
    <w:rsid w:val="00DF1E1D"/>
    <w:rsid w:val="00DF5BD4"/>
    <w:rsid w:val="00DF5CAD"/>
    <w:rsid w:val="00E006BC"/>
    <w:rsid w:val="00E0463E"/>
    <w:rsid w:val="00E059A9"/>
    <w:rsid w:val="00E0703F"/>
    <w:rsid w:val="00E147EE"/>
    <w:rsid w:val="00E17CCF"/>
    <w:rsid w:val="00E20D19"/>
    <w:rsid w:val="00E40B3B"/>
    <w:rsid w:val="00E417A0"/>
    <w:rsid w:val="00E43466"/>
    <w:rsid w:val="00E44408"/>
    <w:rsid w:val="00E44B11"/>
    <w:rsid w:val="00E51C9D"/>
    <w:rsid w:val="00E525BA"/>
    <w:rsid w:val="00E5423A"/>
    <w:rsid w:val="00E5575C"/>
    <w:rsid w:val="00E759D6"/>
    <w:rsid w:val="00E7639D"/>
    <w:rsid w:val="00E7699F"/>
    <w:rsid w:val="00E8184B"/>
    <w:rsid w:val="00E8280E"/>
    <w:rsid w:val="00E8327D"/>
    <w:rsid w:val="00E86BCF"/>
    <w:rsid w:val="00E8718A"/>
    <w:rsid w:val="00E871C6"/>
    <w:rsid w:val="00E879E6"/>
    <w:rsid w:val="00E92039"/>
    <w:rsid w:val="00E95D2A"/>
    <w:rsid w:val="00EA5D13"/>
    <w:rsid w:val="00EB46CD"/>
    <w:rsid w:val="00EB74FF"/>
    <w:rsid w:val="00EC13C4"/>
    <w:rsid w:val="00EC13F3"/>
    <w:rsid w:val="00EC14D3"/>
    <w:rsid w:val="00EC1D21"/>
    <w:rsid w:val="00EC603C"/>
    <w:rsid w:val="00ED18F5"/>
    <w:rsid w:val="00EE0D1B"/>
    <w:rsid w:val="00EE6E17"/>
    <w:rsid w:val="00EF6526"/>
    <w:rsid w:val="00F02103"/>
    <w:rsid w:val="00F02AE4"/>
    <w:rsid w:val="00F05DA3"/>
    <w:rsid w:val="00F075D2"/>
    <w:rsid w:val="00F10713"/>
    <w:rsid w:val="00F16605"/>
    <w:rsid w:val="00F22BCF"/>
    <w:rsid w:val="00F23084"/>
    <w:rsid w:val="00F23CC7"/>
    <w:rsid w:val="00F25A8C"/>
    <w:rsid w:val="00F32EE1"/>
    <w:rsid w:val="00F33531"/>
    <w:rsid w:val="00F34F0F"/>
    <w:rsid w:val="00F4094C"/>
    <w:rsid w:val="00F41C0A"/>
    <w:rsid w:val="00F42258"/>
    <w:rsid w:val="00F43B60"/>
    <w:rsid w:val="00F53E92"/>
    <w:rsid w:val="00F65318"/>
    <w:rsid w:val="00F666D5"/>
    <w:rsid w:val="00F701C9"/>
    <w:rsid w:val="00F706F0"/>
    <w:rsid w:val="00F71FE9"/>
    <w:rsid w:val="00F75833"/>
    <w:rsid w:val="00F76E85"/>
    <w:rsid w:val="00F80E84"/>
    <w:rsid w:val="00F8381A"/>
    <w:rsid w:val="00F83EDC"/>
    <w:rsid w:val="00F97C56"/>
    <w:rsid w:val="00FA1C82"/>
    <w:rsid w:val="00FC0BF4"/>
    <w:rsid w:val="00FD2C37"/>
    <w:rsid w:val="00FD3DA9"/>
    <w:rsid w:val="00FD5E3E"/>
    <w:rsid w:val="00FD6046"/>
    <w:rsid w:val="00FE0E61"/>
    <w:rsid w:val="00FE1A1F"/>
    <w:rsid w:val="00FE2B39"/>
    <w:rsid w:val="00FE318A"/>
    <w:rsid w:val="00FE608F"/>
    <w:rsid w:val="00FF72D6"/>
    <w:rsid w:val="00FF7660"/>
    <w:rsid w:val="1B9B7652"/>
    <w:rsid w:val="1BFDC2C9"/>
    <w:rsid w:val="2DF706B8"/>
    <w:rsid w:val="5D9F1FCF"/>
    <w:rsid w:val="6DB19A26"/>
    <w:rsid w:val="7AFE0E46"/>
    <w:rsid w:val="7B7B51D8"/>
    <w:rsid w:val="7D5B9477"/>
    <w:rsid w:val="A7FD3406"/>
    <w:rsid w:val="C7FFFA1A"/>
    <w:rsid w:val="DB5DF143"/>
    <w:rsid w:val="DF4EC035"/>
    <w:rsid w:val="EF7609A7"/>
    <w:rsid w:val="FF6602DF"/>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name="header"/>
    <w:lsdException w:uiPriority="99"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jc w:val="both"/>
    </w:pPr>
    <w:rPr>
      <w:rFonts w:asciiTheme="minorHAnsi" w:hAnsiTheme="minorHAnsi" w:eastAsiaTheme="minorEastAsia" w:cstheme="minorBidi"/>
      <w:sz w:val="24"/>
      <w:szCs w:val="24"/>
      <w:lang w:val="zh-CN" w:eastAsia="zh-CN" w:bidi="ar-SA"/>
    </w:rPr>
  </w:style>
  <w:style w:type="character" w:default="1" w:styleId="7">
    <w:name w:val="Default Paragraph Font"/>
    <w:unhideWhenUsed/>
    <w:qFormat/>
    <w:uiPriority w:val="1"/>
  </w:style>
  <w:style w:type="table" w:default="1" w:styleId="10">
    <w:name w:val="Normal Table"/>
    <w:unhideWhenUsed/>
    <w:uiPriority w:val="99"/>
    <w:tblPr>
      <w:tblCellMar>
        <w:top w:w="0" w:type="dxa"/>
        <w:left w:w="108" w:type="dxa"/>
        <w:bottom w:w="0" w:type="dxa"/>
        <w:right w:w="108" w:type="dxa"/>
      </w:tblCellMar>
    </w:tblPr>
  </w:style>
  <w:style w:type="paragraph" w:styleId="2">
    <w:name w:val="Balloon Text"/>
    <w:basedOn w:val="1"/>
    <w:link w:val="16"/>
    <w:unhideWhenUsed/>
    <w:qFormat/>
    <w:uiPriority w:val="99"/>
    <w:pPr>
      <w:spacing w:after="0" w:line="240" w:lineRule="auto"/>
    </w:pPr>
    <w:rPr>
      <w:rFonts w:ascii="Segoe UI" w:hAnsi="Segoe UI" w:cs="Segoe UI"/>
      <w:sz w:val="18"/>
      <w:szCs w:val="18"/>
    </w:rPr>
  </w:style>
  <w:style w:type="paragraph" w:styleId="3">
    <w:name w:val="caption"/>
    <w:basedOn w:val="1"/>
    <w:next w:val="1"/>
    <w:unhideWhenUsed/>
    <w:qFormat/>
    <w:uiPriority w:val="35"/>
    <w:pPr>
      <w:spacing w:after="200" w:line="240" w:lineRule="auto"/>
    </w:pPr>
    <w:rPr>
      <w:i/>
      <w:iCs/>
      <w:color w:val="44546A" w:themeColor="text2"/>
      <w:sz w:val="18"/>
      <w:szCs w:val="18"/>
      <w14:textFill>
        <w14:solidFill>
          <w14:schemeClr w14:val="tx2"/>
        </w14:solidFill>
      </w14:textFill>
    </w:rPr>
  </w:style>
  <w:style w:type="paragraph" w:styleId="4">
    <w:name w:val="annotation text"/>
    <w:basedOn w:val="1"/>
    <w:unhideWhenUsed/>
    <w:qFormat/>
    <w:uiPriority w:val="99"/>
  </w:style>
  <w:style w:type="paragraph" w:styleId="5">
    <w:name w:val="Date"/>
    <w:basedOn w:val="1"/>
    <w:next w:val="1"/>
    <w:link w:val="14"/>
    <w:unhideWhenUsed/>
    <w:qFormat/>
    <w:uiPriority w:val="99"/>
  </w:style>
  <w:style w:type="paragraph" w:styleId="6">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rPr>
  </w:style>
  <w:style w:type="character" w:styleId="8">
    <w:name w:val="annotation reference"/>
    <w:basedOn w:val="7"/>
    <w:unhideWhenUsed/>
    <w:qFormat/>
    <w:uiPriority w:val="99"/>
    <w:rPr>
      <w:sz w:val="16"/>
      <w:szCs w:val="16"/>
    </w:rPr>
  </w:style>
  <w:style w:type="character" w:styleId="9">
    <w:name w:val="Hyperlink"/>
    <w:basedOn w:val="7"/>
    <w:unhideWhenUsed/>
    <w:qFormat/>
    <w:uiPriority w:val="99"/>
    <w:rPr>
      <w:color w:val="0000FF"/>
      <w:u w:val="single"/>
    </w:rPr>
  </w:style>
  <w:style w:type="table" w:styleId="11">
    <w:name w:val="Table Grid"/>
    <w:basedOn w:val="10"/>
    <w:qFormat/>
    <w:uiPriority w:val="39"/>
    <w:pPr>
      <w:widowControl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Placeholder Text1"/>
    <w:basedOn w:val="7"/>
    <w:semiHidden/>
    <w:qFormat/>
    <w:uiPriority w:val="99"/>
    <w:rPr>
      <w:color w:val="808080"/>
    </w:rPr>
  </w:style>
  <w:style w:type="paragraph" w:customStyle="1" w:styleId="13">
    <w:name w:val="List Paragraph1"/>
    <w:basedOn w:val="1"/>
    <w:qFormat/>
    <w:uiPriority w:val="99"/>
    <w:pPr>
      <w:ind w:left="720"/>
      <w:contextualSpacing/>
    </w:pPr>
  </w:style>
  <w:style w:type="character" w:customStyle="1" w:styleId="14">
    <w:name w:val="날짜 Char"/>
    <w:basedOn w:val="7"/>
    <w:link w:val="5"/>
    <w:semiHidden/>
    <w:qFormat/>
    <w:uiPriority w:val="99"/>
    <w:rPr>
      <w:sz w:val="24"/>
      <w:szCs w:val="24"/>
      <w:lang w:val="zh-CN" w:eastAsia="zh-CN"/>
    </w:rPr>
  </w:style>
  <w:style w:type="character" w:customStyle="1" w:styleId="15">
    <w:name w:val="Placeholder Text2"/>
    <w:basedOn w:val="7"/>
    <w:semiHidden/>
    <w:qFormat/>
    <w:uiPriority w:val="99"/>
    <w:rPr>
      <w:color w:val="808080"/>
    </w:rPr>
  </w:style>
  <w:style w:type="character" w:customStyle="1" w:styleId="16">
    <w:name w:val="풍선 도움말 텍스트 Char"/>
    <w:basedOn w:val="7"/>
    <w:link w:val="2"/>
    <w:semiHidden/>
    <w:qFormat/>
    <w:uiPriority w:val="99"/>
    <w:rPr>
      <w:rFonts w:ascii="Segoe UI" w:hAnsi="Segoe UI" w:cs="Segoe UI"/>
      <w:sz w:val="18"/>
      <w:szCs w:val="18"/>
      <w:lang w:val="zh-CN" w:eastAsia="zh-CN"/>
    </w:rPr>
  </w:style>
  <w:style w:type="character" w:customStyle="1" w:styleId="17">
    <w:name w:val="Unresolved Mention1"/>
    <w:basedOn w:val="7"/>
    <w:unhideWhenUsed/>
    <w:qFormat/>
    <w:uiPriority w:val="99"/>
    <w:rPr>
      <w:color w:val="605E5C"/>
      <w:shd w:val="clear" w:color="auto" w:fill="E1DFDD"/>
    </w:rPr>
  </w:style>
  <w:style w:type="table" w:customStyle="1" w:styleId="18">
    <w:name w:val="일반 표 51"/>
    <w:basedOn w:val="10"/>
    <w:qFormat/>
    <w:uiPriority w:val="45"/>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paragraph" w:customStyle="1" w:styleId="19">
    <w:name w:val="Title2"/>
    <w:basedOn w:val="1"/>
    <w:qFormat/>
    <w:uiPriority w:val="0"/>
    <w:rPr>
      <w:b/>
      <w:lang w:val="en-US"/>
    </w:rPr>
  </w:style>
  <w:style w:type="paragraph" w:customStyle="1" w:styleId="20">
    <w:name w:val="List Paragraph"/>
    <w:basedOn w:val="1"/>
    <w:uiPriority w:val="99"/>
    <w:pPr>
      <w:ind w:left="800" w:leftChars="400"/>
    </w:pPr>
  </w:style>
  <w:style w:type="paragraph" w:customStyle="1" w:styleId="21">
    <w:name w:val="Revision"/>
    <w:hidden/>
    <w:semiHidden/>
    <w:qFormat/>
    <w:uiPriority w:val="99"/>
    <w:pPr>
      <w:jc w:val="left"/>
    </w:pPr>
    <w:rPr>
      <w:rFonts w:asciiTheme="minorHAnsi" w:hAnsiTheme="minorHAnsi" w:eastAsiaTheme="minorEastAsia" w:cstheme="minorBidi"/>
      <w:sz w:val="24"/>
      <w:szCs w:val="24"/>
      <w:lang w:val="zh-CN"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578</Words>
  <Characters>3299</Characters>
  <Lines>27</Lines>
  <Paragraphs>7</Paragraphs>
  <TotalTime>0</TotalTime>
  <ScaleCrop>false</ScaleCrop>
  <LinksUpToDate>false</LinksUpToDate>
  <CharactersWithSpaces>3870</CharactersWithSpaces>
  <Application>WPS Office_3.2.0.6370_F1E327BC-269C-435d-A152-05C5408002CA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2022-01-17T17:01:00Z</dcterms:created>
  <dc:creator>전혜연</dc:creator>
  <cp:lastModifiedBy>swaraj</cp:lastModifiedBy>
  <dcterms:modified xsi:type="dcterms:W3CDTF">2022-01-20T18:57:57Z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1033-3.2.0.6370</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Citation Style_1">
    <vt:lpwstr>http://www.zotero.org/styles/nature</vt:lpwstr>
  </property>
  <property fmtid="{D5CDD505-2E9C-101B-9397-08002B2CF9AE}" pid="25" name="Mendeley Unique User Id_1">
    <vt:lpwstr>7ddc0788-2804-390d-bf96-84bd5bf7933f</vt:lpwstr>
  </property>
</Properties>
</file>