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2"/>
        <w:jc w:val="center"/>
      </w:pPr>
      <w:bookmarkStart w:id="0" w:name="_GoBack"/>
      <w:bookmarkEnd w:id="0"/>
      <w:r>
        <w:t>Supplementary Material</w:t>
      </w:r>
    </w:p>
    <w:p>
      <w:pPr>
        <w:spacing w:before="240"/>
      </w:pPr>
      <w:r>
        <w:rPr>
          <w:b/>
          <w:bCs/>
        </w:rPr>
        <w:t>Table S</w:t>
      </w:r>
      <w:r>
        <w:rPr>
          <w:rFonts w:hint="eastAsia"/>
          <w:b/>
          <w:bCs/>
          <w:lang w:val="en-US" w:eastAsia="zh-CN"/>
        </w:rPr>
        <w:t>1</w:t>
      </w:r>
      <w:r>
        <w:t xml:space="preserve"> ΔLDH and unadjusted odds ratio of mortality with 95% CIs in hepatocellular</w:t>
      </w:r>
    </w:p>
    <w:p>
      <w:pPr>
        <w:spacing w:before="240"/>
      </w:pPr>
      <w:r>
        <w:t>carcinoma after TACE</w:t>
      </w:r>
    </w:p>
    <w:tbl>
      <w:tblPr>
        <w:tblStyle w:val="21"/>
        <w:tblW w:w="4998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9"/>
        <w:gridCol w:w="2270"/>
        <w:gridCol w:w="2496"/>
        <w:gridCol w:w="250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pct"/>
          </w:tcPr>
          <w:p>
            <w:pPr>
              <w:rPr>
                <w:rFonts w:cs="Arial"/>
                <w:color w:val="000000"/>
                <w:sz w:val="21"/>
                <w:szCs w:val="21"/>
              </w:rPr>
            </w:pPr>
          </w:p>
        </w:tc>
        <w:tc>
          <w:tcPr>
            <w:tcW w:w="3638" w:type="pct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sz w:val="21"/>
                <w:szCs w:val="21"/>
              </w:rPr>
              <w:t>Δ</w:t>
            </w:r>
            <w:r>
              <w:rPr>
                <w:rFonts w:cs="Arial"/>
                <w:color w:val="000000"/>
                <w:sz w:val="21"/>
                <w:szCs w:val="21"/>
                <w:lang w:eastAsia="zh-CN"/>
              </w:rPr>
              <w:t>LDH</w:t>
            </w:r>
            <w:r>
              <w:rPr>
                <w:rFonts w:eastAsia="Times New Roman" w:cs="Arial"/>
                <w:color w:val="000000"/>
                <w:sz w:val="21"/>
                <w:szCs w:val="21"/>
              </w:rPr>
              <w:t>(</w:t>
            </w:r>
            <w:r>
              <w:rPr>
                <w:rFonts w:cs="Arial"/>
                <w:color w:val="000000"/>
                <w:sz w:val="21"/>
                <w:szCs w:val="21"/>
                <w:lang w:eastAsia="zh-CN"/>
              </w:rPr>
              <w:t>U</w:t>
            </w:r>
            <w:r>
              <w:rPr>
                <w:rFonts w:eastAsia="Times New Roman" w:cs="Arial"/>
                <w:color w:val="000000"/>
                <w:sz w:val="21"/>
                <w:szCs w:val="21"/>
              </w:rPr>
              <w:t>/L)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pct"/>
            <w:tcBorders>
              <w:bottom w:val="single" w:color="auto" w:sz="4" w:space="0"/>
            </w:tcBorders>
          </w:tcPr>
          <w:p>
            <w:pPr>
              <w:rPr>
                <w:rFonts w:cs="Arial"/>
                <w:color w:val="000000"/>
                <w:sz w:val="21"/>
                <w:szCs w:val="21"/>
              </w:rPr>
            </w:pPr>
          </w:p>
        </w:tc>
        <w:tc>
          <w:tcPr>
            <w:tcW w:w="1136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Times New Roman" w:cs="Arial"/>
                <w:color w:val="000000"/>
                <w:sz w:val="21"/>
                <w:szCs w:val="21"/>
              </w:rPr>
              <w:t>&gt;-</w:t>
            </w:r>
            <w:r>
              <w:rPr>
                <w:rFonts w:eastAsia="等线" w:cs="Arial"/>
                <w:color w:val="000000"/>
                <w:sz w:val="21"/>
                <w:szCs w:val="21"/>
                <w:lang w:eastAsia="zh-CN"/>
              </w:rPr>
              <w:t>80</w:t>
            </w:r>
            <w:r>
              <w:rPr>
                <w:rFonts w:cs="Arial"/>
                <w:color w:val="000000"/>
                <w:sz w:val="21"/>
                <w:szCs w:val="21"/>
              </w:rPr>
              <w:t>，</w:t>
            </w:r>
            <w:r>
              <w:rPr>
                <w:rFonts w:eastAsia="Times New Roman" w:cs="Arial"/>
                <w:color w:val="000000"/>
                <w:sz w:val="21"/>
                <w:szCs w:val="21"/>
              </w:rPr>
              <w:t>&lt;</w:t>
            </w:r>
            <w:r>
              <w:rPr>
                <w:rFonts w:cs="Arial"/>
                <w:color w:val="000000"/>
                <w:sz w:val="21"/>
                <w:szCs w:val="21"/>
                <w:lang w:eastAsia="zh-CN"/>
              </w:rPr>
              <w:t>80</w:t>
            </w:r>
          </w:p>
        </w:tc>
        <w:tc>
          <w:tcPr>
            <w:tcW w:w="1249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Times New Roman" w:cs="Arial"/>
                <w:color w:val="000000"/>
                <w:sz w:val="21"/>
                <w:szCs w:val="21"/>
              </w:rPr>
              <w:t>≤-</w:t>
            </w:r>
            <w:r>
              <w:rPr>
                <w:rFonts w:cs="Arial"/>
                <w:color w:val="000000"/>
                <w:sz w:val="21"/>
                <w:szCs w:val="21"/>
                <w:lang w:eastAsia="zh-CN"/>
              </w:rPr>
              <w:t>80</w:t>
            </w:r>
          </w:p>
        </w:tc>
        <w:tc>
          <w:tcPr>
            <w:tcW w:w="1253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Times New Roman" w:cs="Arial"/>
                <w:color w:val="000000"/>
                <w:sz w:val="21"/>
                <w:szCs w:val="21"/>
              </w:rPr>
              <w:t>≥</w:t>
            </w:r>
            <w:r>
              <w:rPr>
                <w:rFonts w:eastAsia="等线" w:cs="Arial"/>
                <w:color w:val="000000"/>
                <w:sz w:val="21"/>
                <w:szCs w:val="21"/>
                <w:lang w:eastAsia="zh-CN"/>
              </w:rPr>
              <w:t>80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pct"/>
          </w:tcPr>
          <w:p>
            <w:pPr>
              <w:rPr>
                <w:rFonts w:cs="Arial"/>
                <w:color w:val="000000"/>
                <w:sz w:val="21"/>
                <w:szCs w:val="21"/>
                <w:lang w:eastAsia="zh-CN"/>
              </w:rPr>
            </w:pPr>
            <w:r>
              <w:rPr>
                <w:rFonts w:cs="Arial"/>
                <w:color w:val="000000"/>
                <w:sz w:val="21"/>
                <w:szCs w:val="21"/>
                <w:lang w:eastAsia="zh-CN"/>
              </w:rPr>
              <w:t>Mortality at 6 month</w:t>
            </w:r>
          </w:p>
        </w:tc>
        <w:tc>
          <w:tcPr>
            <w:tcW w:w="1136" w:type="pct"/>
            <w:vAlign w:val="center"/>
          </w:tcPr>
          <w:p>
            <w:pPr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eastAsia="Times New Roman" w:cs="Arial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1249" w:type="pct"/>
            <w:vAlign w:val="center"/>
          </w:tcPr>
          <w:p>
            <w:pPr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sz w:val="21"/>
                <w:szCs w:val="21"/>
              </w:rPr>
              <w:t>1.04 (0.59, 1.82)</w:t>
            </w:r>
          </w:p>
        </w:tc>
        <w:tc>
          <w:tcPr>
            <w:tcW w:w="1253" w:type="pct"/>
            <w:vAlign w:val="center"/>
          </w:tcPr>
          <w:p>
            <w:pPr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sz w:val="21"/>
                <w:szCs w:val="21"/>
              </w:rPr>
              <w:t xml:space="preserve">4.43 (2.67, 7.34)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pct"/>
          </w:tcPr>
          <w:p>
            <w:pPr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sz w:val="21"/>
                <w:szCs w:val="21"/>
                <w:lang w:eastAsia="zh-CN"/>
              </w:rPr>
              <w:t xml:space="preserve">Mortality at </w:t>
            </w:r>
            <w:r>
              <w:rPr>
                <w:rFonts w:hint="eastAsia" w:cs="Arial"/>
                <w:color w:val="000000"/>
                <w:sz w:val="21"/>
                <w:szCs w:val="21"/>
                <w:lang w:eastAsia="zh-CN"/>
              </w:rPr>
              <w:t>12 month</w:t>
            </w:r>
          </w:p>
        </w:tc>
        <w:tc>
          <w:tcPr>
            <w:tcW w:w="1136" w:type="pct"/>
            <w:vAlign w:val="center"/>
          </w:tcPr>
          <w:p>
            <w:pPr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eastAsia="Times New Roman" w:cs="Arial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1249" w:type="pct"/>
            <w:vAlign w:val="center"/>
          </w:tcPr>
          <w:p>
            <w:pPr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sz w:val="21"/>
                <w:szCs w:val="21"/>
              </w:rPr>
              <w:t xml:space="preserve">1.28 (0.92, 1.79) </w:t>
            </w:r>
          </w:p>
        </w:tc>
        <w:tc>
          <w:tcPr>
            <w:tcW w:w="1253" w:type="pct"/>
            <w:vAlign w:val="center"/>
          </w:tcPr>
          <w:p>
            <w:pPr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sz w:val="21"/>
                <w:szCs w:val="21"/>
              </w:rPr>
              <w:t>3.19 (2.21, 4.61)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pct"/>
          </w:tcPr>
          <w:p>
            <w:pPr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sz w:val="21"/>
                <w:szCs w:val="21"/>
                <w:lang w:eastAsia="zh-CN"/>
              </w:rPr>
              <w:t xml:space="preserve">Mortality at </w:t>
            </w:r>
            <w:r>
              <w:rPr>
                <w:rFonts w:hint="eastAsia" w:cs="Arial"/>
                <w:color w:val="000000"/>
                <w:sz w:val="21"/>
                <w:szCs w:val="21"/>
                <w:lang w:eastAsia="zh-CN"/>
              </w:rPr>
              <w:t>24 month</w:t>
            </w:r>
          </w:p>
        </w:tc>
        <w:tc>
          <w:tcPr>
            <w:tcW w:w="1136" w:type="pct"/>
            <w:vAlign w:val="center"/>
          </w:tcPr>
          <w:p>
            <w:pPr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eastAsia="Times New Roman" w:cs="Arial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1249" w:type="pct"/>
            <w:vAlign w:val="center"/>
          </w:tcPr>
          <w:p>
            <w:pPr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sz w:val="21"/>
                <w:szCs w:val="21"/>
              </w:rPr>
              <w:t>1.27 (0.99, 1.63)</w:t>
            </w:r>
          </w:p>
        </w:tc>
        <w:tc>
          <w:tcPr>
            <w:tcW w:w="1253" w:type="pct"/>
            <w:vAlign w:val="center"/>
          </w:tcPr>
          <w:p>
            <w:pPr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sz w:val="21"/>
                <w:szCs w:val="21"/>
              </w:rPr>
              <w:t xml:space="preserve">2.58 (1.90, 3.51)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pct"/>
          </w:tcPr>
          <w:p>
            <w:pPr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sz w:val="21"/>
                <w:szCs w:val="21"/>
                <w:lang w:eastAsia="zh-CN"/>
              </w:rPr>
              <w:t xml:space="preserve">Mortality at </w:t>
            </w:r>
            <w:r>
              <w:rPr>
                <w:rFonts w:hint="eastAsia" w:cs="Arial"/>
                <w:color w:val="000000"/>
                <w:sz w:val="21"/>
                <w:szCs w:val="21"/>
                <w:lang w:eastAsia="zh-CN"/>
              </w:rPr>
              <w:t>36 month</w:t>
            </w:r>
          </w:p>
        </w:tc>
        <w:tc>
          <w:tcPr>
            <w:tcW w:w="1136" w:type="pct"/>
            <w:vAlign w:val="center"/>
          </w:tcPr>
          <w:p>
            <w:pPr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eastAsia="Times New Roman" w:cs="Arial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1249" w:type="pct"/>
            <w:vAlign w:val="center"/>
          </w:tcPr>
          <w:p>
            <w:pPr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sz w:val="21"/>
                <w:szCs w:val="21"/>
              </w:rPr>
              <w:t xml:space="preserve">1.27 (1.00, 1.60) </w:t>
            </w:r>
          </w:p>
        </w:tc>
        <w:tc>
          <w:tcPr>
            <w:tcW w:w="1253" w:type="pct"/>
            <w:vAlign w:val="center"/>
          </w:tcPr>
          <w:p>
            <w:pPr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sz w:val="21"/>
                <w:szCs w:val="21"/>
              </w:rPr>
              <w:t xml:space="preserve">2.42 (1.81, 3.25) </w:t>
            </w:r>
          </w:p>
        </w:tc>
      </w:tr>
    </w:tbl>
    <w:p>
      <w:pPr>
        <w:spacing w:before="240"/>
      </w:pPr>
    </w:p>
    <w:p>
      <w:pPr>
        <w:spacing w:before="240"/>
      </w:pPr>
      <w:r>
        <w:rPr>
          <w:b/>
          <w:bCs/>
        </w:rPr>
        <w:t>Figure S</w:t>
      </w:r>
      <w:r>
        <w:rPr>
          <w:rFonts w:hint="eastAsia"/>
          <w:b/>
          <w:bCs/>
          <w:lang w:val="en-US" w:eastAsia="zh-CN"/>
        </w:rPr>
        <w:t>2</w:t>
      </w:r>
      <w:r>
        <w:t xml:space="preserve"> The histogram of survival rate among Δ LDH groups</w:t>
      </w:r>
    </w:p>
    <w:p>
      <w:pPr>
        <w:spacing w:before="240"/>
      </w:pPr>
      <w:r>
        <w:drawing>
          <wp:inline distT="0" distB="0" distL="0" distR="0">
            <wp:extent cx="5273675" cy="4036060"/>
            <wp:effectExtent l="0" t="0" r="317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36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>
      <w:headerReference r:id="rId6" w:type="first"/>
      <w:footerReference r:id="rId7" w:type="default"/>
      <w:headerReference r:id="rId5" w:type="even"/>
      <w:footerReference r:id="rId8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0pt;margin-top:0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0pt;margin-top:0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720"/>
  <w:evenAndOddHeaders w:val="1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A0E41"/>
    <w:rsid w:val="006B7D14"/>
    <w:rsid w:val="00701727"/>
    <w:rsid w:val="0070566C"/>
    <w:rsid w:val="00714C50"/>
    <w:rsid w:val="00725A7D"/>
    <w:rsid w:val="007501BE"/>
    <w:rsid w:val="00790BB3"/>
    <w:rsid w:val="007B56AE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  <w:rsid w:val="3C6C6963"/>
    <w:rsid w:val="3E32320F"/>
    <w:rsid w:val="5DC8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qFormat="1" w:unhideWhenUsed="0" w:uiPriority="0" w:semiHidden="0" w:name="Table Grid"/>
    <w:lsdException w:unhideWhenUsed="0" w:uiPriority="99" w:semiHidden="0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EastAsia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qFormat/>
    <w:uiPriority w:val="2"/>
    <w:pPr>
      <w:numPr>
        <w:ilvl w:val="4"/>
      </w:numPr>
      <w:outlineLvl w:val="4"/>
    </w:p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unhideWhenUsed/>
    <w:qFormat/>
    <w:uiPriority w:val="99"/>
    <w:pPr>
      <w:spacing w:after="0" w:line="240" w:lineRule="auto"/>
    </w:pPr>
    <w:rPr>
      <w:rFonts w:ascii="Times New Roman" w:hAnsi="Times New Roman" w:eastAsiaTheme="minorEastAsia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7"/>
    <w:semiHidden/>
    <w:unhideWhenUsed/>
    <w:qFormat/>
    <w:uiPriority w:val="99"/>
    <w:rPr>
      <w:sz w:val="20"/>
      <w:szCs w:val="20"/>
    </w:rPr>
  </w:style>
  <w:style w:type="paragraph" w:styleId="11">
    <w:name w:val="endnote text"/>
    <w:basedOn w:val="1"/>
    <w:link w:val="39"/>
    <w:semiHidden/>
    <w:unhideWhenUsed/>
    <w:uiPriority w:val="99"/>
    <w:pPr>
      <w:spacing w:after="0"/>
    </w:pPr>
    <w:rPr>
      <w:sz w:val="20"/>
      <w:szCs w:val="20"/>
    </w:rPr>
  </w:style>
  <w:style w:type="paragraph" w:styleId="12">
    <w:name w:val="Balloon Text"/>
    <w:basedOn w:val="1"/>
    <w:link w:val="35"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3">
    <w:name w:val="footer"/>
    <w:basedOn w:val="1"/>
    <w:link w:val="40"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4">
    <w:name w:val="header"/>
    <w:basedOn w:val="1"/>
    <w:link w:val="42"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5">
    <w:name w:val="Subtitle"/>
    <w:basedOn w:val="1"/>
    <w:next w:val="1"/>
    <w:link w:val="33"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6">
    <w:name w:val="footnote text"/>
    <w:basedOn w:val="1"/>
    <w:link w:val="41"/>
    <w:semiHidden/>
    <w:unhideWhenUsed/>
    <w:uiPriority w:val="99"/>
    <w:pPr>
      <w:spacing w:after="0"/>
    </w:pPr>
    <w:rPr>
      <w:sz w:val="20"/>
      <w:szCs w:val="20"/>
    </w:rPr>
  </w:style>
  <w:style w:type="paragraph" w:styleId="17">
    <w:name w:val="Normal (Web)"/>
    <w:basedOn w:val="1"/>
    <w:unhideWhenUsed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8">
    <w:name w:val="Title"/>
    <w:basedOn w:val="1"/>
    <w:next w:val="1"/>
    <w:link w:val="5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9">
    <w:name w:val="annotation subject"/>
    <w:basedOn w:val="10"/>
    <w:next w:val="10"/>
    <w:link w:val="38"/>
    <w:semiHidden/>
    <w:unhideWhenUsed/>
    <w:qFormat/>
    <w:uiPriority w:val="99"/>
    <w:rPr>
      <w:b/>
      <w:bCs/>
    </w:rPr>
  </w:style>
  <w:style w:type="table" w:styleId="21">
    <w:name w:val="Table Grid"/>
    <w:basedOn w:val="20"/>
    <w:qFormat/>
    <w:uiPriority w:val="0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qFormat/>
    <w:uiPriority w:val="22"/>
    <w:rPr>
      <w:rFonts w:ascii="Times New Roman" w:hAnsi="Times New Roman"/>
      <w:b/>
      <w:bCs/>
    </w:rPr>
  </w:style>
  <w:style w:type="character" w:styleId="24">
    <w:name w:val="endnote reference"/>
    <w:basedOn w:val="22"/>
    <w:semiHidden/>
    <w:unhideWhenUsed/>
    <w:qFormat/>
    <w:uiPriority w:val="99"/>
    <w:rPr>
      <w:vertAlign w:val="superscript"/>
    </w:rPr>
  </w:style>
  <w:style w:type="character" w:styleId="25">
    <w:name w:val="FollowedHyperlink"/>
    <w:basedOn w:val="2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6">
    <w:name w:val="Emphasis"/>
    <w:basedOn w:val="22"/>
    <w:qFormat/>
    <w:uiPriority w:val="20"/>
    <w:rPr>
      <w:rFonts w:ascii="Times New Roman" w:hAnsi="Times New Roman"/>
      <w:i/>
      <w:iCs/>
    </w:rPr>
  </w:style>
  <w:style w:type="character" w:styleId="27">
    <w:name w:val="line number"/>
    <w:basedOn w:val="22"/>
    <w:semiHidden/>
    <w:unhideWhenUsed/>
    <w:uiPriority w:val="99"/>
  </w:style>
  <w:style w:type="character" w:styleId="28">
    <w:name w:val="Hyperlink"/>
    <w:basedOn w:val="22"/>
    <w:unhideWhenUsed/>
    <w:uiPriority w:val="99"/>
    <w:rPr>
      <w:color w:val="0000FF"/>
      <w:u w:val="single"/>
    </w:rPr>
  </w:style>
  <w:style w:type="character" w:styleId="29">
    <w:name w:val="annotation reference"/>
    <w:basedOn w:val="22"/>
    <w:semiHidden/>
    <w:unhideWhenUsed/>
    <w:qFormat/>
    <w:uiPriority w:val="99"/>
    <w:rPr>
      <w:sz w:val="16"/>
      <w:szCs w:val="16"/>
    </w:rPr>
  </w:style>
  <w:style w:type="character" w:styleId="30">
    <w:name w:val="footnote reference"/>
    <w:basedOn w:val="22"/>
    <w:semiHidden/>
    <w:unhideWhenUsed/>
    <w:qFormat/>
    <w:uiPriority w:val="99"/>
    <w:rPr>
      <w:vertAlign w:val="superscript"/>
    </w:rPr>
  </w:style>
  <w:style w:type="character" w:customStyle="1" w:styleId="31">
    <w:name w:val="标题 1 字符"/>
    <w:basedOn w:val="22"/>
    <w:link w:val="2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标题 2 字符"/>
    <w:basedOn w:val="22"/>
    <w:link w:val="4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副标题 字符"/>
    <w:basedOn w:val="22"/>
    <w:link w:val="15"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5"/>
    <w:next w:val="1"/>
    <w:qFormat/>
    <w:uiPriority w:val="1"/>
  </w:style>
  <w:style w:type="character" w:customStyle="1" w:styleId="35">
    <w:name w:val="批注框文本 字符"/>
    <w:basedOn w:val="22"/>
    <w:link w:val="12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6">
    <w:name w:val="Book Title"/>
    <w:basedOn w:val="22"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批注文字 字符"/>
    <w:basedOn w:val="22"/>
    <w:link w:val="10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8">
    <w:name w:val="批注主题 字符"/>
    <w:basedOn w:val="37"/>
    <w:link w:val="19"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尾注文本 字符"/>
    <w:basedOn w:val="22"/>
    <w:link w:val="11"/>
    <w:semiHidden/>
    <w:uiPriority w:val="99"/>
    <w:rPr>
      <w:rFonts w:ascii="Times New Roman" w:hAnsi="Times New Roman"/>
      <w:sz w:val="20"/>
      <w:szCs w:val="20"/>
    </w:rPr>
  </w:style>
  <w:style w:type="character" w:customStyle="1" w:styleId="40">
    <w:name w:val="页脚 字符"/>
    <w:basedOn w:val="22"/>
    <w:link w:val="13"/>
    <w:qFormat/>
    <w:uiPriority w:val="99"/>
    <w:rPr>
      <w:rFonts w:ascii="Times New Roman" w:hAnsi="Times New Roman"/>
      <w:sz w:val="24"/>
    </w:rPr>
  </w:style>
  <w:style w:type="character" w:customStyle="1" w:styleId="41">
    <w:name w:val="脚注文本 字符"/>
    <w:basedOn w:val="22"/>
    <w:link w:val="16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2">
    <w:name w:val="页眉 字符"/>
    <w:basedOn w:val="22"/>
    <w:link w:val="14"/>
    <w:uiPriority w:val="99"/>
    <w:rPr>
      <w:rFonts w:ascii="Times New Roman" w:hAnsi="Times New Roman"/>
      <w:b/>
      <w:sz w:val="24"/>
    </w:rPr>
  </w:style>
  <w:style w:type="character" w:customStyle="1" w:styleId="43">
    <w:name w:val="Intense Emphasis"/>
    <w:basedOn w:val="22"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Intense Reference"/>
    <w:basedOn w:val="22"/>
    <w:qFormat/>
    <w:uiPriority w:val="32"/>
    <w:rPr>
      <w:b/>
      <w:bCs/>
      <w:smallCaps/>
      <w:color w:val="auto"/>
      <w:spacing w:val="5"/>
    </w:rPr>
  </w:style>
  <w:style w:type="character" w:customStyle="1" w:styleId="45">
    <w:name w:val="标题 3 字符"/>
    <w:basedOn w:val="22"/>
    <w:link w:val="5"/>
    <w:qFormat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标题 4 字符"/>
    <w:basedOn w:val="22"/>
    <w:link w:val="6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标题 5 字符"/>
    <w:basedOn w:val="22"/>
    <w:link w:val="7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8">
    <w:name w:val="Quote"/>
    <w:basedOn w:val="1"/>
    <w:next w:val="1"/>
    <w:link w:val="49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引用 字符"/>
    <w:basedOn w:val="22"/>
    <w:link w:val="48"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Subtle Emphasis"/>
    <w:basedOn w:val="22"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标题 字符"/>
    <w:basedOn w:val="22"/>
    <w:link w:val="18"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8"/>
    <w:next w:val="18"/>
    <w:qFormat/>
    <w:uiPriority w:val="0"/>
    <w:pPr>
      <w:spacing w:after="120"/>
    </w:pPr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A95B22-B4E8-4C8E-ABCB-1E2B9143F8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Pages>3</Pages>
  <Words>106</Words>
  <Characters>610</Characters>
  <Lines>5</Lines>
  <Paragraphs>1</Paragraphs>
  <TotalTime>1</TotalTime>
  <ScaleCrop>false</ScaleCrop>
  <LinksUpToDate>false</LinksUpToDate>
  <CharactersWithSpaces>715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2021-11-07T05:52:00Z</dcterms:created>
  <dc:creator>Frontiers Media SA</dc:creator>
  <cp:lastModifiedBy>瓶子</cp:lastModifiedBy>
  <cp:lastPrinted>2013-10-03T12:51:00Z</cp:lastPrinted>
  <dcterms:modified xsi:type="dcterms:W3CDTF">2022-02-24T13:15:53Z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1A90AEC811804F8985ED873ABD3716E4</vt:lpwstr>
  </property>
</Properties>
</file>