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998F1" w14:textId="77777777" w:rsidR="00A70B40" w:rsidRPr="00590F2F" w:rsidRDefault="00A70B40" w:rsidP="0098461F">
      <w:pPr>
        <w:jc w:val="center"/>
        <w:rPr>
          <w:b/>
          <w:sz w:val="40"/>
          <w:szCs w:val="40"/>
        </w:rPr>
      </w:pPr>
      <w:r w:rsidRPr="00590F2F">
        <w:rPr>
          <w:b/>
          <w:sz w:val="40"/>
          <w:szCs w:val="40"/>
        </w:rPr>
        <w:t>Supplementary Information</w:t>
      </w:r>
    </w:p>
    <w:p w14:paraId="0CDD11B9" w14:textId="77777777" w:rsidR="00A70B40" w:rsidRPr="00590F2F" w:rsidRDefault="00A70B40" w:rsidP="0098461F">
      <w:pPr>
        <w:jc w:val="center"/>
        <w:rPr>
          <w:b/>
        </w:rPr>
      </w:pPr>
    </w:p>
    <w:p w14:paraId="17FD9437" w14:textId="77777777" w:rsidR="00A70B40" w:rsidRPr="00590F2F" w:rsidRDefault="00A70B40" w:rsidP="0098461F">
      <w:pPr>
        <w:jc w:val="center"/>
        <w:rPr>
          <w:b/>
        </w:rPr>
      </w:pPr>
    </w:p>
    <w:p w14:paraId="762BC9AF" w14:textId="77777777" w:rsidR="00A70B40" w:rsidRPr="00590F2F" w:rsidRDefault="00A70B40" w:rsidP="0098461F">
      <w:pPr>
        <w:jc w:val="center"/>
        <w:rPr>
          <w:b/>
        </w:rPr>
      </w:pPr>
    </w:p>
    <w:p w14:paraId="08E53843" w14:textId="77777777" w:rsidR="00A70B40" w:rsidRPr="00590F2F" w:rsidRDefault="00A70B40" w:rsidP="0098461F">
      <w:pPr>
        <w:jc w:val="center"/>
        <w:rPr>
          <w:b/>
        </w:rPr>
      </w:pPr>
    </w:p>
    <w:p w14:paraId="5CAC1537" w14:textId="77777777" w:rsidR="00A70B40" w:rsidRPr="00590F2F" w:rsidRDefault="00A70B40" w:rsidP="0098461F">
      <w:pPr>
        <w:jc w:val="center"/>
        <w:rPr>
          <w:b/>
        </w:rPr>
      </w:pPr>
    </w:p>
    <w:p w14:paraId="50B6C5A2" w14:textId="77777777" w:rsidR="00A70B40" w:rsidRPr="00590F2F" w:rsidRDefault="00A70B40" w:rsidP="0098461F">
      <w:pPr>
        <w:jc w:val="center"/>
        <w:rPr>
          <w:b/>
        </w:rPr>
      </w:pPr>
    </w:p>
    <w:p w14:paraId="0EC8ABD9" w14:textId="77777777" w:rsidR="00A70B40" w:rsidRPr="00590F2F" w:rsidRDefault="00A70B40" w:rsidP="0098461F">
      <w:pPr>
        <w:jc w:val="center"/>
        <w:rPr>
          <w:b/>
        </w:rPr>
      </w:pPr>
    </w:p>
    <w:p w14:paraId="43756F0F" w14:textId="77777777" w:rsidR="00A70B40" w:rsidRPr="00590F2F" w:rsidRDefault="00A70B40" w:rsidP="0098461F">
      <w:pPr>
        <w:jc w:val="center"/>
        <w:rPr>
          <w:b/>
        </w:rPr>
      </w:pPr>
    </w:p>
    <w:p w14:paraId="2A8D8C3E" w14:textId="3EC30490" w:rsidR="00A70B40" w:rsidRPr="0095697F" w:rsidRDefault="00F07026" w:rsidP="0095697F">
      <w:pPr>
        <w:spacing w:line="480" w:lineRule="auto"/>
        <w:jc w:val="center"/>
        <w:rPr>
          <w:b/>
          <w:bCs/>
          <w:sz w:val="36"/>
          <w:szCs w:val="36"/>
        </w:rPr>
      </w:pPr>
      <w:r>
        <w:rPr>
          <w:b/>
          <w:bCs/>
          <w:sz w:val="36"/>
          <w:szCs w:val="36"/>
        </w:rPr>
        <w:t>Multi-hazard risk to global port infrastructure and resulting trade and logistics losses</w:t>
      </w:r>
    </w:p>
    <w:p w14:paraId="1F59ABAF" w14:textId="77777777" w:rsidR="0095697F" w:rsidRPr="008E49D3" w:rsidRDefault="0095697F" w:rsidP="0095697F">
      <w:pPr>
        <w:jc w:val="center"/>
        <w:rPr>
          <w:lang w:val="nl-NL"/>
        </w:rPr>
      </w:pPr>
      <w:r w:rsidRPr="008E49D3">
        <w:rPr>
          <w:lang w:val="nl-NL"/>
        </w:rPr>
        <w:t xml:space="preserve">Jasper Verschuur, Elco E. Koks, </w:t>
      </w:r>
      <w:proofErr w:type="spellStart"/>
      <w:r w:rsidRPr="008E49D3">
        <w:rPr>
          <w:lang w:val="nl-NL"/>
        </w:rPr>
        <w:t>Sihan</w:t>
      </w:r>
      <w:proofErr w:type="spellEnd"/>
      <w:r w:rsidRPr="008E49D3">
        <w:rPr>
          <w:lang w:val="nl-NL"/>
        </w:rPr>
        <w:t xml:space="preserve"> Li, Jim W. Hall</w:t>
      </w:r>
    </w:p>
    <w:p w14:paraId="4E1C2CCB" w14:textId="77777777" w:rsidR="0095697F" w:rsidRPr="008E49D3" w:rsidRDefault="0095697F" w:rsidP="0095697F">
      <w:pPr>
        <w:jc w:val="center"/>
        <w:rPr>
          <w:lang w:val="nl-NL"/>
        </w:rPr>
      </w:pPr>
    </w:p>
    <w:p w14:paraId="29EF47E1" w14:textId="77777777" w:rsidR="0095697F" w:rsidRPr="008E49D3" w:rsidRDefault="0095697F" w:rsidP="0095697F">
      <w:pPr>
        <w:jc w:val="center"/>
      </w:pPr>
      <w:r w:rsidRPr="008E49D3">
        <w:t xml:space="preserve">*Corresponding author. Email: </w:t>
      </w:r>
      <w:hyperlink r:id="rId8" w:history="1">
        <w:r w:rsidRPr="008E49D3">
          <w:rPr>
            <w:rStyle w:val="Hyperlink"/>
          </w:rPr>
          <w:t>jasper.verschuur@keble.ox.ac.uk</w:t>
        </w:r>
      </w:hyperlink>
    </w:p>
    <w:p w14:paraId="17CC0F2B" w14:textId="77777777" w:rsidR="00A70B40" w:rsidRPr="00590F2F" w:rsidRDefault="00A70B40" w:rsidP="0098461F">
      <w:pPr>
        <w:jc w:val="both"/>
        <w:rPr>
          <w:b/>
        </w:rPr>
      </w:pPr>
    </w:p>
    <w:p w14:paraId="0A6EA67D" w14:textId="77777777" w:rsidR="00A70B40" w:rsidRPr="00590F2F" w:rsidRDefault="00A70B40" w:rsidP="0098461F">
      <w:pPr>
        <w:jc w:val="both"/>
        <w:rPr>
          <w:b/>
        </w:rPr>
      </w:pPr>
    </w:p>
    <w:p w14:paraId="51F5AFEC" w14:textId="77777777" w:rsidR="00A70B40" w:rsidRPr="00590F2F" w:rsidRDefault="00A70B40" w:rsidP="0098461F">
      <w:pPr>
        <w:jc w:val="both"/>
        <w:rPr>
          <w:b/>
        </w:rPr>
      </w:pPr>
    </w:p>
    <w:p w14:paraId="596AD882" w14:textId="77777777" w:rsidR="00A70B40" w:rsidRPr="00590F2F" w:rsidRDefault="00A70B40" w:rsidP="0098461F">
      <w:pPr>
        <w:jc w:val="both"/>
        <w:rPr>
          <w:b/>
        </w:rPr>
      </w:pPr>
    </w:p>
    <w:p w14:paraId="7300E304" w14:textId="77777777" w:rsidR="00A70B40" w:rsidRPr="00590F2F" w:rsidRDefault="00A70B40" w:rsidP="0098461F">
      <w:pPr>
        <w:jc w:val="both"/>
        <w:rPr>
          <w:b/>
        </w:rPr>
      </w:pPr>
    </w:p>
    <w:p w14:paraId="3B62519E" w14:textId="77777777" w:rsidR="00F07026" w:rsidRPr="008E49D3" w:rsidRDefault="00F07026" w:rsidP="00F07026">
      <w:pPr>
        <w:rPr>
          <w:b/>
        </w:rPr>
      </w:pPr>
      <w:r w:rsidRPr="008E49D3">
        <w:rPr>
          <w:b/>
        </w:rPr>
        <w:t>This PDF file includes:</w:t>
      </w:r>
    </w:p>
    <w:p w14:paraId="45E1F7D5" w14:textId="77777777" w:rsidR="00F07026" w:rsidRPr="008E49D3" w:rsidRDefault="00F07026" w:rsidP="00F07026"/>
    <w:p w14:paraId="08ED93A1" w14:textId="712F6456" w:rsidR="00F07026" w:rsidRPr="008E49D3" w:rsidRDefault="00F07026" w:rsidP="00F07026">
      <w:pPr>
        <w:ind w:left="720"/>
      </w:pPr>
      <w:r w:rsidRPr="008E49D3">
        <w:t xml:space="preserve">Supplementary </w:t>
      </w:r>
      <w:r w:rsidR="007F750B">
        <w:t>Text</w:t>
      </w:r>
      <w:r>
        <w:t xml:space="preserve"> </w:t>
      </w:r>
    </w:p>
    <w:p w14:paraId="1D453486" w14:textId="0CA97451" w:rsidR="00F07026" w:rsidRPr="008E49D3" w:rsidRDefault="00F07026" w:rsidP="00F07026">
      <w:pPr>
        <w:ind w:left="720"/>
      </w:pPr>
      <w:r>
        <w:t xml:space="preserve">Supplementary </w:t>
      </w:r>
      <w:r w:rsidRPr="008E49D3">
        <w:t>Fig</w:t>
      </w:r>
      <w:r w:rsidR="00940092">
        <w:t>ures</w:t>
      </w:r>
      <w:r w:rsidRPr="008E49D3">
        <w:t>.</w:t>
      </w:r>
      <w:r>
        <w:t xml:space="preserve"> </w:t>
      </w:r>
      <w:r w:rsidRPr="008E49D3">
        <w:t>1 to 9</w:t>
      </w:r>
    </w:p>
    <w:p w14:paraId="02FCB287" w14:textId="7920E93D" w:rsidR="00F07026" w:rsidRPr="008E49D3" w:rsidRDefault="00F07026" w:rsidP="00F07026">
      <w:pPr>
        <w:ind w:left="720"/>
      </w:pPr>
      <w:r>
        <w:t xml:space="preserve">Supplementary </w:t>
      </w:r>
      <w:r w:rsidRPr="008E49D3">
        <w:t>Tables 1 to 4</w:t>
      </w:r>
    </w:p>
    <w:p w14:paraId="3359A136" w14:textId="77777777" w:rsidR="00F07026" w:rsidRPr="008E49D3" w:rsidRDefault="00F07026" w:rsidP="00F07026">
      <w:pPr>
        <w:ind w:left="720"/>
      </w:pPr>
      <w:r w:rsidRPr="008E49D3">
        <w:t xml:space="preserve">References (1 to 35) </w:t>
      </w:r>
    </w:p>
    <w:p w14:paraId="041210F6" w14:textId="7E1C5384" w:rsidR="00A70B40" w:rsidRDefault="00A70B40" w:rsidP="0098461F">
      <w:pPr>
        <w:jc w:val="both"/>
        <w:rPr>
          <w:b/>
        </w:rPr>
      </w:pPr>
      <w:r w:rsidRPr="00590F2F">
        <w:rPr>
          <w:b/>
        </w:rPr>
        <w:br w:type="page"/>
      </w:r>
    </w:p>
    <w:p w14:paraId="61910FA6" w14:textId="6DBEBF6B" w:rsidR="003B4349" w:rsidRPr="008E49D3" w:rsidRDefault="003B4349" w:rsidP="003B4349">
      <w:pPr>
        <w:pStyle w:val="SMHeading"/>
      </w:pPr>
      <w:r w:rsidRPr="008E49D3">
        <w:lastRenderedPageBreak/>
        <w:t xml:space="preserve">Supplementary </w:t>
      </w:r>
      <w:r w:rsidR="008C1A4F">
        <w:t>Text</w:t>
      </w:r>
    </w:p>
    <w:p w14:paraId="15123B9C" w14:textId="77777777" w:rsidR="003B4349" w:rsidRDefault="003B4349" w:rsidP="003B4349">
      <w:pPr>
        <w:pStyle w:val="SMSubheading"/>
        <w:rPr>
          <w:szCs w:val="24"/>
        </w:rPr>
      </w:pPr>
    </w:p>
    <w:p w14:paraId="77859427" w14:textId="77777777" w:rsidR="003B4349" w:rsidRPr="008E49D3" w:rsidRDefault="003B4349" w:rsidP="003B4349">
      <w:pPr>
        <w:pStyle w:val="SMSubheading"/>
        <w:rPr>
          <w:szCs w:val="24"/>
        </w:rPr>
      </w:pPr>
      <w:r w:rsidRPr="008E49D3">
        <w:rPr>
          <w:szCs w:val="24"/>
        </w:rPr>
        <w:t>Port areas</w:t>
      </w:r>
    </w:p>
    <w:p w14:paraId="5A919D1E" w14:textId="0B270511" w:rsidR="003B4349" w:rsidRPr="008E49D3" w:rsidRDefault="003B4349" w:rsidP="00487BF3">
      <w:pPr>
        <w:pStyle w:val="SMSubheading"/>
        <w:jc w:val="both"/>
        <w:rPr>
          <w:szCs w:val="24"/>
          <w:u w:val="none"/>
        </w:rPr>
      </w:pPr>
      <w:r w:rsidRPr="008E49D3">
        <w:rPr>
          <w:szCs w:val="24"/>
          <w:u w:val="none"/>
        </w:rPr>
        <w:t>The total port area mapped globally equals 4521 km</w:t>
      </w:r>
      <w:r w:rsidRPr="008E49D3">
        <w:rPr>
          <w:szCs w:val="24"/>
          <w:u w:val="none"/>
          <w:vertAlign w:val="superscript"/>
        </w:rPr>
        <w:t>2</w:t>
      </w:r>
      <w:r w:rsidRPr="008E49D3">
        <w:rPr>
          <w:szCs w:val="24"/>
          <w:u w:val="none"/>
        </w:rPr>
        <w:t xml:space="preserve">. In </w:t>
      </w:r>
      <w:r w:rsidR="00487BF3">
        <w:rPr>
          <w:szCs w:val="24"/>
          <w:u w:val="none"/>
        </w:rPr>
        <w:t xml:space="preserve">Supplementary Figure </w:t>
      </w:r>
      <w:r w:rsidRPr="008E49D3">
        <w:rPr>
          <w:szCs w:val="24"/>
          <w:u w:val="none"/>
        </w:rPr>
        <w:t>9, we have regrouped the 16 land-use classes into seven land-use classes and plotted the total area per continent. The Liquid (23.7%), Raw (15.4%) and Container (13.6%) land-use classes contribute most to the size of global port areas. The industry areas add an additional 4345 km</w:t>
      </w:r>
      <w:r w:rsidRPr="008E49D3">
        <w:rPr>
          <w:szCs w:val="24"/>
          <w:u w:val="none"/>
          <w:vertAlign w:val="superscript"/>
        </w:rPr>
        <w:t>2</w:t>
      </w:r>
      <w:r w:rsidRPr="008E49D3">
        <w:rPr>
          <w:szCs w:val="24"/>
          <w:u w:val="none"/>
        </w:rPr>
        <w:t xml:space="preserve"> of port areas to the database. In </w:t>
      </w:r>
      <w:r w:rsidR="00487BF3">
        <w:rPr>
          <w:szCs w:val="24"/>
          <w:u w:val="none"/>
        </w:rPr>
        <w:t xml:space="preserve">Supplementary Figure </w:t>
      </w:r>
      <w:r w:rsidRPr="008E49D3">
        <w:rPr>
          <w:szCs w:val="24"/>
          <w:u w:val="none"/>
        </w:rPr>
        <w:t>8, the Industry area per continent is shown. Most industry is concentrated in Europe, North-America and Asia, while the Middle-East also has a large number of industrial facilities in port areas (mainly oil facilities).</w:t>
      </w:r>
    </w:p>
    <w:p w14:paraId="1F4578F8" w14:textId="77777777" w:rsidR="003B4349" w:rsidRPr="008E49D3" w:rsidRDefault="003B4349" w:rsidP="00487BF3">
      <w:pPr>
        <w:pStyle w:val="SMSubheading"/>
        <w:jc w:val="both"/>
        <w:rPr>
          <w:szCs w:val="24"/>
          <w:u w:val="none"/>
        </w:rPr>
      </w:pPr>
    </w:p>
    <w:p w14:paraId="473E793E" w14:textId="641580F2" w:rsidR="003B4349" w:rsidRPr="008E49D3" w:rsidRDefault="003B4349" w:rsidP="00487BF3">
      <w:pPr>
        <w:pStyle w:val="SMSubheading"/>
        <w:jc w:val="both"/>
        <w:rPr>
          <w:szCs w:val="24"/>
          <w:u w:val="none"/>
        </w:rPr>
      </w:pPr>
      <w:r w:rsidRPr="008E49D3">
        <w:rPr>
          <w:szCs w:val="24"/>
          <w:u w:val="none"/>
        </w:rPr>
        <w:t xml:space="preserve">The mapped port area is considerably larger than previous estimates of global port areas that used a simple scaling relationship between throughput and port area </w:t>
      </w:r>
      <w:r w:rsidRPr="008E49D3">
        <w:rPr>
          <w:szCs w:val="24"/>
          <w:u w:val="none"/>
        </w:rPr>
        <w:fldChar w:fldCharType="begin" w:fldLock="1"/>
      </w:r>
      <w:r w:rsidR="00902ED9">
        <w:rPr>
          <w:szCs w:val="24"/>
          <w:u w:val="none"/>
        </w:rPr>
        <w:instrText>ADDIN CSL_CITATION {"citationItems":[{"id":"ITEM-1","itemData":{"DOI":"10.1029/2020EF001543","ISSN":"2328-4277","author":[{"dropping-particle":"","family":"Hanson","given":"Susan E.","non-dropping-particle":"","parse-names":false,"suffix":""},{"dropping-particle":"","family":"Nicholls","given":"Robert J.","non-dropping-particle":"","parse-names":false,"suffix":""}],"container-title":"Earth's Future","id":"ITEM-1","issue":"8","issued":{"date-parts":[["2020","8","6"]]},"title":"Demand for Ports to 2050: Climate Policy, Growing Trade and the Impacts of Sea‐Level Rise","type":"article-journal","volume":"8"},"uris":["http://www.mendeley.com/documents/?uuid=6ee845d6-a49f-4def-8e60-9ff6b145eb25"]}],"mendeley":{"formattedCitation":"&lt;sup&gt;1&lt;/sup&gt;","plainTextFormattedCitation":"1","previouslyFormattedCitation":"(&lt;i&gt;1&lt;/i&gt;)"},"properties":{"noteIndex":0},"schema":"https://github.com/citation-style-language/schema/raw/master/csl-citation.json"}</w:instrText>
      </w:r>
      <w:r w:rsidRPr="008E49D3">
        <w:rPr>
          <w:szCs w:val="24"/>
          <w:u w:val="none"/>
        </w:rPr>
        <w:fldChar w:fldCharType="separate"/>
      </w:r>
      <w:r w:rsidR="00902ED9" w:rsidRPr="00902ED9">
        <w:rPr>
          <w:noProof/>
          <w:szCs w:val="24"/>
          <w:u w:val="none"/>
          <w:vertAlign w:val="superscript"/>
        </w:rPr>
        <w:t>1</w:t>
      </w:r>
      <w:r w:rsidRPr="008E49D3">
        <w:rPr>
          <w:szCs w:val="24"/>
          <w:u w:val="none"/>
        </w:rPr>
        <w:fldChar w:fldCharType="end"/>
      </w:r>
      <w:r w:rsidRPr="008E49D3">
        <w:rPr>
          <w:szCs w:val="24"/>
          <w:u w:val="none"/>
        </w:rPr>
        <w:t xml:space="preserve">. For instance, Hanson and Nicholls </w:t>
      </w:r>
      <w:r w:rsidRPr="008E49D3">
        <w:rPr>
          <w:szCs w:val="24"/>
          <w:u w:val="none"/>
        </w:rPr>
        <w:fldChar w:fldCharType="begin" w:fldLock="1"/>
      </w:r>
      <w:r w:rsidR="00902ED9">
        <w:rPr>
          <w:szCs w:val="24"/>
          <w:u w:val="none"/>
        </w:rPr>
        <w:instrText>ADDIN CSL_CITATION {"citationItems":[{"id":"ITEM-1","itemData":{"DOI":"10.1029/2020EF001543","ISSN":"2328-4277","author":[{"dropping-particle":"","family":"Hanson","given":"Susan E.","non-dropping-particle":"","parse-names":false,"suffix":""},{"dropping-particle":"","family":"Nicholls","given":"Robert J.","non-dropping-particle":"","parse-names":false,"suffix":""}],"container-title":"Earth's Future","id":"ITEM-1","issue":"8","issued":{"date-parts":[["2020","8","6"]]},"title":"Demand for Ports to 2050: Climate Policy, Growing Trade and the Impacts of Sea‐Level Rise","type":"article-journal","volume":"8"},"uris":["http://www.mendeley.com/documents/?uuid=6ee845d6-a49f-4def-8e60-9ff6b145eb25"]}],"mendeley":{"formattedCitation":"&lt;sup&gt;1&lt;/sup&gt;","plainTextFormattedCitation":"1","previouslyFormattedCitation":"(&lt;i&gt;1&lt;/i&gt;)"},"properties":{"noteIndex":0},"schema":"https://github.com/citation-style-language/schema/raw/master/csl-citation.json"}</w:instrText>
      </w:r>
      <w:r w:rsidRPr="008E49D3">
        <w:rPr>
          <w:szCs w:val="24"/>
          <w:u w:val="none"/>
        </w:rPr>
        <w:fldChar w:fldCharType="separate"/>
      </w:r>
      <w:r w:rsidR="00902ED9" w:rsidRPr="00902ED9">
        <w:rPr>
          <w:noProof/>
          <w:szCs w:val="24"/>
          <w:u w:val="none"/>
          <w:vertAlign w:val="superscript"/>
        </w:rPr>
        <w:t>1</w:t>
      </w:r>
      <w:r w:rsidRPr="008E49D3">
        <w:rPr>
          <w:szCs w:val="24"/>
          <w:u w:val="none"/>
        </w:rPr>
        <w:fldChar w:fldCharType="end"/>
      </w:r>
      <w:r w:rsidRPr="008E49D3">
        <w:rPr>
          <w:szCs w:val="24"/>
          <w:u w:val="none"/>
        </w:rPr>
        <w:t xml:space="preserve"> predicted the global port area to be 1364 km</w:t>
      </w:r>
      <w:r w:rsidRPr="008E49D3">
        <w:rPr>
          <w:szCs w:val="24"/>
          <w:u w:val="none"/>
          <w:vertAlign w:val="superscript"/>
        </w:rPr>
        <w:t>2</w:t>
      </w:r>
      <w:r w:rsidRPr="008E49D3">
        <w:rPr>
          <w:szCs w:val="24"/>
          <w:u w:val="none"/>
        </w:rPr>
        <w:t xml:space="preserve">. In their comparison of country-level port areas (Table 3 in (1)), they concluded that their estimates were overall lower than other studies. For comparison, we replicate this table and add the results of our mapping exercise to the table (see </w:t>
      </w:r>
      <w:r w:rsidR="00487BF3">
        <w:rPr>
          <w:szCs w:val="24"/>
          <w:u w:val="none"/>
        </w:rPr>
        <w:t xml:space="preserve">Supplementary Table </w:t>
      </w:r>
      <w:r w:rsidRPr="008E49D3">
        <w:rPr>
          <w:szCs w:val="24"/>
          <w:u w:val="none"/>
        </w:rPr>
        <w:t xml:space="preserve">3). We compare the total port areas for 16 countries that includes (1) all land-use types, (2) all land-use types except ‘Industry’, (3) all land-use types except ‘Industry’, ‘Storage’, and ‘Other’ land-use areas . As can be seen from </w:t>
      </w:r>
      <w:r w:rsidR="00487BF3">
        <w:rPr>
          <w:szCs w:val="24"/>
          <w:u w:val="none"/>
        </w:rPr>
        <w:t xml:space="preserve">Supplementary Table </w:t>
      </w:r>
      <w:r w:rsidRPr="008E49D3">
        <w:rPr>
          <w:szCs w:val="24"/>
          <w:u w:val="none"/>
        </w:rPr>
        <w:t xml:space="preserve">3, our estimates are considerably higher than all other studies, although it does depend on what land-use types are considered. Hence, comparison across studies is difficult and depends on the definition of port land-use </w:t>
      </w:r>
      <w:r>
        <w:rPr>
          <w:szCs w:val="24"/>
          <w:u w:val="none"/>
        </w:rPr>
        <w:t>included</w:t>
      </w:r>
      <w:r w:rsidRPr="008E49D3">
        <w:rPr>
          <w:szCs w:val="24"/>
          <w:u w:val="none"/>
        </w:rPr>
        <w:t xml:space="preserve">. Still, for the 16 countries considered, our estimates are 4.8, 2.5 and 2.1 times higher, respectively, compared to (1) for the three groups of land-use types. In particular, the discrepancies are larger for countries like China, the United States and Japan, underlining that simple scaling relationships across countries should be adopted with care. </w:t>
      </w:r>
    </w:p>
    <w:p w14:paraId="42BE0D60" w14:textId="77777777" w:rsidR="003B4349" w:rsidRPr="008E49D3" w:rsidRDefault="003B4349" w:rsidP="00487BF3">
      <w:pPr>
        <w:pStyle w:val="SMText"/>
        <w:ind w:firstLine="0"/>
        <w:jc w:val="both"/>
        <w:rPr>
          <w:szCs w:val="24"/>
        </w:rPr>
      </w:pPr>
    </w:p>
    <w:p w14:paraId="1013EB27" w14:textId="77777777" w:rsidR="003B4349" w:rsidRPr="008E49D3" w:rsidRDefault="003B4349" w:rsidP="00487BF3">
      <w:pPr>
        <w:pStyle w:val="SMText"/>
        <w:ind w:firstLine="0"/>
        <w:jc w:val="both"/>
        <w:rPr>
          <w:szCs w:val="24"/>
        </w:rPr>
      </w:pPr>
    </w:p>
    <w:p w14:paraId="6730F163" w14:textId="77777777" w:rsidR="003B4349" w:rsidRPr="008E49D3" w:rsidRDefault="003B4349" w:rsidP="00487BF3">
      <w:pPr>
        <w:pStyle w:val="SMSubheading"/>
        <w:jc w:val="both"/>
        <w:rPr>
          <w:szCs w:val="24"/>
        </w:rPr>
      </w:pPr>
      <w:r w:rsidRPr="008E49D3">
        <w:rPr>
          <w:szCs w:val="24"/>
        </w:rPr>
        <w:t>Coastal structures database</w:t>
      </w:r>
    </w:p>
    <w:p w14:paraId="5BA941F9" w14:textId="77777777" w:rsidR="003B4349" w:rsidRPr="008E49D3" w:rsidRDefault="003B4349" w:rsidP="00487BF3">
      <w:pPr>
        <w:jc w:val="both"/>
      </w:pPr>
      <w:r w:rsidRPr="008E49D3">
        <w:t xml:space="preserve">We include three different types of coastal structures: (1) coastal breakwaters that function as an inlet (referred to as ‘inlet’), (2) coastal breakwaters that protect against waves (referred to as ‘breakwater’), and (3) coastal seawalls alongside port terminals that protect against waves and overtopping (referred to as ‘seawall’). To construct a geospatial database of coastal structures within port areas, we first extract data from OpenStreetMap under the tag ‘breakwater’. However, a lot of breakwaters are wrongly tagged (e.g. coastal groynes, revetment, etc.). Therefore, we manually checked all tagged breakwaters and remove wrongly tagged ones, while supplementing missing coastal structures (adding ‘inlet’ and ‘seawall’ structures). This new geospatial dataset consists of 1410 coastal structures, represented as either lines or polygons. </w:t>
      </w:r>
    </w:p>
    <w:p w14:paraId="0157F99E" w14:textId="77777777" w:rsidR="003B4349" w:rsidRDefault="003B4349" w:rsidP="00487BF3">
      <w:pPr>
        <w:pStyle w:val="SMSubheading"/>
        <w:jc w:val="both"/>
        <w:rPr>
          <w:szCs w:val="24"/>
        </w:rPr>
      </w:pPr>
    </w:p>
    <w:p w14:paraId="270FE157" w14:textId="77777777" w:rsidR="003B4349" w:rsidRPr="008E49D3" w:rsidRDefault="003B4349" w:rsidP="00487BF3">
      <w:pPr>
        <w:pStyle w:val="SMSubheading"/>
        <w:jc w:val="both"/>
        <w:rPr>
          <w:szCs w:val="24"/>
        </w:rPr>
      </w:pPr>
    </w:p>
    <w:p w14:paraId="27449043" w14:textId="77777777" w:rsidR="003B4349" w:rsidRPr="008E49D3" w:rsidRDefault="003B4349" w:rsidP="00487BF3">
      <w:pPr>
        <w:pStyle w:val="SMSubheading"/>
        <w:jc w:val="both"/>
        <w:rPr>
          <w:szCs w:val="24"/>
        </w:rPr>
      </w:pPr>
      <w:r w:rsidRPr="008E49D3">
        <w:rPr>
          <w:szCs w:val="24"/>
        </w:rPr>
        <w:t>Wave height operational threshold</w:t>
      </w:r>
    </w:p>
    <w:p w14:paraId="0C5F2E86" w14:textId="18F23868" w:rsidR="003B4349" w:rsidRPr="008E49D3" w:rsidRDefault="003B4349" w:rsidP="00487BF3">
      <w:pPr>
        <w:autoSpaceDE w:val="0"/>
        <w:autoSpaceDN w:val="0"/>
        <w:adjustRightInd w:val="0"/>
        <w:jc w:val="both"/>
      </w:pPr>
      <w:r w:rsidRPr="008E49D3">
        <w:t xml:space="preserve">We derive wave parameters (significant wave height, wave period and wave direction) from ERA5 global reanalysis wave data at 6h interval from 1979-2018 </w:t>
      </w:r>
      <w:r w:rsidRPr="008E49D3">
        <w:fldChar w:fldCharType="begin" w:fldLock="1"/>
      </w:r>
      <w:r w:rsidR="00902ED9">
        <w:instrText>ADDIN CSL_CITATION {"citationItems":[{"id":"ITEM-1","itemData":{"DOI":"10.1002/qj.3803","ISSN":"0035-9009","abstract":"Within the Copernicus Climate Change Service (C3S), ECMWF is producing the ERA5 reanalysis, which embodies a detailed record of the global atmosphere, land surface and ocean waves from 1950 onwards once completed. This new reanalysis replaces the ERA-Interim reanalysis that was started in 2006 (spanning 1979 onwards). ERA5 is based on the Integrated Forecasting System (IFS) Cy41r2 which was operational in 2016. ERA5 thus benefits from a decade of developments in model physics, core dynamics and data assimilation. In addition to a significantly enhanced horizontal resolution of 31 km, compared to 80 km for ERA-Interim, ERA5 has hourly output throughout, and an uncertainty estimate from an ensemble (3-hourly at half the horizontal resolution). This paper describes the general setup of ERA5, as well as a basic evaluation of characteristics and performance. Focus is on the dataset from 1979 onwards that is currently publicly available. Re-forecasts from ERA5 analyses show a gain of up to one day in skill with respect to ERA-Interim. Comparison with radiosonde and PILOT data prior to assimilation shows an improved fit for temperature, wind and humidity in the troposphere, but not the stratosphere. A comparison with independent buoy data shows a much improved fit for ocean wave height. The uncertainty estimate reflects the evolution of the observing systems used in ERA5. The enhanced temporal and spatial resolution allows for a detailed evolution of weather systems. For precipitation, global-mean correlation with monthly-mean GPCP data is increased from 67% to 77%. In general low-frequency variability is found to be well-represented and from 10 hPa downwards general patterns of anomalies in temperature match those from the ERA-Interim, MERRA-2 and JRA-55 reanalyses. This article is protected by copyright. All rights reserved.","author":[{"dropping-particle":"","family":"Hersbach","given":"Hans","non-dropping-particle":"","parse-names":false,"suffix":""},{"dropping-particle":"","family":"Bell","given":"Bill","non-dropping-particle":"","parse-names":false,"suffix":""},{"dropping-particle":"","family":"Berrisford","given":"Paul","non-dropping-particle":"","parse-names":false,"suffix":""},{"dropping-particle":"","family":"Hirahara","given":"Shoji","non-dropping-particle":"","parse-names":false,"suffix":""},{"dropping-particle":"","family":"Horányi","given":"András","non-dropping-particle":"","parse-names":false,"suffix":""},{"dropping-particle":"","family":"Muñoz‐Sabater","given":"Joaquín","non-dropping-particle":"","parse-names":false,"suffix":""},{"dropping-particle":"","family":"Nicolas","given":"Julien","non-dropping-particle":"","parse-names":false,"suffix":""},{"dropping-particle":"","family":"Peubey","given":"Carole","non-dropping-particle":"","parse-names":false,"suffix":""},{"dropping-particle":"","family":"Radu","given":"Raluca","non-dropping-particle":"","parse-names":false,"suffix":""},{"dropping-particle":"","family":"Schepers","given":"Dinand","non-dropping-particle":"","parse-names":false,"suffix":""},{"dropping-particle":"","family":"Simmons","given":"Adrian","non-dropping-particle":"","parse-names":false,"suffix":""},{"dropping-particle":"","family":"Soci","given":"Cornel","non-dropping-particle":"","parse-names":false,"suffix":""},{"dropping-particle":"","family":"Abdalla","given":"Saleh","non-dropping-particle":"","parse-names":false,"suffix":""},{"dropping-particle":"","family":"Abellan","given":"Xavier","non-dropping-particle":"","parse-names":false,"suffix":""},{"dropping-particle":"","family":"Balsamo","given":"Gianpaolo","non-dropping-particle":"","parse-names":false,"suffix":""},{"dropping-particle":"","family":"Bechtold","given":"Peter","non-dropping-particle":"","parse-names":false,"suffix":""},{"dropping-particle":"","family":"Biavati","given":"Gionata","non-dropping-particle":"","parse-names":false,"suffix":""},{"dropping-particle":"","family":"Bidlot","given":"Jean","non-dropping-particle":"","parse-names":false,"suffix":""},{"dropping-particle":"","family":"Bonavita","given":"Massimo","non-dropping-particle":"","parse-names":false,"suffix":""},{"dropping-particle":"","family":"Chiara","given":"Giovanna","non-dropping-particle":"","parse-names":false,"suffix":""},{"dropping-particle":"","family":"Dahlgren","given":"Per","non-dropping-particle":"","parse-names":false,"suffix":""},{"dropping-particle":"","family":"Dee","given":"Dick","non-dropping-particle":"","parse-names":false,"suffix":""},{"dropping-particle":"","family":"Diamantakis","given":"Michail","non-dropping-particle":"","parse-names":false,"suffix":""},{"dropping-particle":"","family":"Dragani","given":"Rossana","non-dropping-particle":"","parse-names":false,"suffix":""},{"dropping-particle":"","family":"Flemming","given":"Johannes","non-dropping-particle":"","parse-names":false,"suffix":""},{"dropping-particle":"","family":"Forbes","given":"Richard","non-dropping-particle":"","parse-names":false,"suffix":""},{"dropping-particle":"","family":"Fuentes","given":"Manuel","non-dropping-particle":"","parse-names":false,"suffix":""},{"dropping-particle":"","family":"Geer","given":"Alan","non-dropping-particle":"","parse-names":false,"suffix":""},{"dropping-particle":"","family":"Haimberger","given":"Leo","non-dropping-particle":"","parse-names":false,"suffix":""},{"dropping-particle":"","family":"Healy","given":"Sean","non-dropping-particle":"","parse-names":false,"suffix":""},{"dropping-particle":"","family":"Hogan","given":"Robin J","non-dropping-particle":"","parse-names":false,"suffix":""},{"dropping-particle":"","family":"Hólm","given":"Elías","non-dropping-particle":"","parse-names":false,"suffix":""},{"dropping-particle":"","family":"Janisková","given":"Marta","non-dropping-particle":"","parse-names":false,"suffix":""},{"dropping-particle":"","family":"Keeley","given":"Sarah","non-dropping-particle":"","parse-names":false,"suffix":""},{"dropping-particle":"","family":"Laloyaux","given":"Patrick","non-dropping-particle":"","parse-names":false,"suffix":""},{"dropping-particle":"","family":"Lopez","given":"Philippe","non-dropping-particle":"","parse-names":false,"suffix":""},{"dropping-particle":"","family":"Lupu","given":"Cristina","non-dropping-particle":"","parse-names":false,"suffix":""},{"dropping-particle":"","family":"Radnoti","given":"Gabor","non-dropping-particle":"","parse-names":false,"suffix":""},{"dropping-particle":"","family":"Rosnay","given":"Patricia","non-dropping-particle":"","parse-names":false,"suffix":""},{"dropping-particle":"","family":"Rozum","given":"Iryna","non-dropping-particle":"","parse-names":false,"suffix":""},{"dropping-particle":"","family":"Vamborg","given":"Freja","non-dropping-particle":"","parse-names":false,"suffix":""},{"dropping-particle":"","family":"Villaume","given":"Sebastien","non-dropping-particle":"","parse-names":false,"suffix":""},{"dropping-particle":"","family":"Thépaut","given":"Jean-Noël","non-dropping-particle":"","parse-names":false,"suffix":""}],"container-title":"Quarterly Journal of the Royal Meteorological Society","id":"ITEM-1","issue":"n/a","issued":{"date-parts":[["2020","5","17"]]},"page":"qj.3803","title":"The ERA5 Global Reanalysis","type":"article-journal","volume":"n/a"},"uris":["http://www.mendeley.com/documents/?uuid=0a370abc-224d-4401-a4a0-255670ebd8b5"]}],"mendeley":{"formattedCitation":"&lt;sup&gt;2&lt;/sup&gt;","plainTextFormattedCitation":"2","previouslyFormattedCitation":"(&lt;i&gt;2&lt;/i&gt;)"},"properties":{"noteIndex":0},"schema":"https://github.com/citation-style-language/schema/raw/master/csl-citation.json"}</w:instrText>
      </w:r>
      <w:r w:rsidRPr="008E49D3">
        <w:fldChar w:fldCharType="separate"/>
      </w:r>
      <w:r w:rsidR="00902ED9" w:rsidRPr="00902ED9">
        <w:rPr>
          <w:noProof/>
          <w:vertAlign w:val="superscript"/>
        </w:rPr>
        <w:t>2</w:t>
      </w:r>
      <w:r w:rsidRPr="008E49D3">
        <w:fldChar w:fldCharType="end"/>
      </w:r>
      <w:r w:rsidRPr="008E49D3">
        <w:t xml:space="preserve">. For every port, </w:t>
      </w:r>
      <w:r w:rsidRPr="008E49D3">
        <w:lastRenderedPageBreak/>
        <w:t xml:space="preserve">we extract data at the closest grid cell and create a daily time series by selecting the wave parameters concurrent with the daily maximum wave height. </w:t>
      </w:r>
    </w:p>
    <w:p w14:paraId="3A889426" w14:textId="77777777" w:rsidR="003B4349" w:rsidRPr="008E49D3" w:rsidRDefault="003B4349" w:rsidP="00487BF3">
      <w:pPr>
        <w:autoSpaceDE w:val="0"/>
        <w:autoSpaceDN w:val="0"/>
        <w:adjustRightInd w:val="0"/>
        <w:jc w:val="both"/>
      </w:pPr>
    </w:p>
    <w:p w14:paraId="24A8403F" w14:textId="6665753E" w:rsidR="003B4349" w:rsidRDefault="003B4349" w:rsidP="00487BF3">
      <w:pPr>
        <w:autoSpaceDE w:val="0"/>
        <w:autoSpaceDN w:val="0"/>
        <w:adjustRightInd w:val="0"/>
        <w:jc w:val="both"/>
      </w:pPr>
      <w:r w:rsidRPr="008E49D3">
        <w:t xml:space="preserve">To estimate the wave height at the entrance channel and in front of the coastal protection works, we propagate the wave parameters at the grid cell to the entrance of the channel and the coastal protection works. The wave height and direction change as they propagate from the deep sea towards the coast (wave period is assumed to be constant) owing to the influence of shoaling and refraction </w:t>
      </w:r>
      <w:r w:rsidRPr="008E49D3">
        <w:fldChar w:fldCharType="begin" w:fldLock="1"/>
      </w:r>
      <w:r w:rsidR="00902ED9">
        <w:instrText>ADDIN CSL_CITATION {"citationItems":[{"id":"ITEM-1","itemData":{"DOI":"10.1017/CBO9780511754500","ISBN":"9780521495356","author":[{"dropping-particle":"","family":"Dean","given":"Robert G.","non-dropping-particle":"","parse-names":false,"suffix":""},{"dropping-particle":"","family":"Dalrymple","given":"Robert A.","non-dropping-particle":"","parse-names":false,"suffix":""}],"id":"ITEM-1","issued":{"date-parts":[["2001","11","1"]]},"number-of-pages":"475","publisher":"Cambridge University Press","title":"Coastal Processes with Engineering Applications","type":"book"},"uris":["http://www.mendeley.com/documents/?uuid=0150378d-8e7d-408b-8a3e-da62e5f15169"]}],"mendeley":{"formattedCitation":"&lt;sup&gt;3&lt;/sup&gt;","plainTextFormattedCitation":"3","previouslyFormattedCitation":"(&lt;i&gt;3&lt;/i&gt;)"},"properties":{"noteIndex":0},"schema":"https://github.com/citation-style-language/schema/raw/master/csl-citation.json"}</w:instrText>
      </w:r>
      <w:r w:rsidRPr="008E49D3">
        <w:fldChar w:fldCharType="separate"/>
      </w:r>
      <w:r w:rsidR="00902ED9" w:rsidRPr="00902ED9">
        <w:rPr>
          <w:noProof/>
          <w:vertAlign w:val="superscript"/>
        </w:rPr>
        <w:t>3</w:t>
      </w:r>
      <w:r w:rsidRPr="008E49D3">
        <w:fldChar w:fldCharType="end"/>
      </w:r>
      <w:r w:rsidRPr="008E49D3">
        <w:t xml:space="preserve">. Under the assumption of a straight and parallel offshore bathymetry, we can use the Snell’s law to propagate wave height and wave direction from the deep sea depth towards any other depth and orientation </w:t>
      </w:r>
      <w:r w:rsidRPr="008E49D3">
        <w:fldChar w:fldCharType="begin" w:fldLock="1"/>
      </w:r>
      <w:r w:rsidR="00902ED9">
        <w:instrText>ADDIN CSL_CITATION {"citationItems":[{"id":"ITEM-1","itemData":{"DOI":"10.1017/CBO9780511754500","ISBN":"9780521495356","author":[{"dropping-particle":"","family":"Dean","given":"Robert G.","non-dropping-particle":"","parse-names":false,"suffix":""},{"dropping-particle":"","family":"Dalrymple","given":"Robert A.","non-dropping-particle":"","parse-names":false,"suffix":""}],"id":"ITEM-1","issued":{"date-parts":[["2001","11","1"]]},"number-of-pages":"475","publisher":"Cambridge University Press","title":"Coastal Processes with Engineering Applications","type":"book"},"uris":["http://www.mendeley.com/documents/?uuid=0150378d-8e7d-408b-8a3e-da62e5f15169"]}],"mendeley":{"formattedCitation":"&lt;sup&gt;3&lt;/sup&gt;","plainTextFormattedCitation":"3","previouslyFormattedCitation":"(&lt;i&gt;3&lt;/i&gt;)"},"properties":{"noteIndex":0},"schema":"https://github.com/citation-style-language/schema/raw/master/csl-citation.json"}</w:instrText>
      </w:r>
      <w:r w:rsidRPr="008E49D3">
        <w:fldChar w:fldCharType="separate"/>
      </w:r>
      <w:r w:rsidR="00902ED9" w:rsidRPr="00902ED9">
        <w:rPr>
          <w:noProof/>
          <w:vertAlign w:val="superscript"/>
        </w:rPr>
        <w:t>3</w:t>
      </w:r>
      <w:r w:rsidRPr="008E49D3">
        <w:fldChar w:fldCharType="end"/>
      </w:r>
      <w:r w:rsidRPr="008E49D3">
        <w:t>.</w:t>
      </w:r>
      <w:r>
        <w:t xml:space="preserve"> A similar assumption was adopted in previous work </w:t>
      </w:r>
      <w:r>
        <w:fldChar w:fldCharType="begin" w:fldLock="1"/>
      </w:r>
      <w:r w:rsidR="00902ED9">
        <w:instrText>ADDIN CSL_CITATION {"citationItems":[{"id":"ITEM-1","itemData":{"DOI":"10.1038/s41558-020-00937-z","ISSN":"1758-678X","abstract":"The ports sector is critical to global transport and trade. Climate change may compromise port operations, resulting in an increase in operational shutdowns and subsequent economic losses. Here, we present an analysis of historical global risk across the operations of 2,013 ports worldwide and the impacts under a high-end warming scenario, considering atmospheric and marine hazards, industry established operational thresholds, exposure and vulnerability. Increased coastal flooding and overtopping due to sea level rise, as well as the heat stress impacts of higher temperatures, are the main contributors to amplified risk. Ports located in the Pacific Islands, Caribbean Sea and Indian Ocean appear to be at extremely high risk by 2100, whereas those in the African Mediterranean and the Arabian Peninsula (Persian Gulf and Red Sea) are expected to experience very high risk. Estimating risks at the global scale cannot capture site-level details, but these results provide a benchmark for further research and decision-making.","author":[{"dropping-particle":"","family":"Izaguirre","given":"C.","non-dropping-particle":"","parse-names":false,"suffix":""},{"dropping-particle":"","family":"Losada","given":"I. J.","non-dropping-particle":"","parse-names":false,"suffix":""},{"dropping-particle":"","family":"Camus","given":"P.","non-dropping-particle":"","parse-names":false,"suffix":""},{"dropping-particle":"","family":"Vigh","given":"J. L.","non-dropping-particle":"","parse-names":false,"suffix":""},{"dropping-particle":"","family":"Stenek","given":"V.","non-dropping-particle":"","parse-names":false,"suffix":""}],"container-title":"Nature Climate Change","id":"ITEM-1","issue":"1","issued":{"date-parts":[["2021","1","9"]]},"page":"14-20","publisher":"Springer US","title":"Climate change risk to global port operations","type":"article-journal","volume":"11"},"uris":["http://www.mendeley.com/documents/?uuid=89225555-4124-4c51-b36d-fba868438aa0"]}],"mendeley":{"formattedCitation":"&lt;sup&gt;4&lt;/sup&gt;","plainTextFormattedCitation":"4","previouslyFormattedCitation":"(&lt;i&gt;4&lt;/i&gt;)"},"properties":{"noteIndex":0},"schema":"https://github.com/citation-style-language/schema/raw/master/csl-citation.json"}</w:instrText>
      </w:r>
      <w:r>
        <w:fldChar w:fldCharType="separate"/>
      </w:r>
      <w:r w:rsidR="00902ED9" w:rsidRPr="00902ED9">
        <w:rPr>
          <w:noProof/>
          <w:vertAlign w:val="superscript"/>
        </w:rPr>
        <w:t>4</w:t>
      </w:r>
      <w:r>
        <w:fldChar w:fldCharType="end"/>
      </w:r>
      <w:r>
        <w:t xml:space="preserve">, as it was recognized that it is the only approach feasible given available global input. </w:t>
      </w:r>
    </w:p>
    <w:p w14:paraId="65B58926" w14:textId="77777777" w:rsidR="003B4349" w:rsidRDefault="003B4349" w:rsidP="00487BF3">
      <w:pPr>
        <w:autoSpaceDE w:val="0"/>
        <w:autoSpaceDN w:val="0"/>
        <w:adjustRightInd w:val="0"/>
        <w:jc w:val="both"/>
      </w:pPr>
    </w:p>
    <w:p w14:paraId="005B75F6" w14:textId="2BFA3A5F" w:rsidR="003B4349" w:rsidRDefault="003B4349" w:rsidP="00487BF3">
      <w:pPr>
        <w:autoSpaceDE w:val="0"/>
        <w:autoSpaceDN w:val="0"/>
        <w:adjustRightInd w:val="0"/>
        <w:jc w:val="both"/>
      </w:pPr>
      <w:r w:rsidRPr="008E49D3">
        <w:t xml:space="preserve">The depth at the grid cell and at the coastal protection works are taken from the GEBCO 2020 global bathymetry data </w:t>
      </w:r>
      <w:r w:rsidRPr="008E49D3">
        <w:fldChar w:fldCharType="begin" w:fldLock="1"/>
      </w:r>
      <w:r w:rsidR="00902ED9">
        <w:instrText>ADDIN CSL_CITATION {"citationItems":[{"id":"ITEM-1","itemData":{"DOI":"10.1002/2015EA000107","ISSN":"2333-5084","author":[{"dropping-particle":"","family":"Weatherall","given":"Pauline","non-dropping-particle":"","parse-names":false,"suffix":""},{"dropping-particle":"","family":"Marks","given":"K. M.","non-dropping-particle":"","parse-names":false,"suffix":""},{"dropping-particle":"","family":"Jakobsson","given":"Martin","non-dropping-particle":"","parse-names":false,"suffix":""},{"dropping-particle":"","family":"Schmitt","given":"Thierry","non-dropping-particle":"","parse-names":false,"suffix":""},{"dropping-particle":"","family":"Tani","given":"Shin","non-dropping-particle":"","parse-names":false,"suffix":""},{"dropping-particle":"","family":"Arndt","given":"Jan Erik","non-dropping-particle":"","parse-names":false,"suffix":""},{"dropping-particle":"","family":"Rovere","given":"Marzia","non-dropping-particle":"","parse-names":false,"suffix":""},{"dropping-particle":"","family":"Chayes","given":"Dale","non-dropping-particle":"","parse-names":false,"suffix":""},{"dropping-particle":"","family":"Ferrini","given":"Vicki","non-dropping-particle":"","parse-names":false,"suffix":""},{"dropping-particle":"","family":"Wigley","given":"Rochelle","non-dropping-particle":"","parse-names":false,"suffix":""}],"container-title":"Earth and Space Science","id":"ITEM-1","issue":"8","issued":{"date-parts":[["2015","8","4"]]},"page":"331-345","title":"A new digital bathymetric model of the world's oceans","type":"article-journal","volume":"2"},"uris":["http://www.mendeley.com/documents/?uuid=a2733c39-3bd4-4592-bb67-d4bef769bd82"]}],"mendeley":{"formattedCitation":"&lt;sup&gt;5&lt;/sup&gt;","plainTextFormattedCitation":"5","previouslyFormattedCitation":"(&lt;i&gt;5&lt;/i&gt;)"},"properties":{"noteIndex":0},"schema":"https://github.com/citation-style-language/schema/raw/master/csl-citation.json"}</w:instrText>
      </w:r>
      <w:r w:rsidRPr="008E49D3">
        <w:fldChar w:fldCharType="separate"/>
      </w:r>
      <w:r w:rsidR="00902ED9" w:rsidRPr="00902ED9">
        <w:rPr>
          <w:noProof/>
          <w:vertAlign w:val="superscript"/>
        </w:rPr>
        <w:t>5</w:t>
      </w:r>
      <w:r w:rsidRPr="008E49D3">
        <w:fldChar w:fldCharType="end"/>
      </w:r>
      <w:r w:rsidRPr="008E49D3">
        <w:t xml:space="preserve">. For the coastal protection works, we assume the design depth to be the deepest point along a 15m buffer around the coastal structure. To check whether the estimated design depths approximate the design depths of existing breakwaters, we match our breakwater database with breakwaters included in the ‘International Breakwater Directory’ </w:t>
      </w:r>
      <w:r w:rsidRPr="008E49D3">
        <w:fldChar w:fldCharType="begin" w:fldLock="1"/>
      </w:r>
      <w:r w:rsidR="00902ED9">
        <w:instrText>ADDIN CSL_CITATION {"citationItems":[{"id":"ITEM-1","itemData":{"DOI":"10.1680/cmsb.41318.0064","ISBN":"9780727741318","abstract":"This paper introduces a co-operative project between HR Wallingford UK (HRW) and Delft University of Technology, Netherlands, (TUD) to develop, populate, and then to apply a database on all major breakwaters around the world. It builds on, and revives, similar initiatives that originate in the late 1970s. The paper describes the objectives in developing the database, the structure and content fields of the initial data-base and presents key examples from the work to date. The paper then discusses a number of potential uses of the database and plans for its future development.","author":[{"dropping-particle":"","family":"Allsop","given":"N.W.H.","non-dropping-particle":"","parse-names":false,"suffix":""},{"dropping-particle":"","family":"Cork","given":"R.S.","non-dropping-particle":"","parse-names":false,"suffix":""},{"dropping-particle":"","family":"Verhagen","given":"ir. Henk-Jan","non-dropping-particle":"","parse-names":false,"suffix":""}],"container-title":"Coasts, marine structures and breakwaters: Adapting to change","id":"ITEM-1","issue":"September","issued":{"date-parts":[["2010","1"]]},"page":"2: 676-679","publisher":"Thomas Telford Ltd","publisher-place":"London","title":"A Database of Major Breakwaters Around the World","type":"chapter","volume":"2"},"uris":["http://www.mendeley.com/documents/?uuid=b8c0f09e-f776-4185-9ffe-f8d651b60e14"]}],"mendeley":{"formattedCitation":"&lt;sup&gt;6&lt;/sup&gt;","plainTextFormattedCitation":"6","previouslyFormattedCitation":"(&lt;i&gt;6&lt;/i&gt;)"},"properties":{"noteIndex":0},"schema":"https://github.com/citation-style-language/schema/raw/master/csl-citation.json"}</w:instrText>
      </w:r>
      <w:r w:rsidRPr="008E49D3">
        <w:fldChar w:fldCharType="separate"/>
      </w:r>
      <w:r w:rsidR="00902ED9" w:rsidRPr="00902ED9">
        <w:rPr>
          <w:noProof/>
          <w:vertAlign w:val="superscript"/>
        </w:rPr>
        <w:t>6</w:t>
      </w:r>
      <w:r w:rsidRPr="008E49D3">
        <w:fldChar w:fldCharType="end"/>
      </w:r>
      <w:r w:rsidRPr="008E49D3">
        <w:t xml:space="preserve">. We find 42 overlapping breakwaters with a design depth input in the database. We find that the estimated and observed design depths correspond well (Pearson correlation coefficient of 0.54), keeping in mind that the GEBCO dataset has a 450m resolution. For the navigation channel we assume the depth to be equal to 1.2 times the draft of the largest vessel entering the port (dredged channel), except if the natural bathymetry is deeper than the design depth of the navigation channel. In that case we adopt the natural bathymetry depth. To obtain the orientation of the coastal protection work/navigation channel, we find the orthogonal angle of the orientation of the coastline, which is taken from the global, self-consistent, hierarchical, high-resolution shoreline database (GSHHG) </w:t>
      </w:r>
      <w:r w:rsidRPr="008E49D3">
        <w:fldChar w:fldCharType="begin" w:fldLock="1"/>
      </w:r>
      <w:r w:rsidR="00902ED9">
        <w:instrText>ADDIN CSL_CITATION {"citationItems":[{"id":"ITEM-1","itemData":{"DOI":"10.1029/96JB00104","ISSN":"01480227","abstract":"We present a high-resolution shoreline data set amalgamated from two databases in the public domain. The data have undergone extensive processing and are free of internal inconsistencies such as erratic points and crossing segments. The shorelines are constructed entirely from hierarchically arranged closed polygons. The data can be used to simplify data searches and data selections or to study the statistical characteristics of shorelines and landmasse. The data set can be accessed both electronically over Internet and from the National Geophysical Data Center, Boulder, Colorado; it comes with access software and routines to facilitate decimation based on a standard line-reduction algorithm.","author":[{"dropping-particle":"","family":"Wessel","given":"Pål","non-dropping-particle":"","parse-names":false,"suffix":""},{"dropping-particle":"","family":"Smith","given":"Walter H. F.","non-dropping-particle":"","parse-names":false,"suffix":""}],"container-title":"Journal of Geophysical Research: Solid Earth","id":"ITEM-1","issue":"B4","issued":{"date-parts":[["1996","4","10"]]},"page":"8741-8743","title":"A global, self-consistent, hierarchical, high-resolution shoreline database","type":"article-journal","volume":"101"},"uris":["http://www.mendeley.com/documents/?uuid=bcefc0ac-6063-4eb8-88a3-ac69bd965cfd"]}],"mendeley":{"formattedCitation":"&lt;sup&gt;7&lt;/sup&gt;","plainTextFormattedCitation":"7","previouslyFormattedCitation":"(&lt;i&gt;7&lt;/i&gt;)"},"properties":{"noteIndex":0},"schema":"https://github.com/citation-style-language/schema/raw/master/csl-citation.json"}</w:instrText>
      </w:r>
      <w:r w:rsidRPr="008E49D3">
        <w:fldChar w:fldCharType="separate"/>
      </w:r>
      <w:r w:rsidR="00902ED9" w:rsidRPr="00902ED9">
        <w:rPr>
          <w:noProof/>
          <w:vertAlign w:val="superscript"/>
        </w:rPr>
        <w:t>7</w:t>
      </w:r>
      <w:r w:rsidRPr="008E49D3">
        <w:fldChar w:fldCharType="end"/>
      </w:r>
      <w:r w:rsidRPr="008E49D3">
        <w:t xml:space="preserve"> (which in some cases includes the breakwaters as part of the coastline). We use this data in combination with Snell’s law (see </w:t>
      </w:r>
      <w:r w:rsidRPr="008E49D3">
        <w:fldChar w:fldCharType="begin" w:fldLock="1"/>
      </w:r>
      <w:r w:rsidR="00902ED9">
        <w:instrText>ADDIN CSL_CITATION {"citationItems":[{"id":"ITEM-1","itemData":{"DOI":"10.1017/CBO9780511754500","ISBN":"9780521495356","author":[{"dropping-particle":"","family":"Dean","given":"Robert G.","non-dropping-particle":"","parse-names":false,"suffix":""},{"dropping-particle":"","family":"Dalrymple","given":"Robert A.","non-dropping-particle":"","parse-names":false,"suffix":""}],"id":"ITEM-1","issued":{"date-parts":[["2001","11","1"]]},"number-of-pages":"475","publisher":"Cambridge University Press","title":"Coastal Processes with Engineering Applications","type":"book"},"uris":["http://www.mendeley.com/documents/?uuid=0150378d-8e7d-408b-8a3e-da62e5f15169"]}],"mendeley":{"formattedCitation":"&lt;sup&gt;3&lt;/sup&gt;","plainTextFormattedCitation":"3","previouslyFormattedCitation":"(&lt;i&gt;3&lt;/i&gt;)"},"properties":{"noteIndex":0},"schema":"https://github.com/citation-style-language/schema/raw/master/csl-citation.json"}</w:instrText>
      </w:r>
      <w:r w:rsidRPr="008E49D3">
        <w:fldChar w:fldCharType="separate"/>
      </w:r>
      <w:r w:rsidR="00902ED9" w:rsidRPr="00902ED9">
        <w:rPr>
          <w:noProof/>
          <w:vertAlign w:val="superscript"/>
        </w:rPr>
        <w:t>3</w:t>
      </w:r>
      <w:r w:rsidRPr="008E49D3">
        <w:fldChar w:fldCharType="end"/>
      </w:r>
      <w:r w:rsidRPr="008E49D3">
        <w:t xml:space="preserve"> for formulation) to find the wave height and wave angle in the navigation channel and at the toe of the coastal protection works. Wave propagation is constrained by wave breaking (when waves reach shallow water) using a wave breaking criteria (H</w:t>
      </w:r>
      <w:r w:rsidRPr="008E49D3">
        <w:rPr>
          <w:vertAlign w:val="subscript"/>
        </w:rPr>
        <w:t xml:space="preserve">b </w:t>
      </w:r>
      <w:r w:rsidRPr="008E49D3">
        <w:t xml:space="preserve"> = </w:t>
      </w:r>
      <w:proofErr w:type="spellStart"/>
      <w:r w:rsidRPr="008E49D3">
        <w:t>d</w:t>
      </w:r>
      <w:r w:rsidRPr="008E49D3">
        <w:rPr>
          <w:vertAlign w:val="subscript"/>
        </w:rPr>
        <w:t>b</w:t>
      </w:r>
      <w:proofErr w:type="spellEnd"/>
      <w:r w:rsidRPr="008E49D3">
        <w:t>/1.28) with H</w:t>
      </w:r>
      <w:r w:rsidRPr="008E49D3">
        <w:rPr>
          <w:vertAlign w:val="subscript"/>
        </w:rPr>
        <w:t>b</w:t>
      </w:r>
      <w:r w:rsidRPr="008E49D3">
        <w:t xml:space="preserve"> the wave breaking height and </w:t>
      </w:r>
      <w:proofErr w:type="spellStart"/>
      <w:r w:rsidRPr="008E49D3">
        <w:t>d</w:t>
      </w:r>
      <w:r w:rsidRPr="008E49D3">
        <w:rPr>
          <w:vertAlign w:val="subscript"/>
        </w:rPr>
        <w:t>b</w:t>
      </w:r>
      <w:proofErr w:type="spellEnd"/>
      <w:r w:rsidRPr="008E49D3">
        <w:t xml:space="preserve"> the depth at breaking. </w:t>
      </w:r>
    </w:p>
    <w:p w14:paraId="4FC91B35" w14:textId="77777777" w:rsidR="003B4349" w:rsidRPr="008E49D3" w:rsidRDefault="003B4349" w:rsidP="00487BF3">
      <w:pPr>
        <w:autoSpaceDE w:val="0"/>
        <w:autoSpaceDN w:val="0"/>
        <w:adjustRightInd w:val="0"/>
        <w:jc w:val="both"/>
      </w:pPr>
    </w:p>
    <w:p w14:paraId="7125ACF9" w14:textId="77777777" w:rsidR="003B4349" w:rsidRPr="008E49D3" w:rsidRDefault="003B4349" w:rsidP="00487BF3">
      <w:pPr>
        <w:autoSpaceDE w:val="0"/>
        <w:autoSpaceDN w:val="0"/>
        <w:adjustRightInd w:val="0"/>
        <w:jc w:val="both"/>
      </w:pPr>
      <w:r w:rsidRPr="008E49D3">
        <w:t xml:space="preserve">Based on the critical wave threshold adopted per port, we find the number of days the wave height exceeds this threshold over the historical time period. We use this to estimate the annual frequency of exceedance per port. </w:t>
      </w:r>
    </w:p>
    <w:p w14:paraId="4D69CA30" w14:textId="77777777" w:rsidR="003B4349" w:rsidRPr="008E49D3" w:rsidRDefault="003B4349" w:rsidP="00487BF3">
      <w:pPr>
        <w:pStyle w:val="SMSubheading"/>
        <w:jc w:val="both"/>
        <w:rPr>
          <w:szCs w:val="24"/>
        </w:rPr>
      </w:pPr>
    </w:p>
    <w:p w14:paraId="6E7E657B" w14:textId="77777777" w:rsidR="003B4349" w:rsidRPr="008E49D3" w:rsidRDefault="003B4349" w:rsidP="00487BF3">
      <w:pPr>
        <w:pStyle w:val="SMSubheading"/>
        <w:jc w:val="both"/>
        <w:rPr>
          <w:szCs w:val="24"/>
        </w:rPr>
      </w:pPr>
      <w:r w:rsidRPr="008E49D3">
        <w:rPr>
          <w:szCs w:val="24"/>
        </w:rPr>
        <w:t>Overtopping operational threshold</w:t>
      </w:r>
    </w:p>
    <w:p w14:paraId="02081BEB" w14:textId="64955792" w:rsidR="003B4349" w:rsidRPr="008E49D3" w:rsidRDefault="003B4349" w:rsidP="00487BF3">
      <w:pPr>
        <w:autoSpaceDE w:val="0"/>
        <w:autoSpaceDN w:val="0"/>
        <w:adjustRightInd w:val="0"/>
        <w:jc w:val="both"/>
      </w:pPr>
      <w:r w:rsidRPr="008E49D3">
        <w:t xml:space="preserve">Overtopping is a complex phenomenon driven by the interaction of waves and surges on a coastal structure </w:t>
      </w:r>
      <w:r w:rsidRPr="008E49D3">
        <w:fldChar w:fldCharType="begin" w:fldLock="1"/>
      </w:r>
      <w:r w:rsidR="00902ED9">
        <w:instrText>ADDIN CSL_CITATION {"citationItems":[{"id":"ITEM-1","itemData":{"abstract":"As a keynote lecture this paper does not focus on one subject, but treats four main aspects to some depth, including new not yet published items. The first item is on definition of design wave climate and parameters. The design method for rock slopes, the Van der Meer formulae, have been related to the version in the new Rock Manual. A method has been given to calculate cumulative damage in an easy way. A new proposed classification of berm breakwaters has been given with new design information on berm breakwaters. Berm breakwaters can be divided in hardly, partly and fully reshaping berm breakwater. Finally, the Wave Overtopping Simulator has been described with its main results and conclusions on strength of grass covered landward slopes of dikes. Moreover, the Simulator has also been used to test vertical storm walls. The most recent innovation is the wave run-up simulation.","author":[{"dropping-particle":"","family":"Meer","given":"J.","non-dropping-particle":"van der","parse-names":false,"suffix":""}],"container-title":"5th International Short Conference on Applied Coastal Research","id":"ITEM-1","issued":{"date-parts":[["2011"]]},"page":"1-32","title":"Design aspects of breakwaters and sea defences","type":"article-journal"},"uris":["http://www.mendeley.com/documents/?uuid=840e4dc2-89e7-4d55-882d-e16f76f27149"]},{"id":"ITEM-2","itemData":{"DOI":"10.1016/0378-3839(92)90037-U","ISSN":"03783839","abstract":"An extensive research on stability of statically and dynamically stable rock slopes and gravel beaches was reanalysed and focussed on berm breakwaters. Berm breakwaters are initially dynamically stable under severe wave attack, but become more or less statically stable after reshaping. The effects on the seaward profile of wave height, period, storm duration, spectral shape, initial slope, rock size, rock shape and grading, water depth and angle of wave attack, are described in a qualitative way. Relationships between these variables and the profile parameters are described, leading to a computer program. This program was verified with independent data of berm breakwaters from various international institutes. The program showed to give a good prediction of the behaviour of the seaward slope of berm breakwaters and can, therefore, be used as a conceptual design tool. © 1992.","author":[{"dropping-particle":"","family":"Meer","given":"Jentsje W.","non-dropping-particle":"van der","parse-names":false,"suffix":""}],"container-title":"Coastal Engineering","id":"ITEM-2","issue":"2","issued":{"date-parts":[["1992"]]},"page":"205-234","title":"Stability of the seaward slope of berm breakwaters","type":"article-journal","volume":"16"},"uris":["http://www.mendeley.com/documents/?uuid=4aaf3da2-a2c2-4af9-b5e5-b976cd0bb620"]}],"mendeley":{"formattedCitation":"&lt;sup&gt;8,9&lt;/sup&gt;","plainTextFormattedCitation":"8,9","previouslyFormattedCitation":"(&lt;i&gt;8&lt;/i&gt;, &lt;i&gt;9&lt;/i&gt;)"},"properties":{"noteIndex":0},"schema":"https://github.com/citation-style-language/schema/raw/master/csl-citation.json"}</w:instrText>
      </w:r>
      <w:r w:rsidRPr="008E49D3">
        <w:fldChar w:fldCharType="separate"/>
      </w:r>
      <w:r w:rsidR="00902ED9" w:rsidRPr="00902ED9">
        <w:rPr>
          <w:noProof/>
          <w:vertAlign w:val="superscript"/>
        </w:rPr>
        <w:t>8,9</w:t>
      </w:r>
      <w:r w:rsidRPr="008E49D3">
        <w:fldChar w:fldCharType="end"/>
      </w:r>
      <w:r w:rsidRPr="008E49D3">
        <w:t xml:space="preserve">. Most ports have breakwaters that protect the port basin from unwanted wave transmission into the </w:t>
      </w:r>
      <w:proofErr w:type="spellStart"/>
      <w:r w:rsidRPr="008E49D3">
        <w:t>harbor</w:t>
      </w:r>
      <w:proofErr w:type="spellEnd"/>
      <w:r w:rsidRPr="008E49D3">
        <w:t xml:space="preserve">. Ports without a breakwater often have seawalls alongside the port terminals to minimize the probability of wave overtopping and resulting impacts on goods and operations. The design of breakwaters and other coastal protection works vary considerably globally and are dependent, among others, on the local hydrodynamic conditions, the type of structure (e.g. caisson, rubble mound), type of </w:t>
      </w:r>
      <w:proofErr w:type="spellStart"/>
      <w:r w:rsidRPr="008E49D3">
        <w:t>armor</w:t>
      </w:r>
      <w:proofErr w:type="spellEnd"/>
      <w:r w:rsidRPr="008E49D3">
        <w:t xml:space="preserve"> </w:t>
      </w:r>
      <w:r w:rsidRPr="008E49D3">
        <w:lastRenderedPageBreak/>
        <w:t xml:space="preserve">layer (e.g. rock, </w:t>
      </w:r>
      <w:proofErr w:type="spellStart"/>
      <w:r w:rsidRPr="008E49D3">
        <w:t>Tetrapods</w:t>
      </w:r>
      <w:proofErr w:type="spellEnd"/>
      <w:r w:rsidRPr="008E49D3">
        <w:t xml:space="preserve">, </w:t>
      </w:r>
      <w:proofErr w:type="spellStart"/>
      <w:r w:rsidRPr="008E49D3">
        <w:t>Xbloc</w:t>
      </w:r>
      <w:proofErr w:type="spellEnd"/>
      <w:r w:rsidRPr="008E49D3">
        <w:t xml:space="preserve">), inclusion of a berm, and the lifetime and importance of the coastal protection work </w:t>
      </w:r>
      <w:r w:rsidRPr="008E49D3">
        <w:fldChar w:fldCharType="begin" w:fldLock="1"/>
      </w:r>
      <w:r w:rsidR="00902ED9">
        <w:instrText>ADDIN CSL_CITATION {"citationItems":[{"id":"ITEM-1","itemData":{"abstract":"As a keynote lecture this paper does not focus on one subject, but treats four main aspects to some depth, including new not yet published items. The first item is on definition of design wave climate and parameters. The design method for rock slopes, the Van der Meer formulae, have been related to the version in the new Rock Manual. A method has been given to calculate cumulative damage in an easy way. A new proposed classification of berm breakwaters has been given with new design information on berm breakwaters. Berm breakwaters can be divided in hardly, partly and fully reshaping berm breakwater. Finally, the Wave Overtopping Simulator has been described with its main results and conclusions on strength of grass covered landward slopes of dikes. Moreover, the Simulator has also been used to test vertical storm walls. The most recent innovation is the wave run-up simulation.","author":[{"dropping-particle":"","family":"Meer","given":"J.","non-dropping-particle":"van der","parse-names":false,"suffix":""}],"container-title":"5th International Short Conference on Applied Coastal Research","id":"ITEM-1","issued":{"date-parts":[["2011"]]},"page":"1-32","title":"Design aspects of breakwaters and sea defences","type":"article-journal"},"uris":["http://www.mendeley.com/documents/?uuid=840e4dc2-89e7-4d55-882d-e16f76f27149"]}],"mendeley":{"formattedCitation":"&lt;sup&gt;8&lt;/sup&gt;","plainTextFormattedCitation":"8","previouslyFormattedCitation":"(&lt;i&gt;8&lt;/i&gt;)"},"properties":{"noteIndex":0},"schema":"https://github.com/citation-style-language/schema/raw/master/csl-citation.json"}</w:instrText>
      </w:r>
      <w:r w:rsidRPr="008E49D3">
        <w:fldChar w:fldCharType="separate"/>
      </w:r>
      <w:r w:rsidR="00902ED9" w:rsidRPr="00902ED9">
        <w:rPr>
          <w:noProof/>
          <w:vertAlign w:val="superscript"/>
        </w:rPr>
        <w:t>8</w:t>
      </w:r>
      <w:r w:rsidRPr="008E49D3">
        <w:fldChar w:fldCharType="end"/>
      </w:r>
      <w:r w:rsidRPr="008E49D3">
        <w:t xml:space="preserve">. Given that this type of data is not readily available globally, we propose an alternative way to evaluate the risk of overtopping for coastal protection works. For every coastal structure exposed to overtopping in our database, we first create a standard design (in particular the design freeboard) based on engineering design principles given the wave and surge inputs. We then re-evaluate the risk of overtopping to the design structure for the combined wave and surge time series. </w:t>
      </w:r>
    </w:p>
    <w:p w14:paraId="0C23C025" w14:textId="77777777" w:rsidR="003B4349" w:rsidRPr="008E49D3" w:rsidRDefault="003B4349" w:rsidP="00487BF3">
      <w:pPr>
        <w:autoSpaceDE w:val="0"/>
        <w:autoSpaceDN w:val="0"/>
        <w:adjustRightInd w:val="0"/>
        <w:jc w:val="both"/>
      </w:pPr>
    </w:p>
    <w:p w14:paraId="528F00A4" w14:textId="5CB6C23A" w:rsidR="003B4349" w:rsidRPr="008E49D3" w:rsidRDefault="003B4349" w:rsidP="00487BF3">
      <w:pPr>
        <w:autoSpaceDE w:val="0"/>
        <w:autoSpaceDN w:val="0"/>
        <w:adjustRightInd w:val="0"/>
        <w:jc w:val="both"/>
      </w:pPr>
      <w:r w:rsidRPr="008E49D3">
        <w:t xml:space="preserve">The wave data, propagated to the coastal structures, are taken similar as described in the derivation of the wave height operational thresholds. We add surge and tide data to the wave time series, obtained from latest Global Tide and Surge Reanalysis (GTSR) model data </w:t>
      </w:r>
      <w:r w:rsidRPr="008E49D3">
        <w:fldChar w:fldCharType="begin" w:fldLock="1"/>
      </w:r>
      <w:r w:rsidR="00902ED9">
        <w:instrText>ADDIN CSL_CITATION {"citationItems":[{"id":"ITEM-1","itemData":{"DOI":"10.3389/fmars.2020.00263","ISSN":"22967745","abstract":"The world’s coastal areas are increasingly at risk of coastal flooding due to sea-level rise (SLR). We present a novel global dataset of extreme sea levels, the Coastal Dataset for the Evaluation of Climate Impact (CoDEC), which can be used to accurately map the impact of climate change on coastal regions around the world. The third generation Global Tide and Surge Model (GTSM), with a coastal resolution of 2.5 km (1.25 km in Europe), was used to simulate extreme sea levels for the ERA5 climate reanalysis from 1979 to 2017, as well as for future climate scenarios from 2040 to 2100. The validation against observed sea levels demonstrated a good performance, and the annual maxima had a mean bias (MB) of -0.04 m, which is 50% lower than the MB of the previous GTSR dataset. By the end of the century (2071–2100), it is projected that the 1 in 10-year water levels will have increased 0.34 m on average for RCP4.5, while some locations may experience increases of up to 0.5 m. The change in return levels is largely driven by SLR, although at some locations changes in storms surges and interaction with tides amplify the impact of SLR with changes up to 0.2 m. By presenting an application of the CoDEC dataset to the city of Copenhagen, we demonstrate how climate impact indicators derived from simulation can contribute to an understanding of climate impact on a local scale. Moreover, the CoDEC output locations are designed to be used as boundary conditions for regional models, and we envisage that they will be used for dynamic downscaling.","author":[{"dropping-particle":"","family":"Muis","given":"Sanne","non-dropping-particle":"","parse-names":false,"suffix":""},{"dropping-particle":"","family":"Apecechea","given":"Maialen Irazoqui","non-dropping-particle":"","parse-names":false,"suffix":""},{"dropping-particle":"","family":"Dullaart","given":"Job","non-dropping-particle":"","parse-names":false,"suffix":""},{"dropping-particle":"","family":"Lima Rego","given":"Joao","non-dropping-particle":"de","parse-names":false,"suffix":""},{"dropping-particle":"","family":"Madsen","given":"Kristine Skovgaard","non-dropping-particle":"","parse-names":false,"suffix":""},{"dropping-particle":"","family":"Su","given":"Jian","non-dropping-particle":"","parse-names":false,"suffix":""},{"dropping-particle":"","family":"Yan","given":"Kun","non-dropping-particle":"","parse-names":false,"suffix":""},{"dropping-particle":"","family":"Verlaan","given":"Martin","non-dropping-particle":"","parse-names":false,"suffix":""}],"container-title":"Frontiers in Marine Science","id":"ITEM-1","issue":"April","issued":{"date-parts":[["2020"]]},"page":"1-15","title":"A High-Resolution Global Dataset of Extreme Sea Levels, Tides, and Storm Surges, Including Future Projections","type":"article-journal","volume":"7"},"uris":["http://www.mendeley.com/documents/?uuid=c895fb74-0b80-475b-88f0-cf7741f045e3"]}],"mendeley":{"formattedCitation":"&lt;sup&gt;10&lt;/sup&gt;","plainTextFormattedCitation":"10","previouslyFormattedCitation":"(&lt;i&gt;10&lt;/i&gt;)"},"properties":{"noteIndex":0},"schema":"https://github.com/citation-style-language/schema/raw/master/csl-citation.json"}</w:instrText>
      </w:r>
      <w:r w:rsidRPr="008E49D3">
        <w:fldChar w:fldCharType="separate"/>
      </w:r>
      <w:r w:rsidR="00902ED9" w:rsidRPr="00902ED9">
        <w:rPr>
          <w:noProof/>
          <w:vertAlign w:val="superscript"/>
        </w:rPr>
        <w:t>10</w:t>
      </w:r>
      <w:r w:rsidRPr="008E49D3">
        <w:fldChar w:fldCharType="end"/>
      </w:r>
      <w:r w:rsidRPr="008E49D3">
        <w:t xml:space="preserve">, which is a global reanalysis product of extreme water levels (EWL, </w:t>
      </w:r>
      <w:proofErr w:type="spellStart"/>
      <w:r w:rsidRPr="008E49D3">
        <w:t>tide+surge</w:t>
      </w:r>
      <w:proofErr w:type="spellEnd"/>
      <w:r w:rsidRPr="008E49D3">
        <w:t xml:space="preserve">) for 1979-2018. Wave set-up/run-up is not added to the EWL data, as this is implicitly included in wave overtopping formulas </w:t>
      </w:r>
      <w:r w:rsidRPr="008E49D3">
        <w:fldChar w:fldCharType="begin" w:fldLock="1"/>
      </w:r>
      <w:r w:rsidR="00902ED9">
        <w:instrText>ADDIN CSL_CITATION {"citationItems":[{"id":"ITEM-1","itemData":{"abstract":"This Overtopping Manual gives guidance on analysis and/or prediction of wave overtopping for flood defences attacked by wave action. It is primarily, but not exclusively, intended to assist government, agencies, businesses and specialist advisors &amp; consultants concerned with reducing flood risk. Methods and guidance described in the manual may also be helpful to designers or operators of breakwaters, reclamations, or inland lakes or reservoirs.","author":[{"dropping-particle":"","family":"EurOtop","given":"","non-dropping-particle":"","parse-names":false,"suffix":""}],"id":"ITEM-1","issued":{"date-parts":[["2018"]]},"number-of-pages":"320","title":"Manual on wave overtopping of sea defences and related structures. An overtopping manual largely based on European research, but for worldwide application.","type":"report"},"uris":["http://www.mendeley.com/documents/?uuid=9b7284bf-078f-472b-83aa-55ec246f27bf"]}],"mendeley":{"formattedCitation":"&lt;sup&gt;11&lt;/sup&gt;","plainTextFormattedCitation":"11","previouslyFormattedCitation":"(&lt;i&gt;11&lt;/i&gt;)"},"properties":{"noteIndex":0},"schema":"https://github.com/citation-style-language/schema/raw/master/csl-citation.json"}</w:instrText>
      </w:r>
      <w:r w:rsidRPr="008E49D3">
        <w:fldChar w:fldCharType="separate"/>
      </w:r>
      <w:r w:rsidR="00902ED9" w:rsidRPr="00902ED9">
        <w:rPr>
          <w:noProof/>
          <w:vertAlign w:val="superscript"/>
        </w:rPr>
        <w:t>11</w:t>
      </w:r>
      <w:r w:rsidRPr="008E49D3">
        <w:fldChar w:fldCharType="end"/>
      </w:r>
      <w:r w:rsidRPr="008E49D3">
        <w:t xml:space="preserve">. </w:t>
      </w:r>
    </w:p>
    <w:p w14:paraId="53188310" w14:textId="77777777" w:rsidR="003B4349" w:rsidRPr="008E49D3" w:rsidRDefault="003B4349" w:rsidP="00487BF3">
      <w:pPr>
        <w:autoSpaceDE w:val="0"/>
        <w:autoSpaceDN w:val="0"/>
        <w:adjustRightInd w:val="0"/>
        <w:jc w:val="both"/>
      </w:pPr>
    </w:p>
    <w:p w14:paraId="6E68D227" w14:textId="77777777" w:rsidR="003B4349" w:rsidRPr="008E49D3" w:rsidRDefault="003B4349" w:rsidP="00487BF3">
      <w:pPr>
        <w:autoSpaceDE w:val="0"/>
        <w:autoSpaceDN w:val="0"/>
        <w:adjustRightInd w:val="0"/>
        <w:jc w:val="both"/>
      </w:pPr>
      <w:r w:rsidRPr="008E49D3">
        <w:t xml:space="preserve">As described above, instead of obtaining information on the dimensions of all coastal protection works, we construct a hypothetical design based on engineering principles and the local hydrodynamic input. This also prevents introducing errors due to bias in the input parameters (wave and surge data). We distinguish between two types of structures: an </w:t>
      </w:r>
      <w:proofErr w:type="spellStart"/>
      <w:r w:rsidRPr="008E49D3">
        <w:t>armored</w:t>
      </w:r>
      <w:proofErr w:type="spellEnd"/>
      <w:r w:rsidRPr="008E49D3">
        <w:t xml:space="preserve"> breakwater (‘breakwater’ type) and an </w:t>
      </w:r>
      <w:proofErr w:type="spellStart"/>
      <w:r w:rsidRPr="008E49D3">
        <w:t>armored</w:t>
      </w:r>
      <w:proofErr w:type="spellEnd"/>
      <w:r w:rsidRPr="008E49D3">
        <w:t xml:space="preserve"> seawall (‘seawall’ type), which have similar design principles except that in the case of a breakwater an additional correction factor is added for the presence of a permeable crest berm. </w:t>
      </w:r>
    </w:p>
    <w:p w14:paraId="46531E19" w14:textId="77777777" w:rsidR="003B4349" w:rsidRPr="008E49D3" w:rsidRDefault="003B4349" w:rsidP="00487BF3">
      <w:pPr>
        <w:autoSpaceDE w:val="0"/>
        <w:autoSpaceDN w:val="0"/>
        <w:adjustRightInd w:val="0"/>
        <w:jc w:val="both"/>
      </w:pPr>
    </w:p>
    <w:p w14:paraId="7DB68FB4" w14:textId="5754212A" w:rsidR="003B4349" w:rsidRPr="008E49D3" w:rsidRDefault="003B4349" w:rsidP="00487BF3">
      <w:pPr>
        <w:autoSpaceDE w:val="0"/>
        <w:autoSpaceDN w:val="0"/>
        <w:adjustRightInd w:val="0"/>
        <w:jc w:val="both"/>
      </w:pPr>
      <w:r w:rsidRPr="008E49D3">
        <w:t xml:space="preserve">Wave height is the major design parameter for overtopping of coastal structures. A number of assumptions are made. First, all coastal structures are assumed to have a 50 year lifetime with a 10% probability of failure over this lifetime, which is a common value for breakwaters protecting commercial ports </w:t>
      </w:r>
      <w:r w:rsidRPr="008E49D3">
        <w:fldChar w:fldCharType="begin" w:fldLock="1"/>
      </w:r>
      <w:r w:rsidR="00902ED9">
        <w:instrText>ADDIN CSL_CITATION {"citationItems":[{"id":"ITEM-1","itemData":{"author":[{"dropping-particle":"","family":"Falk","given":"Hans","non-dropping-particle":"","parse-names":false,"suffix":""},{"dropping-particle":"","family":"Dalsgaard","given":"John","non-dropping-particle":"","parse-names":false,"suffix":""}],"id":"ITEM-1","issued":{"date-parts":[["2005"]]},"title":"Aalborg Universitet Choice of Safety Levels for Conventional Breakwaters","type":"article-journal"},"uris":["http://www.mendeley.com/documents/?uuid=55693275-0ab7-4445-9c11-fbc302e9811b"]}],"mendeley":{"formattedCitation":"&lt;sup&gt;12&lt;/sup&gt;","plainTextFormattedCitation":"12","previouslyFormattedCitation":"(&lt;i&gt;12&lt;/i&gt;)"},"properties":{"noteIndex":0},"schema":"https://github.com/citation-style-language/schema/raw/master/csl-citation.json"}</w:instrText>
      </w:r>
      <w:r w:rsidRPr="008E49D3">
        <w:fldChar w:fldCharType="separate"/>
      </w:r>
      <w:r w:rsidR="00902ED9" w:rsidRPr="00902ED9">
        <w:rPr>
          <w:noProof/>
          <w:vertAlign w:val="superscript"/>
        </w:rPr>
        <w:t>12</w:t>
      </w:r>
      <w:r w:rsidRPr="008E49D3">
        <w:fldChar w:fldCharType="end"/>
      </w:r>
      <w:r w:rsidRPr="008E49D3">
        <w:t>. This implies a design wave height with a 475 year return period (following a standard Poisson distribution). To find the design wave height, we fit an extreme value distribution to the annual maxima of wave height at the toe of the coastal structure. We decided to use a Gumbel distribution, after also testing a Weibull distribution</w:t>
      </w:r>
      <w:r>
        <w:t>,</w:t>
      </w:r>
      <w:r w:rsidRPr="008E49D3">
        <w:t xml:space="preserve"> and both distributions with a Peak over Threshold (</w:t>
      </w:r>
      <w:proofErr w:type="spellStart"/>
      <w:r w:rsidRPr="008E49D3">
        <w:t>PoT</w:t>
      </w:r>
      <w:proofErr w:type="spellEnd"/>
      <w:r w:rsidRPr="008E49D3">
        <w:t>) method (with the threshold at the 99</w:t>
      </w:r>
      <w:r w:rsidRPr="008E49D3">
        <w:rPr>
          <w:vertAlign w:val="superscript"/>
        </w:rPr>
        <w:t>th</w:t>
      </w:r>
      <w:r w:rsidRPr="008E49D3">
        <w:t xml:space="preserve"> percentile). The annual maxima method in combination with the Gumbel distribution results in design wave heights that are closest to design wave height of 37 georeferenced breakwaters included in the  ‘International Breakwater Directory’ </w:t>
      </w:r>
      <w:r w:rsidRPr="008E49D3">
        <w:fldChar w:fldCharType="begin" w:fldLock="1"/>
      </w:r>
      <w:r w:rsidR="00902ED9">
        <w:instrText>ADDIN CSL_CITATION {"citationItems":[{"id":"ITEM-1","itemData":{"DOI":"10.1680/cmsb.41318.0064","ISBN":"9780727741318","abstract":"This paper introduces a co-operative project between HR Wallingford UK (HRW) and Delft University of Technology, Netherlands, (TUD) to develop, populate, and then to apply a database on all major breakwaters around the world. It builds on, and revives, similar initiatives that originate in the late 1970s. The paper describes the objectives in developing the database, the structure and content fields of the initial data-base and presents key examples from the work to date. The paper then discusses a number of potential uses of the database and plans for its future development.","author":[{"dropping-particle":"","family":"Allsop","given":"N.W.H.","non-dropping-particle":"","parse-names":false,"suffix":""},{"dropping-particle":"","family":"Cork","given":"R.S.","non-dropping-particle":"","parse-names":false,"suffix":""},{"dropping-particle":"","family":"Verhagen","given":"ir. Henk-Jan","non-dropping-particle":"","parse-names":false,"suffix":""}],"container-title":"Coasts, marine structures and breakwaters: Adapting to change","id":"ITEM-1","issue":"September","issued":{"date-parts":[["2010","1"]]},"page":"2: 676-679","publisher":"Thomas Telford Ltd","publisher-place":"London","title":"A Database of Major Breakwaters Around the World","type":"chapter","volume":"2"},"uris":["http://www.mendeley.com/documents/?uuid=b8c0f09e-f776-4185-9ffe-f8d651b60e14"]}],"mendeley":{"formattedCitation":"&lt;sup&gt;6&lt;/sup&gt;","plainTextFormattedCitation":"6","previouslyFormattedCitation":"(&lt;i&gt;6&lt;/i&gt;)"},"properties":{"noteIndex":0},"schema":"https://github.com/citation-style-language/schema/raw/master/csl-citation.json"}</w:instrText>
      </w:r>
      <w:r w:rsidRPr="008E49D3">
        <w:fldChar w:fldCharType="separate"/>
      </w:r>
      <w:r w:rsidR="00902ED9" w:rsidRPr="00902ED9">
        <w:rPr>
          <w:noProof/>
          <w:vertAlign w:val="superscript"/>
        </w:rPr>
        <w:t>6</w:t>
      </w:r>
      <w:r w:rsidRPr="008E49D3">
        <w:fldChar w:fldCharType="end"/>
      </w:r>
      <w:r w:rsidRPr="008E49D3">
        <w:t>. To find the corresponding wave period, we fit a regression model between wave period and the square root of the wave height (Tm ~ H</w:t>
      </w:r>
      <w:r w:rsidRPr="008E49D3">
        <w:rPr>
          <w:vertAlign w:val="superscript"/>
        </w:rPr>
        <w:t>0.5</w:t>
      </w:r>
      <w:r w:rsidRPr="008E49D3">
        <w:t xml:space="preserve">) and use this to extrapolate the wave period. The design wave direction is set to the median wave direction associated with the annual maximum wave events. The design storm surge is set to be the maximum storm surge observed during any of the annual maximum wave events. </w:t>
      </w:r>
    </w:p>
    <w:p w14:paraId="5FB3D870" w14:textId="77777777" w:rsidR="003B4349" w:rsidRPr="008E49D3" w:rsidRDefault="003B4349" w:rsidP="00487BF3">
      <w:pPr>
        <w:autoSpaceDE w:val="0"/>
        <w:autoSpaceDN w:val="0"/>
        <w:adjustRightInd w:val="0"/>
        <w:jc w:val="both"/>
      </w:pPr>
    </w:p>
    <w:p w14:paraId="118317D5" w14:textId="19E1F8C5" w:rsidR="003B4349" w:rsidRDefault="003B4349" w:rsidP="00487BF3">
      <w:pPr>
        <w:autoSpaceDE w:val="0"/>
        <w:autoSpaceDN w:val="0"/>
        <w:adjustRightInd w:val="0"/>
        <w:jc w:val="both"/>
      </w:pPr>
      <w:r w:rsidRPr="008E49D3">
        <w:t xml:space="preserve">To estimate the freeboard height of the structure (main design parameter), we use the overtopping formulas used in the HR Wallingford design manual of wave overtopping </w:t>
      </w:r>
      <w:r w:rsidRPr="008E49D3">
        <w:fldChar w:fldCharType="begin" w:fldLock="1"/>
      </w:r>
      <w:r w:rsidR="00902ED9">
        <w:instrText>ADDIN CSL_CITATION {"citationItems":[{"id":"ITEM-1","itemData":{"abstract":"This manual draws together and summarises previous research into the overtopping performance of seawalls. Data is re-analysed to provide a set of consistent design techniques, representing the most reliable approach to the assessment of seawall overtopping by wave action. The manual consists of five principal sections. Following introductory sections 1 and 2, the third deals with the estimation of mean overtopping discharges. The fourth deals with the estimation of the number of overtopping waves and the peak individual overtopping discharges. The fifth section then examines the concept of a tolerable overtopping discharge and its potential application in design practice. The manual is intended to be used by flood and coastal defence engineers responsible for the design of new seawalls or the assessment and possible remediation of existing structures.","author":[{"dropping-particle":"","family":"Wallingford","given":"HR","non-dropping-particle":"","parse-names":false,"suffix":""}],"container-title":"R&amp;D technical report W178","id":"ITEM-1","issued":{"date-parts":[["1999"]]},"title":"Wave Overtopping of Seawalls: Design and Assessment Manual","type":"report"},"uris":["http://www.mendeley.com/documents/?uuid=a8f96e8b-b623-45c0-b732-98a2c90639e0"]}],"mendeley":{"formattedCitation":"&lt;sup&gt;13&lt;/sup&gt;","plainTextFormattedCitation":"13","previouslyFormattedCitation":"(&lt;i&gt;13&lt;/i&gt;)"},"properties":{"noteIndex":0},"schema":"https://github.com/citation-style-language/schema/raw/master/csl-citation.json"}</w:instrText>
      </w:r>
      <w:r w:rsidRPr="008E49D3">
        <w:fldChar w:fldCharType="separate"/>
      </w:r>
      <w:r w:rsidR="00902ED9" w:rsidRPr="00902ED9">
        <w:rPr>
          <w:noProof/>
          <w:vertAlign w:val="superscript"/>
        </w:rPr>
        <w:t>13</w:t>
      </w:r>
      <w:r w:rsidRPr="008E49D3">
        <w:fldChar w:fldCharType="end"/>
      </w:r>
      <w:r w:rsidRPr="008E49D3">
        <w:t xml:space="preserve">. These formulas are similar as the more recent formulas adopted in the </w:t>
      </w:r>
      <w:proofErr w:type="spellStart"/>
      <w:r w:rsidRPr="008E49D3">
        <w:t>Eurotop</w:t>
      </w:r>
      <w:proofErr w:type="spellEnd"/>
      <w:r w:rsidRPr="008E49D3">
        <w:t xml:space="preserve"> manual </w:t>
      </w:r>
      <w:r w:rsidRPr="008E49D3">
        <w:fldChar w:fldCharType="begin" w:fldLock="1"/>
      </w:r>
      <w:r w:rsidR="00902ED9">
        <w:instrText>ADDIN CSL_CITATION {"citationItems":[{"id":"ITEM-1","itemData":{"abstract":"This Overtopping Manual gives guidance on analysis and/or prediction of wave overtopping for flood defences attacked by wave action. It is primarily, but not exclusively, intended to assist government, agencies, businesses and specialist advisors &amp; consultants concerned with reducing flood risk. Methods and guidance described in the manual may also be helpful to designers or operators of breakwaters, reclamations, or inland lakes or reservoirs.","author":[{"dropping-particle":"","family":"EurOtop","given":"","non-dropping-particle":"","parse-names":false,"suffix":""}],"id":"ITEM-1","issued":{"date-parts":[["2018"]]},"number-of-pages":"320","title":"Manual on wave overtopping of sea defences and related structures. An overtopping manual largely based on European research, but for worldwide application.","type":"report"},"uris":["http://www.mendeley.com/documents/?uuid=9b7284bf-078f-472b-83aa-55ec246f27bf"]}],"mendeley":{"formattedCitation":"&lt;sup&gt;11&lt;/sup&gt;","plainTextFormattedCitation":"11","previouslyFormattedCitation":"(&lt;i&gt;11&lt;/i&gt;)"},"properties":{"noteIndex":0},"schema":"https://github.com/citation-style-language/schema/raw/master/csl-citation.json"}</w:instrText>
      </w:r>
      <w:r w:rsidRPr="008E49D3">
        <w:fldChar w:fldCharType="separate"/>
      </w:r>
      <w:r w:rsidR="00902ED9" w:rsidRPr="00902ED9">
        <w:rPr>
          <w:noProof/>
          <w:vertAlign w:val="superscript"/>
        </w:rPr>
        <w:t>11</w:t>
      </w:r>
      <w:r w:rsidRPr="008E49D3">
        <w:fldChar w:fldCharType="end"/>
      </w:r>
      <w:r w:rsidRPr="008E49D3">
        <w:t xml:space="preserve">, except that the </w:t>
      </w:r>
      <w:proofErr w:type="spellStart"/>
      <w:r w:rsidRPr="008E49D3">
        <w:t>Eurotop</w:t>
      </w:r>
      <w:proofErr w:type="spellEnd"/>
      <w:r w:rsidRPr="008E49D3">
        <w:t xml:space="preserve"> formulas use spectral wave height as design parameter (instead of significant wave height), which is not available in the wave model output.  All structures are assumed to have a 1:2 slope and breakwater have a crest width/design wave height ratio </w:t>
      </w:r>
      <w:r w:rsidRPr="008E49D3">
        <w:lastRenderedPageBreak/>
        <w:t xml:space="preserve">of 1.7. These design criteria are obtained after inspecting known breakwater designs that are included in the ‘International Breakwater Directory’ </w:t>
      </w:r>
      <w:r w:rsidRPr="008E49D3">
        <w:fldChar w:fldCharType="begin" w:fldLock="1"/>
      </w:r>
      <w:r w:rsidR="00902ED9">
        <w:instrText>ADDIN CSL_CITATION {"citationItems":[{"id":"ITEM-1","itemData":{"DOI":"10.1680/cmsb.41318.0064","ISBN":"9780727741318","abstract":"This paper introduces a co-operative project between HR Wallingford UK (HRW) and Delft University of Technology, Netherlands, (TUD) to develop, populate, and then to apply a database on all major breakwaters around the world. It builds on, and revives, similar initiatives that originate in the late 1970s. The paper describes the objectives in developing the database, the structure and content fields of the initial data-base and presents key examples from the work to date. The paper then discusses a number of potential uses of the database and plans for its future development.","author":[{"dropping-particle":"","family":"Allsop","given":"N.W.H.","non-dropping-particle":"","parse-names":false,"suffix":""},{"dropping-particle":"","family":"Cork","given":"R.S.","non-dropping-particle":"","parse-names":false,"suffix":""},{"dropping-particle":"","family":"Verhagen","given":"ir. Henk-Jan","non-dropping-particle":"","parse-names":false,"suffix":""}],"container-title":"Coasts, marine structures and breakwaters: Adapting to change","id":"ITEM-1","issue":"September","issued":{"date-parts":[["2010","1"]]},"page":"2: 676-679","publisher":"Thomas Telford Ltd","publisher-place":"London","title":"A Database of Major Breakwaters Around the World","type":"chapter","volume":"2"},"uris":["http://www.mendeley.com/documents/?uuid=b8c0f09e-f776-4185-9ffe-f8d651b60e14"]}],"mendeley":{"formattedCitation":"&lt;sup&gt;6&lt;/sup&gt;","plainTextFormattedCitation":"6","previouslyFormattedCitation":"(&lt;i&gt;6&lt;/i&gt;)"},"properties":{"noteIndex":0},"schema":"https://github.com/citation-style-language/schema/raw/master/csl-citation.json"}</w:instrText>
      </w:r>
      <w:r w:rsidRPr="008E49D3">
        <w:fldChar w:fldCharType="separate"/>
      </w:r>
      <w:r w:rsidR="00902ED9" w:rsidRPr="00902ED9">
        <w:rPr>
          <w:noProof/>
          <w:vertAlign w:val="superscript"/>
        </w:rPr>
        <w:t>6</w:t>
      </w:r>
      <w:r w:rsidRPr="008E49D3">
        <w:fldChar w:fldCharType="end"/>
      </w:r>
      <w:r w:rsidRPr="008E49D3">
        <w:t xml:space="preserve">. We include a surface roughness of 0.5 to the design, which corresponds to having an </w:t>
      </w:r>
      <w:proofErr w:type="spellStart"/>
      <w:r w:rsidRPr="008E49D3">
        <w:t>armor</w:t>
      </w:r>
      <w:proofErr w:type="spellEnd"/>
      <w:r w:rsidRPr="008E49D3">
        <w:t xml:space="preserve"> layer composed of rock (with permeable core), cubes, </w:t>
      </w:r>
      <w:proofErr w:type="spellStart"/>
      <w:r w:rsidRPr="008E49D3">
        <w:t>Cubipods</w:t>
      </w:r>
      <w:proofErr w:type="spellEnd"/>
      <w:r w:rsidRPr="008E49D3">
        <w:t xml:space="preserve"> or HARO’s </w:t>
      </w:r>
      <w:r w:rsidRPr="008E49D3">
        <w:fldChar w:fldCharType="begin" w:fldLock="1"/>
      </w:r>
      <w:r w:rsidR="00902ED9">
        <w:instrText>ADDIN CSL_CITATION {"citationItems":[{"id":"ITEM-1","itemData":{"abstract":"This Overtopping Manual gives guidance on analysis and/or prediction of wave overtopping for flood defences attacked by wave action. It is primarily, but not exclusively, intended to assist government, agencies, businesses and specialist advisors &amp; consultants concerned with reducing flood risk. Methods and guidance described in the manual may also be helpful to designers or operators of breakwaters, reclamations, or inland lakes or reservoirs.","author":[{"dropping-particle":"","family":"EurOtop","given":"","non-dropping-particle":"","parse-names":false,"suffix":""}],"id":"ITEM-1","issued":{"date-parts":[["2018"]]},"number-of-pages":"320","title":"Manual on wave overtopping of sea defences and related structures. An overtopping manual largely based on European research, but for worldwide application.","type":"report"},"uris":["http://www.mendeley.com/documents/?uuid=9b7284bf-078f-472b-83aa-55ec246f27bf"]}],"mendeley":{"formattedCitation":"&lt;sup&gt;11&lt;/sup&gt;","plainTextFormattedCitation":"11","previouslyFormattedCitation":"(&lt;i&gt;11&lt;/i&gt;)"},"properties":{"noteIndex":0},"schema":"https://github.com/citation-style-language/schema/raw/master/csl-citation.json"}</w:instrText>
      </w:r>
      <w:r w:rsidRPr="008E49D3">
        <w:fldChar w:fldCharType="separate"/>
      </w:r>
      <w:r w:rsidR="00902ED9" w:rsidRPr="00902ED9">
        <w:rPr>
          <w:noProof/>
          <w:vertAlign w:val="superscript"/>
        </w:rPr>
        <w:t>11</w:t>
      </w:r>
      <w:r w:rsidRPr="008E49D3">
        <w:fldChar w:fldCharType="end"/>
      </w:r>
      <w:r w:rsidRPr="008E49D3">
        <w:t xml:space="preserve">. Moreover, the correction factor due to oblique waves is based on the </w:t>
      </w:r>
      <w:proofErr w:type="spellStart"/>
      <w:r w:rsidRPr="008E49D3">
        <w:t>EurOtop</w:t>
      </w:r>
      <w:proofErr w:type="spellEnd"/>
      <w:r w:rsidRPr="008E49D3">
        <w:t xml:space="preserve"> manual, given that this formula is considered to be superior (the formula in Wallingford 1999 was based on limited research). </w:t>
      </w:r>
    </w:p>
    <w:p w14:paraId="6D36035E" w14:textId="77777777" w:rsidR="003B4349" w:rsidRPr="008E49D3" w:rsidRDefault="003B4349" w:rsidP="00487BF3">
      <w:pPr>
        <w:autoSpaceDE w:val="0"/>
        <w:autoSpaceDN w:val="0"/>
        <w:adjustRightInd w:val="0"/>
        <w:jc w:val="both"/>
      </w:pPr>
    </w:p>
    <w:p w14:paraId="4C2C27CE" w14:textId="77777777" w:rsidR="003B4349" w:rsidRPr="008E49D3" w:rsidRDefault="003B4349" w:rsidP="00487BF3">
      <w:pPr>
        <w:autoSpaceDE w:val="0"/>
        <w:autoSpaceDN w:val="0"/>
        <w:adjustRightInd w:val="0"/>
        <w:jc w:val="both"/>
      </w:pPr>
      <w:r w:rsidRPr="008E49D3">
        <w:t xml:space="preserve">Based on the design wave conditions and design parameters, we find the design freeboard for wave overtopping, after which we add the design surge to this freeboard. We use this design freeboard to estimate daily overtopping volumes using the combined wave and surge time series and estimate the exceedance of the tolerable overtopping threshold. The frequency of yearly exceedance is adopted to assess the number of downtime days. </w:t>
      </w:r>
    </w:p>
    <w:p w14:paraId="54FFF103" w14:textId="77777777" w:rsidR="003B4349" w:rsidRPr="008E49D3" w:rsidRDefault="003B4349" w:rsidP="00487BF3">
      <w:pPr>
        <w:pStyle w:val="SMSubheading"/>
        <w:jc w:val="both"/>
        <w:rPr>
          <w:szCs w:val="24"/>
        </w:rPr>
      </w:pPr>
    </w:p>
    <w:p w14:paraId="79CDDE7F" w14:textId="77777777" w:rsidR="003B4349" w:rsidRPr="008E49D3" w:rsidRDefault="003B4349" w:rsidP="00487BF3">
      <w:pPr>
        <w:pStyle w:val="SMSubheading"/>
        <w:jc w:val="both"/>
        <w:rPr>
          <w:szCs w:val="24"/>
        </w:rPr>
      </w:pPr>
      <w:r w:rsidRPr="008E49D3">
        <w:rPr>
          <w:szCs w:val="24"/>
        </w:rPr>
        <w:t>Sensitivity analysis global estimates</w:t>
      </w:r>
    </w:p>
    <w:p w14:paraId="69DDA93E" w14:textId="128703C7" w:rsidR="003B4349" w:rsidRPr="008E49D3" w:rsidRDefault="00487BF3" w:rsidP="00487BF3">
      <w:pPr>
        <w:pStyle w:val="SMText"/>
        <w:ind w:firstLine="0"/>
        <w:jc w:val="both"/>
        <w:rPr>
          <w:szCs w:val="24"/>
        </w:rPr>
      </w:pPr>
      <w:r>
        <w:rPr>
          <w:szCs w:val="24"/>
        </w:rPr>
        <w:t xml:space="preserve">Supplementary Table </w:t>
      </w:r>
      <w:r w:rsidR="003B4349" w:rsidRPr="008E49D3">
        <w:rPr>
          <w:szCs w:val="24"/>
        </w:rPr>
        <w:t>4 summarizes the results of the variance-based sensitivity analysis for the global port-specific and trade risk estimates. The top10 most sensitive model parameters are highlighted in bold. As can be seen, the uncertainty in the cyclone fragility curve is by far the leading uncertainty parameter for both metrics, although less important for trade risk compared to port-specific. As expected, the recovery duration curves and maximum recovery values contribute more to the variance of trade risk, as they directly influence downtime, compared to port-specific, for which they indirectly contribute to logistics losses. The maximum damage values are negligible for trade risk, as it does not affect downtime, but it is important for the variance in port-specific, in particular General Cargo and Industry maximum damage values.</w:t>
      </w:r>
    </w:p>
    <w:p w14:paraId="02646C08" w14:textId="0CD4A2B4" w:rsidR="003B4349" w:rsidRDefault="003B4349" w:rsidP="00487BF3">
      <w:pPr>
        <w:jc w:val="both"/>
        <w:rPr>
          <w:b/>
          <w:lang w:val="en-US"/>
        </w:rPr>
      </w:pPr>
    </w:p>
    <w:p w14:paraId="54729387" w14:textId="4A928E77" w:rsidR="0095697F" w:rsidRDefault="0095697F" w:rsidP="00487BF3">
      <w:pPr>
        <w:jc w:val="both"/>
        <w:rPr>
          <w:b/>
          <w:lang w:val="en-US"/>
        </w:rPr>
      </w:pPr>
    </w:p>
    <w:p w14:paraId="2105E961" w14:textId="7AD6E395" w:rsidR="0095697F" w:rsidRPr="003B4349" w:rsidRDefault="0095697F" w:rsidP="00487BF3">
      <w:pPr>
        <w:jc w:val="both"/>
        <w:rPr>
          <w:b/>
          <w:lang w:val="en-US"/>
        </w:rPr>
      </w:pPr>
      <w:r>
        <w:rPr>
          <w:b/>
          <w:lang w:val="en-US"/>
        </w:rPr>
        <w:br w:type="page"/>
      </w:r>
    </w:p>
    <w:p w14:paraId="4CC43037" w14:textId="77777777" w:rsidR="000259D5" w:rsidRDefault="000259D5" w:rsidP="0098461F">
      <w:pPr>
        <w:jc w:val="both"/>
        <w:rPr>
          <w:b/>
          <w:sz w:val="28"/>
          <w:szCs w:val="28"/>
        </w:rPr>
      </w:pPr>
    </w:p>
    <w:p w14:paraId="5611F64E" w14:textId="59A67A97" w:rsidR="0095697F" w:rsidRPr="008E49D3" w:rsidRDefault="00A1599B" w:rsidP="0095697F">
      <w:pPr>
        <w:pStyle w:val="SMcaption"/>
        <w:rPr>
          <w:szCs w:val="24"/>
          <w:lang w:val="en-GB"/>
        </w:rPr>
      </w:pPr>
      <w:r>
        <w:rPr>
          <w:noProof/>
          <w:szCs w:val="24"/>
          <w:lang w:val="en-GB"/>
        </w:rPr>
        <w:drawing>
          <wp:inline distT="0" distB="0" distL="0" distR="0" wp14:anchorId="62B9D888" wp14:editId="31E4F652">
            <wp:extent cx="5486400" cy="2955925"/>
            <wp:effectExtent l="0" t="0" r="0" b="317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955925"/>
                    </a:xfrm>
                    <a:prstGeom prst="rect">
                      <a:avLst/>
                    </a:prstGeom>
                  </pic:spPr>
                </pic:pic>
              </a:graphicData>
            </a:graphic>
          </wp:inline>
        </w:drawing>
      </w:r>
    </w:p>
    <w:p w14:paraId="0A22E7BB" w14:textId="41513741" w:rsidR="0095697F" w:rsidRPr="008E49D3" w:rsidRDefault="00487BF3" w:rsidP="0095697F">
      <w:pPr>
        <w:pStyle w:val="SMHeading"/>
        <w:rPr>
          <w:b w:val="0"/>
        </w:rPr>
      </w:pPr>
      <w:r>
        <w:t xml:space="preserve">Supplementary Figure </w:t>
      </w:r>
      <w:r w:rsidR="0095697F" w:rsidRPr="008E49D3">
        <w:t xml:space="preserve">1. </w:t>
      </w:r>
      <w:r w:rsidR="0095697F" w:rsidRPr="008E49D3">
        <w:rPr>
          <w:b w:val="0"/>
        </w:rPr>
        <w:t>The hazard exposure of ports. (A) The number of hazards that contribute to risk of a given port (median port-specific &gt; 0) out of the six hazards considered (cyclone wind, coastal flooding, river flooding, pluvial flooding, earthquakes, operational). (B) A histogram of the fraction of ports exposed, grouped by the number of hazards for the median (black), 5</w:t>
      </w:r>
      <w:r w:rsidR="0095697F" w:rsidRPr="008E49D3">
        <w:rPr>
          <w:b w:val="0"/>
          <w:vertAlign w:val="superscript"/>
        </w:rPr>
        <w:t>th</w:t>
      </w:r>
      <w:r w:rsidR="0095697F" w:rsidRPr="008E49D3">
        <w:rPr>
          <w:b w:val="0"/>
        </w:rPr>
        <w:t xml:space="preserve"> percentile (light blue, exposed if 5</w:t>
      </w:r>
      <w:r w:rsidR="0095697F" w:rsidRPr="008E49D3">
        <w:rPr>
          <w:b w:val="0"/>
          <w:vertAlign w:val="superscript"/>
        </w:rPr>
        <w:t>th</w:t>
      </w:r>
      <w:r w:rsidR="0095697F" w:rsidRPr="008E49D3">
        <w:rPr>
          <w:b w:val="0"/>
        </w:rPr>
        <w:t xml:space="preserve"> percentile of port-specific &gt; 0) and 95</w:t>
      </w:r>
      <w:r w:rsidR="0095697F" w:rsidRPr="008E49D3">
        <w:rPr>
          <w:b w:val="0"/>
          <w:vertAlign w:val="superscript"/>
        </w:rPr>
        <w:t>th</w:t>
      </w:r>
      <w:r w:rsidR="0095697F" w:rsidRPr="008E49D3">
        <w:rPr>
          <w:b w:val="0"/>
        </w:rPr>
        <w:t xml:space="preserve"> percentile (green, exposed if 95</w:t>
      </w:r>
      <w:r w:rsidR="0095697F" w:rsidRPr="008E49D3">
        <w:rPr>
          <w:b w:val="0"/>
          <w:vertAlign w:val="superscript"/>
        </w:rPr>
        <w:t>th</w:t>
      </w:r>
      <w:r w:rsidR="0095697F" w:rsidRPr="008E49D3">
        <w:rPr>
          <w:b w:val="0"/>
        </w:rPr>
        <w:t xml:space="preserve"> percentile of port-specific &gt; 0) port-specific. </w:t>
      </w:r>
    </w:p>
    <w:p w14:paraId="1D7A7996" w14:textId="1A2FAD16" w:rsidR="000259D5" w:rsidRDefault="000259D5" w:rsidP="0098461F">
      <w:pPr>
        <w:jc w:val="both"/>
        <w:rPr>
          <w:b/>
          <w:sz w:val="28"/>
          <w:szCs w:val="28"/>
          <w:lang w:val="en-US"/>
        </w:rPr>
      </w:pPr>
    </w:p>
    <w:p w14:paraId="27040D58" w14:textId="4934EA85" w:rsidR="0095697F" w:rsidRPr="008E49D3" w:rsidRDefault="00A1599B" w:rsidP="0095697F">
      <w:r>
        <w:rPr>
          <w:noProof/>
        </w:rPr>
        <w:lastRenderedPageBreak/>
        <w:drawing>
          <wp:inline distT="0" distB="0" distL="0" distR="0" wp14:anchorId="0E15D878" wp14:editId="1771451D">
            <wp:extent cx="5486400" cy="3954780"/>
            <wp:effectExtent l="0" t="0" r="0" b="0"/>
            <wp:docPr id="9" name="Picture 9"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world&#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954780"/>
                    </a:xfrm>
                    <a:prstGeom prst="rect">
                      <a:avLst/>
                    </a:prstGeom>
                  </pic:spPr>
                </pic:pic>
              </a:graphicData>
            </a:graphic>
          </wp:inline>
        </w:drawing>
      </w:r>
    </w:p>
    <w:p w14:paraId="6180A0DD" w14:textId="77777777" w:rsidR="0095697F" w:rsidRPr="008E49D3" w:rsidRDefault="0095697F" w:rsidP="0095697F">
      <w:pPr>
        <w:pStyle w:val="SMcaption"/>
        <w:rPr>
          <w:szCs w:val="24"/>
        </w:rPr>
      </w:pPr>
    </w:p>
    <w:p w14:paraId="1EA82B75" w14:textId="1244D306" w:rsidR="0095697F" w:rsidRPr="008E49D3" w:rsidRDefault="00487BF3" w:rsidP="0095697F">
      <w:pPr>
        <w:pStyle w:val="SMHeading"/>
        <w:rPr>
          <w:b w:val="0"/>
        </w:rPr>
      </w:pPr>
      <w:r>
        <w:t xml:space="preserve">Supplementary Figure </w:t>
      </w:r>
      <w:r w:rsidR="0095697F" w:rsidRPr="008E49D3">
        <w:t xml:space="preserve">2. </w:t>
      </w:r>
      <w:r w:rsidR="0095697F" w:rsidRPr="008E49D3">
        <w:rPr>
          <w:b w:val="0"/>
        </w:rPr>
        <w:t xml:space="preserve">The global footprint of port-specific per hazard. The size of the marker indicates the magnitude of port-specific, whereas the histogram </w:t>
      </w:r>
      <w:r w:rsidR="0095697F" w:rsidRPr="008E49D3">
        <w:rPr>
          <w:b w:val="0"/>
          <w:bCs w:val="0"/>
        </w:rPr>
        <w:t>shows the global aggregated port-specific across the 10,000 samples with the black line indicating the median and the dashed lines indicating the 5</w:t>
      </w:r>
      <w:r w:rsidR="0095697F" w:rsidRPr="008E49D3">
        <w:rPr>
          <w:b w:val="0"/>
          <w:bCs w:val="0"/>
          <w:vertAlign w:val="superscript"/>
        </w:rPr>
        <w:t>th</w:t>
      </w:r>
      <w:r w:rsidR="0095697F" w:rsidRPr="008E49D3">
        <w:rPr>
          <w:b w:val="0"/>
          <w:bCs w:val="0"/>
        </w:rPr>
        <w:t xml:space="preserve"> and 95</w:t>
      </w:r>
      <w:r w:rsidR="0095697F" w:rsidRPr="008E49D3">
        <w:rPr>
          <w:b w:val="0"/>
          <w:bCs w:val="0"/>
          <w:vertAlign w:val="superscript"/>
        </w:rPr>
        <w:t>th</w:t>
      </w:r>
      <w:r w:rsidR="0095697F" w:rsidRPr="008E49D3">
        <w:rPr>
          <w:b w:val="0"/>
          <w:bCs w:val="0"/>
        </w:rPr>
        <w:t xml:space="preserve"> percentile. Results are shown for Pluvial (A), Fluvial (B), Cyclone wind (C), Coastal (D), Earthquake (E) and Operational (F) hazard risk driver, respectively. </w:t>
      </w:r>
    </w:p>
    <w:p w14:paraId="3497F3EF" w14:textId="77777777" w:rsidR="0095697F" w:rsidRPr="008E49D3" w:rsidRDefault="0095697F" w:rsidP="0095697F">
      <w:pPr>
        <w:autoSpaceDE w:val="0"/>
        <w:autoSpaceDN w:val="0"/>
        <w:adjustRightInd w:val="0"/>
      </w:pPr>
    </w:p>
    <w:p w14:paraId="4475D5CA" w14:textId="6F7520D4" w:rsidR="0095697F" w:rsidRPr="008E49D3" w:rsidRDefault="0095697F" w:rsidP="0095697F">
      <w:r w:rsidRPr="008E49D3">
        <w:br w:type="page"/>
      </w:r>
    </w:p>
    <w:p w14:paraId="77978889" w14:textId="67D164CD" w:rsidR="0095697F" w:rsidRPr="008E49D3" w:rsidRDefault="00A1599B" w:rsidP="0095697F">
      <w:pPr>
        <w:pStyle w:val="SMcaption"/>
        <w:rPr>
          <w:szCs w:val="24"/>
        </w:rPr>
      </w:pPr>
      <w:r>
        <w:rPr>
          <w:noProof/>
          <w:szCs w:val="24"/>
        </w:rPr>
        <w:lastRenderedPageBreak/>
        <w:drawing>
          <wp:inline distT="0" distB="0" distL="0" distR="0" wp14:anchorId="6714F2F9" wp14:editId="65725935">
            <wp:extent cx="4749800" cy="2413000"/>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0" cy="2413000"/>
                    </a:xfrm>
                    <a:prstGeom prst="rect">
                      <a:avLst/>
                    </a:prstGeom>
                  </pic:spPr>
                </pic:pic>
              </a:graphicData>
            </a:graphic>
          </wp:inline>
        </w:drawing>
      </w:r>
    </w:p>
    <w:p w14:paraId="0B5DEE07" w14:textId="0C18569E" w:rsidR="0095697F" w:rsidRPr="008E49D3" w:rsidRDefault="00487BF3" w:rsidP="0095697F">
      <w:pPr>
        <w:pStyle w:val="SMHeading"/>
        <w:rPr>
          <w:b w:val="0"/>
        </w:rPr>
      </w:pPr>
      <w:r>
        <w:t xml:space="preserve">Supplementary Figure </w:t>
      </w:r>
      <w:r w:rsidR="0095697F" w:rsidRPr="008E49D3">
        <w:t xml:space="preserve">3. </w:t>
      </w:r>
      <w:r w:rsidR="0095697F" w:rsidRPr="008E49D3">
        <w:rPr>
          <w:b w:val="0"/>
        </w:rPr>
        <w:t xml:space="preserve">Contribution of different hazard risk factors to the total port-specific by hazard type. (A) The absolute contribution to the median port-specific per hazard type. (B) Same as (A) but expressed in relative terms. </w:t>
      </w:r>
    </w:p>
    <w:p w14:paraId="2D813891" w14:textId="77777777" w:rsidR="0095697F" w:rsidRPr="008E49D3" w:rsidRDefault="0095697F" w:rsidP="0095697F"/>
    <w:p w14:paraId="5163EB17" w14:textId="77777777" w:rsidR="0095697F" w:rsidRPr="008E49D3" w:rsidRDefault="0095697F" w:rsidP="0095697F">
      <w:pPr>
        <w:autoSpaceDE w:val="0"/>
        <w:autoSpaceDN w:val="0"/>
        <w:adjustRightInd w:val="0"/>
      </w:pPr>
    </w:p>
    <w:p w14:paraId="013EB816" w14:textId="77777777" w:rsidR="0095697F" w:rsidRPr="008E49D3" w:rsidRDefault="0095697F" w:rsidP="0095697F">
      <w:r w:rsidRPr="008E49D3">
        <w:br w:type="page"/>
      </w:r>
    </w:p>
    <w:p w14:paraId="5E28D897" w14:textId="77777777" w:rsidR="0095697F" w:rsidRPr="008E49D3" w:rsidRDefault="0095697F" w:rsidP="0095697F">
      <w:pPr>
        <w:pStyle w:val="SMcaption"/>
        <w:rPr>
          <w:szCs w:val="24"/>
        </w:rPr>
      </w:pPr>
      <w:r w:rsidRPr="008E49D3">
        <w:rPr>
          <w:noProof/>
          <w:szCs w:val="24"/>
        </w:rPr>
        <w:lastRenderedPageBreak/>
        <w:drawing>
          <wp:inline distT="0" distB="0" distL="0" distR="0" wp14:anchorId="5B117B8B" wp14:editId="48BD5CF6">
            <wp:extent cx="5486400" cy="3189514"/>
            <wp:effectExtent l="0" t="0" r="0" b="0"/>
            <wp:docPr id="4" name="Picture 4" descr="A picture containing text, different, variou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fferent, various, severa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189514"/>
                    </a:xfrm>
                    <a:prstGeom prst="rect">
                      <a:avLst/>
                    </a:prstGeom>
                  </pic:spPr>
                </pic:pic>
              </a:graphicData>
            </a:graphic>
          </wp:inline>
        </w:drawing>
      </w:r>
    </w:p>
    <w:p w14:paraId="600A0653" w14:textId="7C72DDBC" w:rsidR="0095697F" w:rsidRPr="008E49D3" w:rsidRDefault="00487BF3" w:rsidP="0095697F">
      <w:pPr>
        <w:pStyle w:val="SMHeading"/>
        <w:rPr>
          <w:b w:val="0"/>
        </w:rPr>
      </w:pPr>
      <w:r>
        <w:t xml:space="preserve">Supplementary Figure </w:t>
      </w:r>
      <w:r w:rsidR="0095697F" w:rsidRPr="008E49D3">
        <w:t xml:space="preserve">4. </w:t>
      </w:r>
      <w:r w:rsidR="0095697F" w:rsidRPr="008E49D3">
        <w:rPr>
          <w:b w:val="0"/>
        </w:rPr>
        <w:t xml:space="preserve">The 15 different port land-use types considered in this study when mapping port areas. </w:t>
      </w:r>
    </w:p>
    <w:p w14:paraId="7BA191EA" w14:textId="77777777" w:rsidR="0095697F" w:rsidRPr="008E49D3" w:rsidRDefault="0095697F" w:rsidP="0095697F">
      <w:pPr>
        <w:pStyle w:val="SMcaption"/>
        <w:rPr>
          <w:szCs w:val="24"/>
        </w:rPr>
      </w:pPr>
    </w:p>
    <w:p w14:paraId="0067B034" w14:textId="77777777" w:rsidR="0095697F" w:rsidRPr="008E49D3" w:rsidRDefault="0095697F" w:rsidP="0095697F">
      <w:r w:rsidRPr="008E49D3">
        <w:br w:type="page"/>
      </w:r>
    </w:p>
    <w:p w14:paraId="24DF677A" w14:textId="471300FA" w:rsidR="0095697F" w:rsidRPr="008E49D3" w:rsidRDefault="00A1599B" w:rsidP="0095697F">
      <w:pPr>
        <w:pStyle w:val="SMcaption"/>
        <w:rPr>
          <w:szCs w:val="24"/>
        </w:rPr>
      </w:pPr>
      <w:r>
        <w:rPr>
          <w:noProof/>
          <w:szCs w:val="24"/>
        </w:rPr>
        <w:lastRenderedPageBreak/>
        <w:drawing>
          <wp:inline distT="0" distB="0" distL="0" distR="0" wp14:anchorId="3F1948DE" wp14:editId="68FA41D0">
            <wp:extent cx="5486400" cy="5326380"/>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5326380"/>
                    </a:xfrm>
                    <a:prstGeom prst="rect">
                      <a:avLst/>
                    </a:prstGeom>
                  </pic:spPr>
                </pic:pic>
              </a:graphicData>
            </a:graphic>
          </wp:inline>
        </w:drawing>
      </w:r>
    </w:p>
    <w:p w14:paraId="299169B9" w14:textId="7CF8359B" w:rsidR="0095697F" w:rsidRPr="008E49D3" w:rsidRDefault="00487BF3" w:rsidP="0095697F">
      <w:pPr>
        <w:pStyle w:val="SMHeading"/>
      </w:pPr>
      <w:r>
        <w:t xml:space="preserve">Supplementary Figure </w:t>
      </w:r>
      <w:r w:rsidR="0095697F" w:rsidRPr="008E49D3">
        <w:t xml:space="preserve">5. </w:t>
      </w:r>
      <w:r w:rsidR="0095697F" w:rsidRPr="008E49D3">
        <w:rPr>
          <w:b w:val="0"/>
        </w:rPr>
        <w:t xml:space="preserve">Examples of port and critical infrastructure database for six ports. The figures show the port terminals (grey areas), industry (brown areas), roads (red lines), railway (green lines), electricity transmission (yellow lines) and breakwaters (black lines). The ports depicted are the port of Rotterdam (A), the ports of Los Angeles-Long Beach (B), the port of Busan (C), Richards Bay coal terminal (D), the port of Genoa (E) and the port of Buenos Aires (F). </w:t>
      </w:r>
    </w:p>
    <w:p w14:paraId="4A919B20" w14:textId="77777777" w:rsidR="0095697F" w:rsidRPr="008E49D3" w:rsidRDefault="0095697F" w:rsidP="0095697F">
      <w:pPr>
        <w:pStyle w:val="SMcaption"/>
        <w:rPr>
          <w:szCs w:val="24"/>
        </w:rPr>
      </w:pPr>
    </w:p>
    <w:p w14:paraId="4EF8E7F3" w14:textId="77777777" w:rsidR="0095697F" w:rsidRPr="008E49D3" w:rsidRDefault="0095697F" w:rsidP="0095697F">
      <w:r w:rsidRPr="008E49D3">
        <w:br w:type="page"/>
      </w:r>
    </w:p>
    <w:p w14:paraId="3DE74080" w14:textId="77777777" w:rsidR="0095697F" w:rsidRPr="008E49D3" w:rsidRDefault="0095697F" w:rsidP="0095697F"/>
    <w:p w14:paraId="6BA24590" w14:textId="77777777" w:rsidR="0095697F" w:rsidRPr="008E49D3" w:rsidRDefault="0095697F" w:rsidP="0095697F">
      <w:pPr>
        <w:pStyle w:val="SMcaption"/>
        <w:rPr>
          <w:szCs w:val="24"/>
        </w:rPr>
      </w:pPr>
      <w:r w:rsidRPr="008E49D3">
        <w:rPr>
          <w:noProof/>
          <w:szCs w:val="24"/>
        </w:rPr>
        <w:drawing>
          <wp:inline distT="0" distB="0" distL="0" distR="0" wp14:anchorId="182FAD45" wp14:editId="7816E710">
            <wp:extent cx="5486400" cy="256540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565400"/>
                    </a:xfrm>
                    <a:prstGeom prst="rect">
                      <a:avLst/>
                    </a:prstGeom>
                  </pic:spPr>
                </pic:pic>
              </a:graphicData>
            </a:graphic>
          </wp:inline>
        </w:drawing>
      </w:r>
    </w:p>
    <w:p w14:paraId="4B53A810" w14:textId="3E0B233D" w:rsidR="0095697F" w:rsidRPr="008E49D3" w:rsidRDefault="00487BF3" w:rsidP="0095697F">
      <w:pPr>
        <w:pStyle w:val="SMHeading"/>
      </w:pPr>
      <w:r>
        <w:t xml:space="preserve">Supplementary Figure </w:t>
      </w:r>
      <w:r w:rsidR="0095697F" w:rsidRPr="008E49D3">
        <w:t xml:space="preserve">6. </w:t>
      </w:r>
      <w:r w:rsidR="0095697F" w:rsidRPr="008E49D3">
        <w:rPr>
          <w:b w:val="0"/>
        </w:rPr>
        <w:t xml:space="preserve">The global distribution of breakwater crest heights modelled using the synthetic breakwater design methodology. </w:t>
      </w:r>
    </w:p>
    <w:p w14:paraId="6363464D" w14:textId="77777777" w:rsidR="0095697F" w:rsidRPr="008E49D3" w:rsidRDefault="0095697F" w:rsidP="0095697F">
      <w:pPr>
        <w:pStyle w:val="SMcaption"/>
        <w:rPr>
          <w:szCs w:val="24"/>
        </w:rPr>
      </w:pPr>
    </w:p>
    <w:p w14:paraId="728CE5AA" w14:textId="77777777" w:rsidR="0095697F" w:rsidRPr="008E49D3" w:rsidRDefault="0095697F" w:rsidP="0095697F">
      <w:r w:rsidRPr="008E49D3">
        <w:br w:type="page"/>
      </w:r>
    </w:p>
    <w:p w14:paraId="2253A7F7" w14:textId="77777777" w:rsidR="0095697F" w:rsidRPr="008E49D3" w:rsidRDefault="0095697F" w:rsidP="0095697F">
      <w:pPr>
        <w:pStyle w:val="SMcaption"/>
        <w:rPr>
          <w:szCs w:val="24"/>
        </w:rPr>
      </w:pPr>
      <w:r w:rsidRPr="008E49D3">
        <w:rPr>
          <w:noProof/>
          <w:szCs w:val="24"/>
        </w:rPr>
        <w:lastRenderedPageBreak/>
        <w:drawing>
          <wp:inline distT="0" distB="0" distL="0" distR="0" wp14:anchorId="21AB3718" wp14:editId="406D44F2">
            <wp:extent cx="3759200" cy="3662812"/>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9197" cy="3692040"/>
                    </a:xfrm>
                    <a:prstGeom prst="rect">
                      <a:avLst/>
                    </a:prstGeom>
                  </pic:spPr>
                </pic:pic>
              </a:graphicData>
            </a:graphic>
          </wp:inline>
        </w:drawing>
      </w:r>
    </w:p>
    <w:p w14:paraId="7E5F7649" w14:textId="44841974" w:rsidR="0095697F" w:rsidRPr="008E49D3" w:rsidRDefault="00487BF3" w:rsidP="0095697F">
      <w:pPr>
        <w:pStyle w:val="SMHeading"/>
      </w:pPr>
      <w:r>
        <w:t xml:space="preserve">Supplementary Figure </w:t>
      </w:r>
      <w:r w:rsidR="0095697F" w:rsidRPr="008E49D3">
        <w:t xml:space="preserve">7. </w:t>
      </w:r>
      <w:r w:rsidR="0095697F" w:rsidRPr="008E49D3">
        <w:rPr>
          <w:b w:val="0"/>
        </w:rPr>
        <w:t>The predicted versus observed number of disruption days of the cyclone-induced downtime regression model. The dot indicates the mean result of the regression whereas the error bar shows the 5-95</w:t>
      </w:r>
      <w:r w:rsidR="0095697F" w:rsidRPr="008E49D3">
        <w:rPr>
          <w:b w:val="0"/>
          <w:vertAlign w:val="superscript"/>
        </w:rPr>
        <w:t>th</w:t>
      </w:r>
      <w:r w:rsidR="0095697F" w:rsidRPr="008E49D3">
        <w:rPr>
          <w:b w:val="0"/>
        </w:rPr>
        <w:t xml:space="preserve"> percentile of the regression model. </w:t>
      </w:r>
    </w:p>
    <w:p w14:paraId="2F49BA45" w14:textId="77777777" w:rsidR="0095697F" w:rsidRPr="008E49D3" w:rsidRDefault="0095697F" w:rsidP="0095697F">
      <w:pPr>
        <w:pStyle w:val="SMcaption"/>
        <w:rPr>
          <w:szCs w:val="24"/>
        </w:rPr>
      </w:pPr>
    </w:p>
    <w:p w14:paraId="3A7BA456" w14:textId="77777777" w:rsidR="0095697F" w:rsidRPr="008E49D3" w:rsidRDefault="0095697F" w:rsidP="0095697F">
      <w:r w:rsidRPr="008E49D3">
        <w:br w:type="page"/>
      </w:r>
    </w:p>
    <w:p w14:paraId="345C44B8" w14:textId="77777777" w:rsidR="0095697F" w:rsidRPr="008E49D3" w:rsidRDefault="0095697F" w:rsidP="0095697F">
      <w:pPr>
        <w:pStyle w:val="SMcaption"/>
        <w:rPr>
          <w:szCs w:val="24"/>
        </w:rPr>
      </w:pPr>
      <w:r w:rsidRPr="008E49D3">
        <w:rPr>
          <w:noProof/>
          <w:szCs w:val="24"/>
        </w:rPr>
        <w:lastRenderedPageBreak/>
        <w:drawing>
          <wp:inline distT="0" distB="0" distL="0" distR="0" wp14:anchorId="3AFADEB7" wp14:editId="453EF469">
            <wp:extent cx="5486400" cy="256540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565400"/>
                    </a:xfrm>
                    <a:prstGeom prst="rect">
                      <a:avLst/>
                    </a:prstGeom>
                  </pic:spPr>
                </pic:pic>
              </a:graphicData>
            </a:graphic>
          </wp:inline>
        </w:drawing>
      </w:r>
    </w:p>
    <w:p w14:paraId="52C519A4" w14:textId="6B58DC23" w:rsidR="0095697F" w:rsidRPr="008E49D3" w:rsidRDefault="00487BF3" w:rsidP="0095697F">
      <w:pPr>
        <w:pStyle w:val="SMHeading"/>
      </w:pPr>
      <w:r>
        <w:t xml:space="preserve">Supplementary Figure </w:t>
      </w:r>
      <w:r w:rsidR="0095697F" w:rsidRPr="008E49D3">
        <w:t xml:space="preserve">8. </w:t>
      </w:r>
      <w:r w:rsidR="0095697F" w:rsidRPr="008E49D3">
        <w:rPr>
          <w:b w:val="0"/>
        </w:rPr>
        <w:t xml:space="preserve">The modelled 1 in 100 year extreme water level (EWL) at the port boundary used for the coastal flood risk modelling. Extreme water levels consist of storm surges, tides, sea-level anomalies and wave set-up for those ports that are exposed to wave set-up. </w:t>
      </w:r>
    </w:p>
    <w:p w14:paraId="6E757766" w14:textId="77777777" w:rsidR="0095697F" w:rsidRPr="008E49D3" w:rsidRDefault="0095697F" w:rsidP="0095697F">
      <w:pPr>
        <w:pStyle w:val="SMcaption"/>
        <w:rPr>
          <w:szCs w:val="24"/>
        </w:rPr>
      </w:pPr>
    </w:p>
    <w:p w14:paraId="2B72878E" w14:textId="77777777" w:rsidR="0095697F" w:rsidRPr="008E49D3" w:rsidRDefault="0095697F" w:rsidP="0095697F">
      <w:r w:rsidRPr="008E49D3">
        <w:br w:type="page"/>
      </w:r>
    </w:p>
    <w:p w14:paraId="63C72408" w14:textId="77777777" w:rsidR="0095697F" w:rsidRPr="008E49D3" w:rsidRDefault="0095697F" w:rsidP="0095697F"/>
    <w:p w14:paraId="69BE31C0" w14:textId="77777777" w:rsidR="0095697F" w:rsidRPr="008E49D3" w:rsidRDefault="0095697F" w:rsidP="0095697F">
      <w:pPr>
        <w:pStyle w:val="SMcaption"/>
        <w:rPr>
          <w:szCs w:val="24"/>
        </w:rPr>
      </w:pPr>
      <w:r w:rsidRPr="008E49D3">
        <w:rPr>
          <w:b/>
          <w:bCs/>
          <w:noProof/>
          <w:szCs w:val="24"/>
        </w:rPr>
        <w:drawing>
          <wp:inline distT="0" distB="0" distL="0" distR="0" wp14:anchorId="1B33497F" wp14:editId="19974F73">
            <wp:extent cx="5486400" cy="4371219"/>
            <wp:effectExtent l="0" t="0" r="0" b="0"/>
            <wp:docPr id="3" name="Picture 3" descr="A picture containing text, receip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receipt, devi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4371219"/>
                    </a:xfrm>
                    <a:prstGeom prst="rect">
                      <a:avLst/>
                    </a:prstGeom>
                  </pic:spPr>
                </pic:pic>
              </a:graphicData>
            </a:graphic>
          </wp:inline>
        </w:drawing>
      </w:r>
    </w:p>
    <w:p w14:paraId="408793B4" w14:textId="0134E7A0" w:rsidR="0095697F" w:rsidRPr="008E49D3" w:rsidRDefault="00487BF3" w:rsidP="0095697F">
      <w:pPr>
        <w:pStyle w:val="SMHeading"/>
      </w:pPr>
      <w:r>
        <w:t xml:space="preserve">Supplementary Figure </w:t>
      </w:r>
      <w:r w:rsidR="0095697F" w:rsidRPr="008E49D3">
        <w:t xml:space="preserve">9. </w:t>
      </w:r>
      <w:r w:rsidR="0095697F" w:rsidRPr="008E49D3">
        <w:rPr>
          <w:b w:val="0"/>
        </w:rPr>
        <w:t xml:space="preserve">The aggregated area of port infrastructure per region and land-use type, grouped into seven port land-use types (Container, Dry Bulk, General Cargo, Liquid, </w:t>
      </w:r>
      <w:proofErr w:type="spellStart"/>
      <w:r w:rsidR="0095697F" w:rsidRPr="008E49D3">
        <w:rPr>
          <w:b w:val="0"/>
        </w:rPr>
        <w:t>RoRo</w:t>
      </w:r>
      <w:proofErr w:type="spellEnd"/>
      <w:r w:rsidR="0095697F" w:rsidRPr="008E49D3">
        <w:rPr>
          <w:b w:val="0"/>
        </w:rPr>
        <w:t xml:space="preserve">, Storage and Other, see </w:t>
      </w:r>
      <w:r>
        <w:rPr>
          <w:b w:val="0"/>
        </w:rPr>
        <w:t xml:space="preserve">Supplementary Table </w:t>
      </w:r>
      <w:r w:rsidR="0095697F" w:rsidRPr="008E49D3">
        <w:rPr>
          <w:b w:val="0"/>
        </w:rPr>
        <w:t xml:space="preserve">2) and an industrial land-use type. Note the different y-axis scale of the Industry chart. AFR = Africa, ASIA = Asia, EUR = Europe, LAM = Latin America, MEA = Middle-East, NAM = North-America, OCE = Oceania. </w:t>
      </w:r>
    </w:p>
    <w:p w14:paraId="2C3A2B05" w14:textId="77777777" w:rsidR="0095697F" w:rsidRPr="008E49D3" w:rsidRDefault="0095697F" w:rsidP="0095697F"/>
    <w:p w14:paraId="4E91355C" w14:textId="77777777" w:rsidR="0095697F" w:rsidRPr="008E49D3" w:rsidRDefault="0095697F" w:rsidP="0095697F"/>
    <w:p w14:paraId="33B8DC65" w14:textId="77777777" w:rsidR="0095697F" w:rsidRPr="008E49D3" w:rsidRDefault="0095697F" w:rsidP="0095697F">
      <w:pPr>
        <w:pStyle w:val="SMHeading"/>
      </w:pPr>
    </w:p>
    <w:p w14:paraId="55EBDD97" w14:textId="77777777" w:rsidR="0095697F" w:rsidRPr="008E49D3" w:rsidRDefault="0095697F" w:rsidP="0095697F"/>
    <w:p w14:paraId="54A0CDF5" w14:textId="77777777" w:rsidR="0095697F" w:rsidRPr="008E49D3" w:rsidRDefault="0095697F" w:rsidP="0095697F"/>
    <w:p w14:paraId="380A239E" w14:textId="77777777" w:rsidR="0095697F" w:rsidRPr="008E49D3" w:rsidRDefault="0095697F" w:rsidP="0095697F">
      <w:r w:rsidRPr="008E49D3">
        <w:br w:type="page"/>
      </w:r>
    </w:p>
    <w:p w14:paraId="780548A6" w14:textId="77777777" w:rsidR="0095697F" w:rsidRPr="008E49D3" w:rsidRDefault="0095697F" w:rsidP="0095697F">
      <w:pPr>
        <w:sectPr w:rsidR="0095697F" w:rsidRPr="008E49D3" w:rsidSect="00F125EE">
          <w:headerReference w:type="default" r:id="rId18"/>
          <w:footerReference w:type="default" r:id="rId19"/>
          <w:pgSz w:w="12240" w:h="15840"/>
          <w:pgMar w:top="1440" w:right="1800" w:bottom="1440" w:left="1800" w:header="720" w:footer="720" w:gutter="0"/>
          <w:pgNumType w:start="1"/>
          <w:cols w:space="720"/>
          <w:docGrid w:linePitch="360"/>
        </w:sectPr>
      </w:pPr>
    </w:p>
    <w:p w14:paraId="7DC109DA" w14:textId="77777777" w:rsidR="0095697F" w:rsidRPr="008E49D3" w:rsidRDefault="0095697F" w:rsidP="0095697F">
      <w:pPr>
        <w:pStyle w:val="SMcaption"/>
        <w:rPr>
          <w:szCs w:val="24"/>
        </w:rPr>
      </w:pPr>
    </w:p>
    <w:p w14:paraId="71A3F2A5" w14:textId="42252A09" w:rsidR="0095697F" w:rsidRPr="008E49D3" w:rsidRDefault="00487BF3" w:rsidP="0095697F">
      <w:pPr>
        <w:pStyle w:val="SMHeading"/>
        <w:rPr>
          <w:b w:val="0"/>
        </w:rPr>
      </w:pPr>
      <w:r>
        <w:t xml:space="preserve">Supplementary Table </w:t>
      </w:r>
      <w:r w:rsidR="0095697F" w:rsidRPr="008E49D3">
        <w:t xml:space="preserve">1. </w:t>
      </w:r>
      <w:r w:rsidR="0095697F" w:rsidRPr="008E49D3">
        <w:rPr>
          <w:b w:val="0"/>
          <w:bCs w:val="0"/>
        </w:rPr>
        <w:t>An overview of the model parameters used in this study and the</w:t>
      </w:r>
      <w:r w:rsidR="0095697F" w:rsidRPr="008E49D3">
        <w:t xml:space="preserve"> </w:t>
      </w:r>
      <w:r w:rsidR="0095697F" w:rsidRPr="008E49D3">
        <w:rPr>
          <w:b w:val="0"/>
        </w:rPr>
        <w:t xml:space="preserve">adopted values. The lower and upper range of the values reflect the respective lower and upper range of the uniform distribution used in the sensitivity analysis. *Values are scaled from 1998 values to 2018 values using yearly inflation rates and converted from euro to dollar. </w:t>
      </w:r>
    </w:p>
    <w:p w14:paraId="39A086EC" w14:textId="77777777" w:rsidR="0095697F" w:rsidRPr="008E49D3" w:rsidRDefault="0095697F" w:rsidP="0095697F">
      <w:pPr>
        <w:pStyle w:val="SMcaption"/>
        <w:rPr>
          <w:szCs w:val="24"/>
        </w:rPr>
      </w:pPr>
    </w:p>
    <w:tbl>
      <w:tblPr>
        <w:tblW w:w="5360" w:type="pct"/>
        <w:tblLayout w:type="fixed"/>
        <w:tblLook w:val="04A0" w:firstRow="1" w:lastRow="0" w:firstColumn="1" w:lastColumn="0" w:noHBand="0" w:noVBand="1"/>
      </w:tblPr>
      <w:tblGrid>
        <w:gridCol w:w="1418"/>
        <w:gridCol w:w="2837"/>
        <w:gridCol w:w="5104"/>
        <w:gridCol w:w="1131"/>
        <w:gridCol w:w="850"/>
        <w:gridCol w:w="850"/>
        <w:gridCol w:w="1703"/>
      </w:tblGrid>
      <w:tr w:rsidR="0095697F" w:rsidRPr="00AD5F47" w14:paraId="6FF7CF76" w14:textId="77777777" w:rsidTr="00A47A7E">
        <w:trPr>
          <w:trHeight w:val="227"/>
        </w:trPr>
        <w:tc>
          <w:tcPr>
            <w:tcW w:w="510" w:type="pct"/>
            <w:tcBorders>
              <w:top w:val="nil"/>
              <w:left w:val="nil"/>
              <w:bottom w:val="single" w:sz="4" w:space="0" w:color="auto"/>
              <w:right w:val="nil"/>
            </w:tcBorders>
            <w:shd w:val="clear" w:color="auto" w:fill="auto"/>
            <w:noWrap/>
            <w:vAlign w:val="center"/>
            <w:hideMark/>
          </w:tcPr>
          <w:p w14:paraId="5E64E3A0" w14:textId="77777777" w:rsidR="0095697F" w:rsidRPr="00AD5F47" w:rsidRDefault="0095697F" w:rsidP="00A47A7E">
            <w:pPr>
              <w:rPr>
                <w:b/>
                <w:bCs/>
                <w:color w:val="000000"/>
                <w:sz w:val="20"/>
              </w:rPr>
            </w:pPr>
            <w:r w:rsidRPr="00AD5F47">
              <w:rPr>
                <w:b/>
                <w:bCs/>
                <w:color w:val="000000"/>
                <w:sz w:val="20"/>
              </w:rPr>
              <w:t>Category</w:t>
            </w:r>
          </w:p>
        </w:tc>
        <w:tc>
          <w:tcPr>
            <w:tcW w:w="1021" w:type="pct"/>
            <w:tcBorders>
              <w:top w:val="nil"/>
              <w:left w:val="nil"/>
              <w:bottom w:val="single" w:sz="4" w:space="0" w:color="auto"/>
              <w:right w:val="nil"/>
            </w:tcBorders>
            <w:shd w:val="clear" w:color="auto" w:fill="auto"/>
            <w:noWrap/>
            <w:vAlign w:val="center"/>
            <w:hideMark/>
          </w:tcPr>
          <w:p w14:paraId="5F7D4D6F" w14:textId="77777777" w:rsidR="0095697F" w:rsidRPr="00AD5F47" w:rsidRDefault="0095697F" w:rsidP="00A47A7E">
            <w:pPr>
              <w:rPr>
                <w:b/>
                <w:bCs/>
                <w:color w:val="000000"/>
                <w:sz w:val="20"/>
              </w:rPr>
            </w:pPr>
            <w:r w:rsidRPr="00AD5F47">
              <w:rPr>
                <w:b/>
                <w:bCs/>
                <w:color w:val="000000"/>
                <w:sz w:val="20"/>
              </w:rPr>
              <w:t>Parameter</w:t>
            </w:r>
          </w:p>
        </w:tc>
        <w:tc>
          <w:tcPr>
            <w:tcW w:w="1837" w:type="pct"/>
            <w:tcBorders>
              <w:top w:val="nil"/>
              <w:left w:val="nil"/>
              <w:bottom w:val="single" w:sz="4" w:space="0" w:color="auto"/>
              <w:right w:val="nil"/>
            </w:tcBorders>
            <w:shd w:val="clear" w:color="auto" w:fill="auto"/>
            <w:noWrap/>
            <w:vAlign w:val="center"/>
            <w:hideMark/>
          </w:tcPr>
          <w:p w14:paraId="65109322" w14:textId="77777777" w:rsidR="0095697F" w:rsidRPr="00AD5F47" w:rsidRDefault="0095697F" w:rsidP="00A47A7E">
            <w:pPr>
              <w:rPr>
                <w:b/>
                <w:bCs/>
                <w:color w:val="000000"/>
                <w:sz w:val="20"/>
              </w:rPr>
            </w:pPr>
            <w:r w:rsidRPr="00AD5F47">
              <w:rPr>
                <w:b/>
                <w:bCs/>
                <w:color w:val="000000"/>
                <w:sz w:val="20"/>
              </w:rPr>
              <w:t>Description</w:t>
            </w:r>
          </w:p>
        </w:tc>
        <w:tc>
          <w:tcPr>
            <w:tcW w:w="407" w:type="pct"/>
            <w:tcBorders>
              <w:top w:val="nil"/>
              <w:left w:val="nil"/>
              <w:bottom w:val="single" w:sz="4" w:space="0" w:color="auto"/>
              <w:right w:val="nil"/>
            </w:tcBorders>
            <w:shd w:val="clear" w:color="auto" w:fill="auto"/>
            <w:noWrap/>
            <w:vAlign w:val="center"/>
            <w:hideMark/>
          </w:tcPr>
          <w:p w14:paraId="47E96A33" w14:textId="77777777" w:rsidR="0095697F" w:rsidRPr="00AD5F47" w:rsidRDefault="0095697F" w:rsidP="00A47A7E">
            <w:pPr>
              <w:rPr>
                <w:b/>
                <w:bCs/>
                <w:color w:val="000000"/>
                <w:sz w:val="20"/>
              </w:rPr>
            </w:pPr>
            <w:r w:rsidRPr="00AD5F47">
              <w:rPr>
                <w:b/>
                <w:bCs/>
                <w:color w:val="000000"/>
                <w:sz w:val="20"/>
              </w:rPr>
              <w:t>Value</w:t>
            </w:r>
          </w:p>
        </w:tc>
        <w:tc>
          <w:tcPr>
            <w:tcW w:w="306" w:type="pct"/>
            <w:tcBorders>
              <w:top w:val="nil"/>
              <w:left w:val="nil"/>
              <w:bottom w:val="single" w:sz="4" w:space="0" w:color="auto"/>
              <w:right w:val="nil"/>
            </w:tcBorders>
            <w:shd w:val="clear" w:color="auto" w:fill="auto"/>
            <w:noWrap/>
            <w:vAlign w:val="center"/>
            <w:hideMark/>
          </w:tcPr>
          <w:p w14:paraId="609C011D" w14:textId="77777777" w:rsidR="0095697F" w:rsidRPr="00AD5F47" w:rsidRDefault="0095697F" w:rsidP="00A47A7E">
            <w:pPr>
              <w:rPr>
                <w:b/>
                <w:bCs/>
                <w:color w:val="000000"/>
                <w:sz w:val="20"/>
              </w:rPr>
            </w:pPr>
            <w:r w:rsidRPr="00AD5F47">
              <w:rPr>
                <w:b/>
                <w:bCs/>
                <w:color w:val="000000"/>
                <w:sz w:val="20"/>
              </w:rPr>
              <w:t>Lower</w:t>
            </w:r>
          </w:p>
        </w:tc>
        <w:tc>
          <w:tcPr>
            <w:tcW w:w="306" w:type="pct"/>
            <w:tcBorders>
              <w:top w:val="nil"/>
              <w:left w:val="nil"/>
              <w:bottom w:val="single" w:sz="4" w:space="0" w:color="auto"/>
              <w:right w:val="nil"/>
            </w:tcBorders>
            <w:shd w:val="clear" w:color="auto" w:fill="auto"/>
            <w:noWrap/>
            <w:vAlign w:val="center"/>
            <w:hideMark/>
          </w:tcPr>
          <w:p w14:paraId="5BE3A687" w14:textId="77777777" w:rsidR="0095697F" w:rsidRPr="00AD5F47" w:rsidRDefault="0095697F" w:rsidP="00A47A7E">
            <w:pPr>
              <w:rPr>
                <w:b/>
                <w:bCs/>
                <w:color w:val="000000"/>
                <w:sz w:val="20"/>
              </w:rPr>
            </w:pPr>
            <w:r w:rsidRPr="00AD5F47">
              <w:rPr>
                <w:b/>
                <w:bCs/>
                <w:color w:val="000000"/>
                <w:sz w:val="20"/>
              </w:rPr>
              <w:t>Upper</w:t>
            </w:r>
          </w:p>
        </w:tc>
        <w:tc>
          <w:tcPr>
            <w:tcW w:w="613" w:type="pct"/>
            <w:tcBorders>
              <w:top w:val="nil"/>
              <w:left w:val="nil"/>
              <w:bottom w:val="single" w:sz="4" w:space="0" w:color="auto"/>
              <w:right w:val="nil"/>
            </w:tcBorders>
            <w:shd w:val="clear" w:color="auto" w:fill="auto"/>
            <w:noWrap/>
            <w:vAlign w:val="center"/>
            <w:hideMark/>
          </w:tcPr>
          <w:p w14:paraId="47785F96" w14:textId="77777777" w:rsidR="0095697F" w:rsidRPr="00AD5F47" w:rsidRDefault="0095697F" w:rsidP="00A47A7E">
            <w:pPr>
              <w:rPr>
                <w:b/>
                <w:bCs/>
                <w:color w:val="000000"/>
                <w:sz w:val="20"/>
              </w:rPr>
            </w:pPr>
            <w:r w:rsidRPr="00AD5F47">
              <w:rPr>
                <w:b/>
                <w:bCs/>
                <w:color w:val="000000"/>
                <w:sz w:val="20"/>
              </w:rPr>
              <w:t>Source</w:t>
            </w:r>
          </w:p>
        </w:tc>
      </w:tr>
      <w:tr w:rsidR="0095697F" w:rsidRPr="00AD5F47" w14:paraId="1B206844" w14:textId="77777777" w:rsidTr="00A47A7E">
        <w:trPr>
          <w:trHeight w:val="227"/>
        </w:trPr>
        <w:tc>
          <w:tcPr>
            <w:tcW w:w="510" w:type="pct"/>
            <w:tcBorders>
              <w:top w:val="nil"/>
              <w:left w:val="nil"/>
              <w:bottom w:val="nil"/>
              <w:right w:val="nil"/>
            </w:tcBorders>
            <w:shd w:val="clear" w:color="auto" w:fill="auto"/>
            <w:noWrap/>
            <w:hideMark/>
          </w:tcPr>
          <w:p w14:paraId="10DED722" w14:textId="77777777" w:rsidR="0095697F" w:rsidRPr="00AD5F47" w:rsidRDefault="0095697F" w:rsidP="00A47A7E">
            <w:pPr>
              <w:rPr>
                <w:color w:val="000000"/>
                <w:sz w:val="20"/>
              </w:rPr>
            </w:pPr>
            <w:r w:rsidRPr="00AD5F47">
              <w:rPr>
                <w:color w:val="000000"/>
                <w:sz w:val="20"/>
              </w:rPr>
              <w:t>Operational</w:t>
            </w:r>
          </w:p>
        </w:tc>
        <w:tc>
          <w:tcPr>
            <w:tcW w:w="1021" w:type="pct"/>
            <w:tcBorders>
              <w:top w:val="nil"/>
              <w:left w:val="nil"/>
              <w:bottom w:val="nil"/>
              <w:right w:val="nil"/>
            </w:tcBorders>
            <w:shd w:val="clear" w:color="auto" w:fill="auto"/>
            <w:noWrap/>
            <w:hideMark/>
          </w:tcPr>
          <w:p w14:paraId="4FEFF12B" w14:textId="77777777" w:rsidR="0095697F" w:rsidRPr="00AD5F47" w:rsidRDefault="0095697F" w:rsidP="00A47A7E">
            <w:pPr>
              <w:rPr>
                <w:color w:val="000000"/>
                <w:sz w:val="20"/>
              </w:rPr>
            </w:pPr>
            <w:r w:rsidRPr="00AD5F47">
              <w:rPr>
                <w:color w:val="000000"/>
                <w:sz w:val="20"/>
              </w:rPr>
              <w:t>Wave threshold</w:t>
            </w:r>
          </w:p>
        </w:tc>
        <w:tc>
          <w:tcPr>
            <w:tcW w:w="1837" w:type="pct"/>
            <w:tcBorders>
              <w:top w:val="nil"/>
              <w:left w:val="nil"/>
              <w:bottom w:val="nil"/>
              <w:right w:val="nil"/>
            </w:tcBorders>
            <w:shd w:val="clear" w:color="auto" w:fill="auto"/>
            <w:noWrap/>
            <w:hideMark/>
          </w:tcPr>
          <w:p w14:paraId="4303D2D7" w14:textId="77777777" w:rsidR="0095697F" w:rsidRPr="00AD5F47" w:rsidRDefault="0095697F" w:rsidP="00A47A7E">
            <w:pPr>
              <w:rPr>
                <w:color w:val="000000"/>
                <w:sz w:val="20"/>
              </w:rPr>
            </w:pPr>
            <w:r w:rsidRPr="00AD5F47">
              <w:rPr>
                <w:color w:val="000000"/>
                <w:sz w:val="20"/>
              </w:rPr>
              <w:t>The wave height threshold used (m) (ME|HE)</w:t>
            </w:r>
          </w:p>
        </w:tc>
        <w:tc>
          <w:tcPr>
            <w:tcW w:w="407" w:type="pct"/>
            <w:tcBorders>
              <w:top w:val="nil"/>
              <w:left w:val="nil"/>
              <w:bottom w:val="nil"/>
              <w:right w:val="nil"/>
            </w:tcBorders>
            <w:shd w:val="clear" w:color="auto" w:fill="auto"/>
            <w:noWrap/>
            <w:hideMark/>
          </w:tcPr>
          <w:p w14:paraId="04BC623E" w14:textId="77777777" w:rsidR="0095697F" w:rsidRPr="00AD5F47" w:rsidRDefault="0095697F" w:rsidP="00A47A7E">
            <w:pPr>
              <w:rPr>
                <w:color w:val="000000"/>
                <w:sz w:val="20"/>
              </w:rPr>
            </w:pPr>
            <w:r w:rsidRPr="00AD5F47">
              <w:rPr>
                <w:color w:val="000000"/>
                <w:sz w:val="20"/>
              </w:rPr>
              <w:t>4.0|5.0</w:t>
            </w:r>
          </w:p>
        </w:tc>
        <w:tc>
          <w:tcPr>
            <w:tcW w:w="306" w:type="pct"/>
            <w:tcBorders>
              <w:top w:val="nil"/>
              <w:left w:val="nil"/>
              <w:bottom w:val="nil"/>
              <w:right w:val="nil"/>
            </w:tcBorders>
            <w:shd w:val="clear" w:color="auto" w:fill="auto"/>
            <w:noWrap/>
            <w:hideMark/>
          </w:tcPr>
          <w:p w14:paraId="4A1199B9" w14:textId="77777777" w:rsidR="0095697F" w:rsidRPr="00AD5F47" w:rsidRDefault="0095697F" w:rsidP="00A47A7E">
            <w:pPr>
              <w:rPr>
                <w:color w:val="000000"/>
                <w:sz w:val="20"/>
              </w:rPr>
            </w:pPr>
            <w:r w:rsidRPr="00AD5F47">
              <w:rPr>
                <w:color w:val="000000"/>
                <w:sz w:val="20"/>
              </w:rPr>
              <w:t>3|4</w:t>
            </w:r>
          </w:p>
        </w:tc>
        <w:tc>
          <w:tcPr>
            <w:tcW w:w="306" w:type="pct"/>
            <w:tcBorders>
              <w:top w:val="nil"/>
              <w:left w:val="nil"/>
              <w:bottom w:val="nil"/>
              <w:right w:val="nil"/>
            </w:tcBorders>
            <w:shd w:val="clear" w:color="auto" w:fill="auto"/>
            <w:noWrap/>
            <w:hideMark/>
          </w:tcPr>
          <w:p w14:paraId="204326B3" w14:textId="77777777" w:rsidR="0095697F" w:rsidRPr="00AD5F47" w:rsidRDefault="0095697F" w:rsidP="00A47A7E">
            <w:pPr>
              <w:rPr>
                <w:color w:val="000000"/>
                <w:sz w:val="20"/>
              </w:rPr>
            </w:pPr>
            <w:r w:rsidRPr="00AD5F47">
              <w:rPr>
                <w:color w:val="000000"/>
                <w:sz w:val="20"/>
              </w:rPr>
              <w:t>5|6</w:t>
            </w:r>
          </w:p>
        </w:tc>
        <w:tc>
          <w:tcPr>
            <w:tcW w:w="613" w:type="pct"/>
            <w:tcBorders>
              <w:top w:val="nil"/>
              <w:left w:val="nil"/>
              <w:bottom w:val="nil"/>
              <w:right w:val="nil"/>
            </w:tcBorders>
            <w:shd w:val="clear" w:color="auto" w:fill="auto"/>
            <w:noWrap/>
            <w:hideMark/>
          </w:tcPr>
          <w:p w14:paraId="4B30685C" w14:textId="77777777" w:rsidR="0095697F" w:rsidRPr="00AD5F47" w:rsidRDefault="0095697F" w:rsidP="00A47A7E">
            <w:pPr>
              <w:rPr>
                <w:color w:val="000000"/>
                <w:sz w:val="20"/>
              </w:rPr>
            </w:pPr>
            <w:r w:rsidRPr="00AD5F47">
              <w:rPr>
                <w:color w:val="000000"/>
                <w:sz w:val="20"/>
              </w:rPr>
              <w:t>Expert Judgment</w:t>
            </w:r>
          </w:p>
        </w:tc>
      </w:tr>
      <w:tr w:rsidR="0095697F" w:rsidRPr="00AD5F47" w14:paraId="70B5D9A5" w14:textId="77777777" w:rsidTr="00A47A7E">
        <w:trPr>
          <w:trHeight w:val="227"/>
        </w:trPr>
        <w:tc>
          <w:tcPr>
            <w:tcW w:w="510" w:type="pct"/>
            <w:tcBorders>
              <w:top w:val="nil"/>
              <w:left w:val="nil"/>
              <w:bottom w:val="nil"/>
              <w:right w:val="nil"/>
            </w:tcBorders>
            <w:shd w:val="clear" w:color="auto" w:fill="auto"/>
            <w:noWrap/>
            <w:hideMark/>
          </w:tcPr>
          <w:p w14:paraId="454CC02F"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2C75AFDB" w14:textId="77777777" w:rsidR="0095697F" w:rsidRPr="00AD5F47" w:rsidRDefault="0095697F" w:rsidP="00A47A7E">
            <w:pPr>
              <w:rPr>
                <w:color w:val="000000"/>
                <w:sz w:val="20"/>
              </w:rPr>
            </w:pPr>
            <w:r w:rsidRPr="00AD5F47">
              <w:rPr>
                <w:color w:val="000000"/>
                <w:sz w:val="20"/>
              </w:rPr>
              <w:t>Temperature threshold</w:t>
            </w:r>
          </w:p>
        </w:tc>
        <w:tc>
          <w:tcPr>
            <w:tcW w:w="1837" w:type="pct"/>
            <w:tcBorders>
              <w:top w:val="nil"/>
              <w:left w:val="nil"/>
              <w:bottom w:val="nil"/>
              <w:right w:val="nil"/>
            </w:tcBorders>
            <w:shd w:val="clear" w:color="auto" w:fill="auto"/>
            <w:noWrap/>
            <w:hideMark/>
          </w:tcPr>
          <w:p w14:paraId="39E823CC" w14:textId="77777777" w:rsidR="0095697F" w:rsidRPr="00AD5F47" w:rsidRDefault="0095697F" w:rsidP="00A47A7E">
            <w:pPr>
              <w:rPr>
                <w:color w:val="000000"/>
                <w:sz w:val="20"/>
              </w:rPr>
            </w:pPr>
            <w:r w:rsidRPr="00AD5F47">
              <w:rPr>
                <w:color w:val="000000"/>
                <w:sz w:val="20"/>
              </w:rPr>
              <w:t>The temperature threshold used (Celsius)  (Rest of world | Middle-East)</w:t>
            </w:r>
          </w:p>
        </w:tc>
        <w:tc>
          <w:tcPr>
            <w:tcW w:w="407" w:type="pct"/>
            <w:tcBorders>
              <w:top w:val="nil"/>
              <w:left w:val="nil"/>
              <w:bottom w:val="nil"/>
              <w:right w:val="nil"/>
            </w:tcBorders>
            <w:shd w:val="clear" w:color="auto" w:fill="auto"/>
            <w:noWrap/>
            <w:hideMark/>
          </w:tcPr>
          <w:p w14:paraId="19B22EA4" w14:textId="77777777" w:rsidR="0095697F" w:rsidRPr="00AD5F47" w:rsidRDefault="0095697F" w:rsidP="00A47A7E">
            <w:pPr>
              <w:rPr>
                <w:color w:val="000000"/>
                <w:sz w:val="20"/>
              </w:rPr>
            </w:pPr>
            <w:r w:rsidRPr="00AD5F47">
              <w:rPr>
                <w:color w:val="000000"/>
                <w:sz w:val="20"/>
              </w:rPr>
              <w:t>35|45</w:t>
            </w:r>
          </w:p>
        </w:tc>
        <w:tc>
          <w:tcPr>
            <w:tcW w:w="306" w:type="pct"/>
            <w:tcBorders>
              <w:top w:val="nil"/>
              <w:left w:val="nil"/>
              <w:bottom w:val="nil"/>
              <w:right w:val="nil"/>
            </w:tcBorders>
            <w:shd w:val="clear" w:color="auto" w:fill="auto"/>
            <w:noWrap/>
            <w:hideMark/>
          </w:tcPr>
          <w:p w14:paraId="63B401C6" w14:textId="77777777" w:rsidR="0095697F" w:rsidRPr="00AD5F47" w:rsidRDefault="0095697F" w:rsidP="00A47A7E">
            <w:pPr>
              <w:rPr>
                <w:color w:val="000000"/>
                <w:sz w:val="20"/>
              </w:rPr>
            </w:pPr>
            <w:r w:rsidRPr="00AD5F47">
              <w:rPr>
                <w:color w:val="000000"/>
                <w:sz w:val="20"/>
              </w:rPr>
              <w:t>32|42</w:t>
            </w:r>
          </w:p>
        </w:tc>
        <w:tc>
          <w:tcPr>
            <w:tcW w:w="306" w:type="pct"/>
            <w:tcBorders>
              <w:top w:val="nil"/>
              <w:left w:val="nil"/>
              <w:bottom w:val="nil"/>
              <w:right w:val="nil"/>
            </w:tcBorders>
            <w:shd w:val="clear" w:color="auto" w:fill="auto"/>
            <w:noWrap/>
            <w:hideMark/>
          </w:tcPr>
          <w:p w14:paraId="0BB4EB9D" w14:textId="77777777" w:rsidR="0095697F" w:rsidRPr="00AD5F47" w:rsidRDefault="0095697F" w:rsidP="00A47A7E">
            <w:pPr>
              <w:rPr>
                <w:color w:val="000000"/>
                <w:sz w:val="20"/>
              </w:rPr>
            </w:pPr>
            <w:r w:rsidRPr="00AD5F47">
              <w:rPr>
                <w:color w:val="000000"/>
                <w:sz w:val="20"/>
              </w:rPr>
              <w:t>38|48</w:t>
            </w:r>
          </w:p>
        </w:tc>
        <w:tc>
          <w:tcPr>
            <w:tcW w:w="613" w:type="pct"/>
            <w:tcBorders>
              <w:top w:val="nil"/>
              <w:left w:val="nil"/>
              <w:bottom w:val="nil"/>
              <w:right w:val="nil"/>
            </w:tcBorders>
            <w:shd w:val="clear" w:color="auto" w:fill="auto"/>
            <w:noWrap/>
            <w:hideMark/>
          </w:tcPr>
          <w:p w14:paraId="36BFA1FB" w14:textId="218B391B"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{"citationItems":[{"id":"ITEM-1","itemData":{"DOI":"10.1038/s41558-020-00937-z","ISSN":"1758-678X","abstract":"The ports sector is critical to global transport and trade. Climate change may compromise port operations, resulting in an increase in operational shutdowns and subsequent economic losses. Here, we present an analysis of historical global risk across the operations of 2,013 ports worldwide and the impacts under a high-end warming scenario, considering atmospheric and marine hazards, industry established operational thresholds, exposure and vulnerability. Increased coastal flooding and overtopping due to sea level rise, as well as the heat stress impacts of higher temperatures, are the main contributors to amplified risk. Ports located in the Pacific Islands, Caribbean Sea and Indian Ocean appear to be at extremely high risk by 2100, whereas those in the African Mediterranean and the Arabian Peninsula (Persian Gulf and Red Sea) are expected to experience very high risk. Estimating risks at the global scale cannot capture site-level details, but these results provide a benchmark for further research and decision-making.","author":[{"dropping-particle":"","family":"Izaguirre","given":"C.","non-dropping-particle":"","parse-names":false,"suffix":""},{"dropping-particle":"","family":"Losada","given":"I. J.","non-dropping-particle":"","parse-names":false,"suffix":""},{"dropping-particle":"","family":"Camus","given":"P.","non-dropping-particle":"","parse-names":false,"suffix":""},{"dropping-particle":"","family":"Vigh","given":"J. L.","non-dropping-particle":"","parse-names":false,"suffix":""},{"dropping-particle":"","family":"Stenek","given":"V.","non-dropping-particle":"","parse-names":false,"suffix":""}],"container-title":"Nature Climate Change","id":"ITEM-1","issue":"1","issued":{"date-parts":[["2021","1","9"]]},"page":"14-20","publisher":"Springer US","title":"Climate change risk to global port operations","type":"article-journal","volume":"11"},"uris":["http://www.mendeley.com/documents/?uuid=89225555-4124-4c51-b36d-fba868438aa0"]}],"mendeley":{"formattedCitation":"&lt;sup&gt;4&lt;/sup&gt;","plainTextFormattedCitation":"4","previouslyFormattedCitation":"(&lt;i&gt;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4</w:t>
            </w:r>
            <w:r w:rsidRPr="00AD5F47">
              <w:rPr>
                <w:color w:val="000000"/>
                <w:sz w:val="20"/>
              </w:rPr>
              <w:fldChar w:fldCharType="end"/>
            </w:r>
            <w:r w:rsidRPr="00AD5F47">
              <w:rPr>
                <w:color w:val="000000"/>
                <w:sz w:val="20"/>
              </w:rPr>
              <w:t>, Expert Judgment</w:t>
            </w:r>
          </w:p>
        </w:tc>
      </w:tr>
      <w:tr w:rsidR="0095697F" w:rsidRPr="00AD5F47" w14:paraId="5CE1D3AB" w14:textId="77777777" w:rsidTr="00A47A7E">
        <w:trPr>
          <w:trHeight w:val="227"/>
        </w:trPr>
        <w:tc>
          <w:tcPr>
            <w:tcW w:w="510" w:type="pct"/>
            <w:tcBorders>
              <w:top w:val="nil"/>
              <w:left w:val="nil"/>
              <w:bottom w:val="nil"/>
              <w:right w:val="nil"/>
            </w:tcBorders>
            <w:shd w:val="clear" w:color="auto" w:fill="auto"/>
            <w:noWrap/>
            <w:hideMark/>
          </w:tcPr>
          <w:p w14:paraId="0B6B8961"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3781FA39" w14:textId="77777777" w:rsidR="0095697F" w:rsidRPr="00AD5F47" w:rsidRDefault="0095697F" w:rsidP="00A47A7E">
            <w:pPr>
              <w:rPr>
                <w:color w:val="000000"/>
                <w:sz w:val="20"/>
              </w:rPr>
            </w:pPr>
            <w:r w:rsidRPr="00AD5F47">
              <w:rPr>
                <w:color w:val="000000"/>
                <w:sz w:val="20"/>
              </w:rPr>
              <w:t>Wind speed threshold</w:t>
            </w:r>
          </w:p>
        </w:tc>
        <w:tc>
          <w:tcPr>
            <w:tcW w:w="1837" w:type="pct"/>
            <w:tcBorders>
              <w:top w:val="nil"/>
              <w:left w:val="nil"/>
              <w:bottom w:val="nil"/>
              <w:right w:val="nil"/>
            </w:tcBorders>
            <w:shd w:val="clear" w:color="auto" w:fill="auto"/>
            <w:noWrap/>
            <w:hideMark/>
          </w:tcPr>
          <w:p w14:paraId="10692817" w14:textId="77777777" w:rsidR="0095697F" w:rsidRPr="00AD5F47" w:rsidRDefault="0095697F" w:rsidP="00A47A7E">
            <w:pPr>
              <w:rPr>
                <w:color w:val="000000"/>
                <w:sz w:val="20"/>
              </w:rPr>
            </w:pPr>
            <w:r w:rsidRPr="00AD5F47">
              <w:rPr>
                <w:color w:val="000000"/>
                <w:sz w:val="20"/>
              </w:rPr>
              <w:t>The wind speed empirical function used</w:t>
            </w:r>
          </w:p>
        </w:tc>
        <w:tc>
          <w:tcPr>
            <w:tcW w:w="407" w:type="pct"/>
            <w:tcBorders>
              <w:top w:val="nil"/>
              <w:left w:val="nil"/>
              <w:bottom w:val="nil"/>
              <w:right w:val="nil"/>
            </w:tcBorders>
            <w:shd w:val="clear" w:color="auto" w:fill="auto"/>
            <w:noWrap/>
            <w:hideMark/>
          </w:tcPr>
          <w:p w14:paraId="2D33A37E" w14:textId="77777777" w:rsidR="0095697F" w:rsidRPr="00AD5F47" w:rsidRDefault="0095697F" w:rsidP="00A47A7E">
            <w:pPr>
              <w:rPr>
                <w:color w:val="000000"/>
                <w:sz w:val="20"/>
              </w:rPr>
            </w:pPr>
            <w:r w:rsidRPr="00AD5F47">
              <w:rPr>
                <w:color w:val="000000"/>
                <w:sz w:val="20"/>
              </w:rPr>
              <w:t>17</w:t>
            </w:r>
          </w:p>
        </w:tc>
        <w:tc>
          <w:tcPr>
            <w:tcW w:w="306" w:type="pct"/>
            <w:tcBorders>
              <w:top w:val="nil"/>
              <w:left w:val="nil"/>
              <w:bottom w:val="nil"/>
              <w:right w:val="nil"/>
            </w:tcBorders>
            <w:shd w:val="clear" w:color="auto" w:fill="auto"/>
            <w:noWrap/>
            <w:hideMark/>
          </w:tcPr>
          <w:p w14:paraId="3113E7E6" w14:textId="77777777" w:rsidR="0095697F" w:rsidRPr="00AD5F47" w:rsidRDefault="0095697F" w:rsidP="00A47A7E">
            <w:pPr>
              <w:rPr>
                <w:color w:val="000000"/>
                <w:sz w:val="20"/>
              </w:rPr>
            </w:pPr>
            <w:r w:rsidRPr="00AD5F47">
              <w:rPr>
                <w:color w:val="000000"/>
                <w:sz w:val="20"/>
              </w:rPr>
              <w:t>13</w:t>
            </w:r>
          </w:p>
        </w:tc>
        <w:tc>
          <w:tcPr>
            <w:tcW w:w="306" w:type="pct"/>
            <w:tcBorders>
              <w:top w:val="nil"/>
              <w:left w:val="nil"/>
              <w:bottom w:val="nil"/>
              <w:right w:val="nil"/>
            </w:tcBorders>
            <w:shd w:val="clear" w:color="auto" w:fill="auto"/>
            <w:noWrap/>
            <w:hideMark/>
          </w:tcPr>
          <w:p w14:paraId="63B43533" w14:textId="77777777" w:rsidR="0095697F" w:rsidRPr="00AD5F47" w:rsidRDefault="0095697F" w:rsidP="00A47A7E">
            <w:pPr>
              <w:rPr>
                <w:color w:val="000000"/>
                <w:sz w:val="20"/>
              </w:rPr>
            </w:pPr>
            <w:r w:rsidRPr="00AD5F47">
              <w:rPr>
                <w:color w:val="000000"/>
                <w:sz w:val="20"/>
              </w:rPr>
              <w:t>21</w:t>
            </w:r>
          </w:p>
        </w:tc>
        <w:tc>
          <w:tcPr>
            <w:tcW w:w="613" w:type="pct"/>
            <w:tcBorders>
              <w:top w:val="nil"/>
              <w:left w:val="nil"/>
              <w:bottom w:val="nil"/>
              <w:right w:val="nil"/>
            </w:tcBorders>
            <w:shd w:val="clear" w:color="auto" w:fill="auto"/>
            <w:noWrap/>
            <w:hideMark/>
          </w:tcPr>
          <w:p w14:paraId="1369CCC8" w14:textId="68D86B47"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{"citationItems":[{"id":"ITEM-1","itemData":{"DOI":"10.1038/s41558-020-00937-z","ISSN":"1758-678X","abstract":"The ports sector is critical to global transport and trade. Climate change may compromise port operations, resulting in an increase in operational shutdowns and subsequent economic losses. Here, we present an analysis of historical global risk across the operations of 2,013 ports worldwide and the impacts under a high-end warming scenario, considering atmospheric and marine hazards, industry established operational thresholds, exposure and vulnerability. Increased coastal flooding and overtopping due to sea level rise, as well as the heat stress impacts of higher temperatures, are the main contributors to amplified risk. Ports located in the Pacific Islands, Caribbean Sea and Indian Ocean appear to be at extremely high risk by 2100, whereas those in the African Mediterranean and the Arabian Peninsula (Persian Gulf and Red Sea) are expected to experience very high risk. Estimating risks at the global scale cannot capture site-level details, but these results provide a benchmark for further research and decision-making.","author":[{"dropping-particle":"","family":"Izaguirre","given":"C.","non-dropping-particle":"","parse-names":false,"suffix":""},{"dropping-particle":"","family":"Losada","given":"I. J.","non-dropping-particle":"","parse-names":false,"suffix":""},{"dropping-particle":"","family":"Camus","given":"P.","non-dropping-particle":"","parse-names":false,"suffix":""},{"dropping-particle":"","family":"Vigh","given":"J. L.","non-dropping-particle":"","parse-names":false,"suffix":""},{"dropping-particle":"","family":"Stenek","given":"V.","non-dropping-particle":"","parse-names":false,"suffix":""}],"container-title":"Nature Climate Change","id":"ITEM-1","issue":"1","issued":{"date-parts":[["2021","1","9"]]},"page":"14-20","publisher":"Springer US","title":"Climate change risk to global port operations","type":"article-journal","volume":"11"},"uris":["http://www.mendeley.com/documents/?uuid=89225555-4124-4c51-b36d-fba868438aa0"]}],"mendeley":{"formattedCitation":"&lt;sup&gt;4&lt;/sup&gt;","plainTextFormattedCitation":"4","previouslyFormattedCitation":"(&lt;i&gt;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4</w:t>
            </w:r>
            <w:r w:rsidRPr="00AD5F47">
              <w:rPr>
                <w:color w:val="000000"/>
                <w:sz w:val="20"/>
              </w:rPr>
              <w:fldChar w:fldCharType="end"/>
            </w:r>
            <w:r w:rsidRPr="00AD5F47">
              <w:rPr>
                <w:color w:val="000000"/>
                <w:sz w:val="20"/>
              </w:rPr>
              <w:t>, Expert Judgment</w:t>
            </w:r>
          </w:p>
        </w:tc>
      </w:tr>
      <w:tr w:rsidR="0095697F" w:rsidRPr="00AD5F47" w14:paraId="329A8EAD" w14:textId="77777777" w:rsidTr="00A47A7E">
        <w:trPr>
          <w:trHeight w:val="227"/>
        </w:trPr>
        <w:tc>
          <w:tcPr>
            <w:tcW w:w="510" w:type="pct"/>
            <w:tcBorders>
              <w:top w:val="nil"/>
              <w:left w:val="nil"/>
              <w:bottom w:val="nil"/>
              <w:right w:val="nil"/>
            </w:tcBorders>
            <w:shd w:val="clear" w:color="auto" w:fill="auto"/>
            <w:noWrap/>
            <w:hideMark/>
          </w:tcPr>
          <w:p w14:paraId="5E823E1B"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45957CBB" w14:textId="77777777" w:rsidR="0095697F" w:rsidRPr="00AD5F47" w:rsidRDefault="0095697F" w:rsidP="00A47A7E">
            <w:pPr>
              <w:rPr>
                <w:color w:val="000000"/>
                <w:sz w:val="20"/>
              </w:rPr>
            </w:pPr>
            <w:r w:rsidRPr="00AD5F47">
              <w:rPr>
                <w:color w:val="000000"/>
                <w:sz w:val="20"/>
              </w:rPr>
              <w:t>Overtopping threshold</w:t>
            </w:r>
          </w:p>
        </w:tc>
        <w:tc>
          <w:tcPr>
            <w:tcW w:w="1837" w:type="pct"/>
            <w:tcBorders>
              <w:top w:val="nil"/>
              <w:left w:val="nil"/>
              <w:bottom w:val="nil"/>
              <w:right w:val="nil"/>
            </w:tcBorders>
            <w:shd w:val="clear" w:color="auto" w:fill="auto"/>
            <w:noWrap/>
            <w:hideMark/>
          </w:tcPr>
          <w:p w14:paraId="12DEF37E" w14:textId="77777777" w:rsidR="0095697F" w:rsidRPr="00AD5F47" w:rsidRDefault="0095697F" w:rsidP="00A47A7E">
            <w:pPr>
              <w:rPr>
                <w:color w:val="000000"/>
                <w:sz w:val="20"/>
              </w:rPr>
            </w:pPr>
            <w:r w:rsidRPr="00AD5F47">
              <w:rPr>
                <w:color w:val="000000"/>
                <w:sz w:val="20"/>
              </w:rPr>
              <w:t>The overtopping threshold used (l/s/m) (coastal breakwater | seawall)</w:t>
            </w:r>
          </w:p>
        </w:tc>
        <w:tc>
          <w:tcPr>
            <w:tcW w:w="407" w:type="pct"/>
            <w:tcBorders>
              <w:top w:val="nil"/>
              <w:left w:val="nil"/>
              <w:bottom w:val="nil"/>
              <w:right w:val="nil"/>
            </w:tcBorders>
            <w:shd w:val="clear" w:color="auto" w:fill="auto"/>
            <w:noWrap/>
            <w:hideMark/>
          </w:tcPr>
          <w:p w14:paraId="0E2FEF49" w14:textId="77777777" w:rsidR="0095697F" w:rsidRPr="00AD5F47" w:rsidRDefault="0095697F" w:rsidP="00A47A7E">
            <w:pPr>
              <w:rPr>
                <w:color w:val="000000"/>
                <w:sz w:val="20"/>
              </w:rPr>
            </w:pPr>
            <w:r w:rsidRPr="00AD5F47">
              <w:rPr>
                <w:color w:val="000000"/>
                <w:sz w:val="20"/>
              </w:rPr>
              <w:t>1.0|0.4</w:t>
            </w:r>
          </w:p>
        </w:tc>
        <w:tc>
          <w:tcPr>
            <w:tcW w:w="306" w:type="pct"/>
            <w:tcBorders>
              <w:top w:val="nil"/>
              <w:left w:val="nil"/>
              <w:bottom w:val="nil"/>
              <w:right w:val="nil"/>
            </w:tcBorders>
            <w:shd w:val="clear" w:color="auto" w:fill="auto"/>
            <w:noWrap/>
            <w:hideMark/>
          </w:tcPr>
          <w:p w14:paraId="5FFB7412"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4CA0CB5A"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4FA61C5A" w14:textId="2A74188F"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{"citationItems":[{"id":"ITEM-1","itemData":{"abstract":"This Overtopping Manual gives guidance on analysis and/or prediction of wave overtopping for flood defences attacked by wave action. It is primarily, but not exclusively, intended to assist government, agencies, businesses and specialist advisors &amp; consultants concerned with reducing flood risk. Methods and guidance described in the manual may also be helpful to designers or operators of breakwaters, reclamations, or inland lakes or reservoirs.","author":[{"dropping-particle":"","family":"EurOtop","given":"","non-dropping-particle":"","parse-names":false,"suffix":""}],"id":"ITEM-1","issued":{"date-parts":[["2018"]]},"number-of-pages":"320","title":"Manual on wave overtopping of sea defences and related structures. An overtopping manual largely based on European research, but for worldwide application.","type":"report"},"uris":["http://www.mendeley.com/documents/?uuid=9b7284bf-078f-472b-83aa-55ec246f27bf"]}],"mendeley":{"formattedCitation":"&lt;sup&gt;11&lt;/sup&gt;","plainTextFormattedCitation":"11","previouslyFormattedCitation":"(&lt;i&gt;11&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11</w:t>
            </w:r>
            <w:r w:rsidRPr="00AD5F47">
              <w:rPr>
                <w:color w:val="000000"/>
                <w:sz w:val="20"/>
              </w:rPr>
              <w:fldChar w:fldCharType="end"/>
            </w:r>
          </w:p>
        </w:tc>
      </w:tr>
      <w:tr w:rsidR="0095697F" w:rsidRPr="00AD5F47" w14:paraId="51CEDA0E" w14:textId="77777777" w:rsidTr="00A47A7E">
        <w:trPr>
          <w:trHeight w:val="227"/>
        </w:trPr>
        <w:tc>
          <w:tcPr>
            <w:tcW w:w="510" w:type="pct"/>
            <w:tcBorders>
              <w:top w:val="nil"/>
              <w:left w:val="nil"/>
              <w:bottom w:val="nil"/>
              <w:right w:val="nil"/>
            </w:tcBorders>
            <w:shd w:val="clear" w:color="auto" w:fill="auto"/>
            <w:noWrap/>
            <w:hideMark/>
          </w:tcPr>
          <w:p w14:paraId="6E603E7D"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7D4A31B9" w14:textId="77777777" w:rsidR="0095697F" w:rsidRPr="00AD5F47" w:rsidRDefault="0095697F" w:rsidP="00A47A7E">
            <w:pPr>
              <w:rPr>
                <w:color w:val="000000"/>
                <w:sz w:val="20"/>
              </w:rPr>
            </w:pPr>
            <w:r w:rsidRPr="00AD5F47">
              <w:rPr>
                <w:color w:val="000000"/>
                <w:sz w:val="20"/>
              </w:rPr>
              <w:t>Breakwater design</w:t>
            </w:r>
          </w:p>
        </w:tc>
        <w:tc>
          <w:tcPr>
            <w:tcW w:w="1837" w:type="pct"/>
            <w:tcBorders>
              <w:top w:val="nil"/>
              <w:left w:val="nil"/>
              <w:bottom w:val="nil"/>
              <w:right w:val="nil"/>
            </w:tcBorders>
            <w:shd w:val="clear" w:color="auto" w:fill="auto"/>
            <w:noWrap/>
            <w:hideMark/>
          </w:tcPr>
          <w:p w14:paraId="22629133" w14:textId="77777777" w:rsidR="0095697F" w:rsidRPr="00AD5F47" w:rsidRDefault="0095697F" w:rsidP="00A47A7E">
            <w:pPr>
              <w:rPr>
                <w:color w:val="000000"/>
                <w:sz w:val="20"/>
              </w:rPr>
            </w:pPr>
            <w:r w:rsidRPr="00AD5F47">
              <w:rPr>
                <w:color w:val="000000"/>
                <w:sz w:val="20"/>
              </w:rPr>
              <w:t>The design breakwater conditions</w:t>
            </w:r>
          </w:p>
        </w:tc>
        <w:tc>
          <w:tcPr>
            <w:tcW w:w="407" w:type="pct"/>
            <w:tcBorders>
              <w:top w:val="nil"/>
              <w:left w:val="nil"/>
              <w:bottom w:val="nil"/>
              <w:right w:val="nil"/>
            </w:tcBorders>
            <w:shd w:val="clear" w:color="auto" w:fill="auto"/>
            <w:noWrap/>
            <w:hideMark/>
          </w:tcPr>
          <w:p w14:paraId="3A692945" w14:textId="77777777" w:rsidR="0095697F" w:rsidRPr="00AD5F47" w:rsidRDefault="0095697F" w:rsidP="00A47A7E">
            <w:pPr>
              <w:rPr>
                <w:color w:val="000000"/>
                <w:sz w:val="20"/>
              </w:rPr>
            </w:pPr>
            <w:r w:rsidRPr="00AD5F47">
              <w:rPr>
                <w:color w:val="000000"/>
                <w:sz w:val="20"/>
              </w:rPr>
              <w:t>1</w:t>
            </w:r>
          </w:p>
        </w:tc>
        <w:tc>
          <w:tcPr>
            <w:tcW w:w="306" w:type="pct"/>
            <w:tcBorders>
              <w:top w:val="nil"/>
              <w:left w:val="nil"/>
              <w:bottom w:val="nil"/>
              <w:right w:val="nil"/>
            </w:tcBorders>
            <w:shd w:val="clear" w:color="auto" w:fill="auto"/>
            <w:noWrap/>
            <w:hideMark/>
          </w:tcPr>
          <w:p w14:paraId="6F610A70" w14:textId="77777777" w:rsidR="0095697F" w:rsidRPr="00AD5F47" w:rsidRDefault="0095697F" w:rsidP="00A47A7E">
            <w:pPr>
              <w:rPr>
                <w:color w:val="000000"/>
                <w:sz w:val="20"/>
              </w:rPr>
            </w:pPr>
            <w:r w:rsidRPr="00AD5F47">
              <w:rPr>
                <w:color w:val="000000"/>
                <w:sz w:val="20"/>
              </w:rPr>
              <w:t>0.5</w:t>
            </w:r>
          </w:p>
        </w:tc>
        <w:tc>
          <w:tcPr>
            <w:tcW w:w="306" w:type="pct"/>
            <w:tcBorders>
              <w:top w:val="nil"/>
              <w:left w:val="nil"/>
              <w:bottom w:val="nil"/>
              <w:right w:val="nil"/>
            </w:tcBorders>
            <w:shd w:val="clear" w:color="auto" w:fill="auto"/>
            <w:noWrap/>
            <w:hideMark/>
          </w:tcPr>
          <w:p w14:paraId="78DA6ABD" w14:textId="77777777" w:rsidR="0095697F" w:rsidRPr="00AD5F47" w:rsidRDefault="0095697F" w:rsidP="00A47A7E">
            <w:pPr>
              <w:rPr>
                <w:color w:val="000000"/>
                <w:sz w:val="20"/>
              </w:rPr>
            </w:pPr>
            <w:r w:rsidRPr="00AD5F47">
              <w:rPr>
                <w:color w:val="000000"/>
                <w:sz w:val="20"/>
              </w:rPr>
              <w:t>1.5</w:t>
            </w:r>
          </w:p>
        </w:tc>
        <w:tc>
          <w:tcPr>
            <w:tcW w:w="613" w:type="pct"/>
            <w:tcBorders>
              <w:top w:val="nil"/>
              <w:left w:val="nil"/>
              <w:bottom w:val="nil"/>
              <w:right w:val="nil"/>
            </w:tcBorders>
            <w:shd w:val="clear" w:color="auto" w:fill="auto"/>
            <w:noWrap/>
            <w:hideMark/>
          </w:tcPr>
          <w:p w14:paraId="6E3DBED5" w14:textId="77777777" w:rsidR="0095697F" w:rsidRPr="00AD5F47" w:rsidRDefault="0095697F" w:rsidP="00A47A7E">
            <w:pPr>
              <w:rPr>
                <w:color w:val="000000"/>
                <w:sz w:val="20"/>
              </w:rPr>
            </w:pPr>
            <w:r w:rsidRPr="00AD5F47">
              <w:rPr>
                <w:color w:val="000000"/>
                <w:sz w:val="20"/>
              </w:rPr>
              <w:t>Expert judgment</w:t>
            </w:r>
          </w:p>
        </w:tc>
      </w:tr>
      <w:tr w:rsidR="0095697F" w:rsidRPr="00AD5F47" w14:paraId="6DF13B89" w14:textId="77777777" w:rsidTr="00A47A7E">
        <w:trPr>
          <w:trHeight w:val="227"/>
        </w:trPr>
        <w:tc>
          <w:tcPr>
            <w:tcW w:w="510" w:type="pct"/>
            <w:tcBorders>
              <w:top w:val="nil"/>
              <w:left w:val="nil"/>
              <w:bottom w:val="single" w:sz="4" w:space="0" w:color="auto"/>
              <w:right w:val="nil"/>
            </w:tcBorders>
            <w:shd w:val="clear" w:color="auto" w:fill="auto"/>
            <w:noWrap/>
            <w:hideMark/>
          </w:tcPr>
          <w:p w14:paraId="07901B7D" w14:textId="77777777" w:rsidR="0095697F" w:rsidRPr="00AD5F47" w:rsidRDefault="0095697F" w:rsidP="00A47A7E">
            <w:pPr>
              <w:rPr>
                <w:color w:val="000000"/>
                <w:sz w:val="20"/>
              </w:rPr>
            </w:pPr>
            <w:r w:rsidRPr="00AD5F47">
              <w:rPr>
                <w:color w:val="000000"/>
                <w:sz w:val="20"/>
              </w:rPr>
              <w:t> </w:t>
            </w:r>
          </w:p>
        </w:tc>
        <w:tc>
          <w:tcPr>
            <w:tcW w:w="1021" w:type="pct"/>
            <w:tcBorders>
              <w:top w:val="nil"/>
              <w:left w:val="nil"/>
              <w:bottom w:val="single" w:sz="4" w:space="0" w:color="auto"/>
              <w:right w:val="nil"/>
            </w:tcBorders>
            <w:shd w:val="clear" w:color="auto" w:fill="auto"/>
            <w:noWrap/>
            <w:hideMark/>
          </w:tcPr>
          <w:p w14:paraId="3E7B3A11" w14:textId="77777777" w:rsidR="0095697F" w:rsidRPr="00AD5F47" w:rsidRDefault="0095697F" w:rsidP="00A47A7E">
            <w:pPr>
              <w:rPr>
                <w:color w:val="000000"/>
                <w:sz w:val="20"/>
              </w:rPr>
            </w:pPr>
            <w:r w:rsidRPr="00AD5F47">
              <w:rPr>
                <w:color w:val="000000"/>
                <w:sz w:val="20"/>
              </w:rPr>
              <w:t>Design wave height breakwater</w:t>
            </w:r>
          </w:p>
        </w:tc>
        <w:tc>
          <w:tcPr>
            <w:tcW w:w="1837" w:type="pct"/>
            <w:tcBorders>
              <w:top w:val="nil"/>
              <w:left w:val="nil"/>
              <w:bottom w:val="single" w:sz="4" w:space="0" w:color="auto"/>
              <w:right w:val="nil"/>
            </w:tcBorders>
            <w:shd w:val="clear" w:color="auto" w:fill="auto"/>
            <w:noWrap/>
            <w:hideMark/>
          </w:tcPr>
          <w:p w14:paraId="186F65BC" w14:textId="77777777" w:rsidR="0095697F" w:rsidRPr="00AD5F47" w:rsidRDefault="0095697F" w:rsidP="00A47A7E">
            <w:pPr>
              <w:rPr>
                <w:color w:val="000000"/>
                <w:sz w:val="20"/>
              </w:rPr>
            </w:pPr>
            <w:r w:rsidRPr="00AD5F47">
              <w:rPr>
                <w:color w:val="000000"/>
                <w:sz w:val="20"/>
              </w:rPr>
              <w:t>The design wave height return period for breakwater design (years)</w:t>
            </w:r>
          </w:p>
        </w:tc>
        <w:tc>
          <w:tcPr>
            <w:tcW w:w="407" w:type="pct"/>
            <w:tcBorders>
              <w:top w:val="nil"/>
              <w:left w:val="nil"/>
              <w:bottom w:val="single" w:sz="4" w:space="0" w:color="auto"/>
              <w:right w:val="nil"/>
            </w:tcBorders>
            <w:shd w:val="clear" w:color="auto" w:fill="auto"/>
            <w:noWrap/>
            <w:hideMark/>
          </w:tcPr>
          <w:p w14:paraId="049EA2AF" w14:textId="77777777" w:rsidR="0095697F" w:rsidRPr="00AD5F47" w:rsidRDefault="0095697F" w:rsidP="00A47A7E">
            <w:pPr>
              <w:rPr>
                <w:color w:val="000000"/>
                <w:sz w:val="20"/>
              </w:rPr>
            </w:pPr>
            <w:r w:rsidRPr="00AD5F47">
              <w:rPr>
                <w:color w:val="000000"/>
                <w:sz w:val="20"/>
              </w:rPr>
              <w:t>475</w:t>
            </w:r>
          </w:p>
        </w:tc>
        <w:tc>
          <w:tcPr>
            <w:tcW w:w="306" w:type="pct"/>
            <w:tcBorders>
              <w:top w:val="nil"/>
              <w:left w:val="nil"/>
              <w:bottom w:val="single" w:sz="4" w:space="0" w:color="auto"/>
              <w:right w:val="nil"/>
            </w:tcBorders>
            <w:shd w:val="clear" w:color="auto" w:fill="auto"/>
            <w:noWrap/>
            <w:hideMark/>
          </w:tcPr>
          <w:p w14:paraId="54D3CEB1" w14:textId="77777777" w:rsidR="0095697F" w:rsidRPr="00AD5F47" w:rsidRDefault="0095697F" w:rsidP="00A47A7E">
            <w:pPr>
              <w:rPr>
                <w:color w:val="000000"/>
                <w:sz w:val="20"/>
              </w:rPr>
            </w:pPr>
            <w:r w:rsidRPr="00AD5F47">
              <w:rPr>
                <w:color w:val="000000"/>
                <w:sz w:val="20"/>
              </w:rPr>
              <w:t>100</w:t>
            </w:r>
          </w:p>
        </w:tc>
        <w:tc>
          <w:tcPr>
            <w:tcW w:w="306" w:type="pct"/>
            <w:tcBorders>
              <w:top w:val="nil"/>
              <w:left w:val="nil"/>
              <w:bottom w:val="single" w:sz="4" w:space="0" w:color="auto"/>
              <w:right w:val="nil"/>
            </w:tcBorders>
            <w:shd w:val="clear" w:color="auto" w:fill="auto"/>
            <w:noWrap/>
            <w:hideMark/>
          </w:tcPr>
          <w:p w14:paraId="5CAD4234" w14:textId="77777777" w:rsidR="0095697F" w:rsidRPr="00AD5F47" w:rsidRDefault="0095697F" w:rsidP="00A47A7E">
            <w:pPr>
              <w:rPr>
                <w:color w:val="000000"/>
                <w:sz w:val="20"/>
              </w:rPr>
            </w:pPr>
            <w:r w:rsidRPr="00AD5F47">
              <w:rPr>
                <w:color w:val="000000"/>
                <w:sz w:val="20"/>
              </w:rPr>
              <w:t>1000</w:t>
            </w:r>
          </w:p>
        </w:tc>
        <w:tc>
          <w:tcPr>
            <w:tcW w:w="613" w:type="pct"/>
            <w:tcBorders>
              <w:top w:val="nil"/>
              <w:left w:val="nil"/>
              <w:bottom w:val="single" w:sz="4" w:space="0" w:color="auto"/>
              <w:right w:val="nil"/>
            </w:tcBorders>
            <w:shd w:val="clear" w:color="auto" w:fill="auto"/>
            <w:noWrap/>
            <w:hideMark/>
          </w:tcPr>
          <w:p w14:paraId="7DD19FED" w14:textId="77777777" w:rsidR="0095697F" w:rsidRPr="00AD5F47" w:rsidRDefault="0095697F" w:rsidP="00A47A7E">
            <w:pPr>
              <w:rPr>
                <w:color w:val="000000"/>
                <w:sz w:val="20"/>
              </w:rPr>
            </w:pPr>
            <w:r w:rsidRPr="00AD5F47">
              <w:rPr>
                <w:color w:val="000000"/>
                <w:sz w:val="20"/>
              </w:rPr>
              <w:t>Expert Judgment</w:t>
            </w:r>
          </w:p>
        </w:tc>
      </w:tr>
      <w:tr w:rsidR="0095697F" w:rsidRPr="00AD5F47" w14:paraId="63F1D6AB" w14:textId="77777777" w:rsidTr="00A47A7E">
        <w:trPr>
          <w:trHeight w:val="227"/>
        </w:trPr>
        <w:tc>
          <w:tcPr>
            <w:tcW w:w="510" w:type="pct"/>
            <w:tcBorders>
              <w:top w:val="nil"/>
              <w:left w:val="nil"/>
              <w:bottom w:val="single" w:sz="4" w:space="0" w:color="auto"/>
              <w:right w:val="nil"/>
            </w:tcBorders>
            <w:shd w:val="clear" w:color="auto" w:fill="auto"/>
            <w:noWrap/>
            <w:hideMark/>
          </w:tcPr>
          <w:p w14:paraId="5A85DB19" w14:textId="77777777" w:rsidR="0095697F" w:rsidRPr="00AD5F47" w:rsidRDefault="0095697F" w:rsidP="00A47A7E">
            <w:pPr>
              <w:rPr>
                <w:color w:val="000000"/>
                <w:sz w:val="20"/>
              </w:rPr>
            </w:pPr>
            <w:r w:rsidRPr="00AD5F47">
              <w:rPr>
                <w:color w:val="000000"/>
                <w:sz w:val="20"/>
              </w:rPr>
              <w:t>Equipment</w:t>
            </w:r>
          </w:p>
        </w:tc>
        <w:tc>
          <w:tcPr>
            <w:tcW w:w="1021" w:type="pct"/>
            <w:tcBorders>
              <w:top w:val="nil"/>
              <w:left w:val="nil"/>
              <w:bottom w:val="single" w:sz="4" w:space="0" w:color="auto"/>
              <w:right w:val="nil"/>
            </w:tcBorders>
            <w:shd w:val="clear" w:color="auto" w:fill="auto"/>
            <w:noWrap/>
            <w:hideMark/>
          </w:tcPr>
          <w:p w14:paraId="5C333050" w14:textId="77777777" w:rsidR="0095697F" w:rsidRPr="00AD5F47" w:rsidRDefault="0095697F" w:rsidP="00A47A7E">
            <w:pPr>
              <w:rPr>
                <w:color w:val="000000"/>
                <w:sz w:val="20"/>
              </w:rPr>
            </w:pPr>
            <w:r w:rsidRPr="00AD5F47">
              <w:rPr>
                <w:color w:val="000000"/>
                <w:sz w:val="20"/>
              </w:rPr>
              <w:t>Number of cranes</w:t>
            </w:r>
          </w:p>
        </w:tc>
        <w:tc>
          <w:tcPr>
            <w:tcW w:w="1837" w:type="pct"/>
            <w:tcBorders>
              <w:top w:val="nil"/>
              <w:left w:val="nil"/>
              <w:bottom w:val="single" w:sz="4" w:space="0" w:color="auto"/>
              <w:right w:val="nil"/>
            </w:tcBorders>
            <w:shd w:val="clear" w:color="auto" w:fill="auto"/>
            <w:noWrap/>
            <w:hideMark/>
          </w:tcPr>
          <w:p w14:paraId="32D14BEC" w14:textId="77777777" w:rsidR="0095697F" w:rsidRPr="00AD5F47" w:rsidRDefault="0095697F" w:rsidP="00A47A7E">
            <w:pPr>
              <w:rPr>
                <w:color w:val="000000"/>
                <w:sz w:val="20"/>
              </w:rPr>
            </w:pPr>
            <w:r w:rsidRPr="00AD5F47">
              <w:rPr>
                <w:color w:val="000000"/>
                <w:sz w:val="20"/>
              </w:rPr>
              <w:t>Number of cranes on a container terminal per vessel</w:t>
            </w:r>
          </w:p>
        </w:tc>
        <w:tc>
          <w:tcPr>
            <w:tcW w:w="407" w:type="pct"/>
            <w:tcBorders>
              <w:top w:val="nil"/>
              <w:left w:val="nil"/>
              <w:bottom w:val="single" w:sz="4" w:space="0" w:color="auto"/>
              <w:right w:val="nil"/>
            </w:tcBorders>
            <w:shd w:val="clear" w:color="auto" w:fill="auto"/>
            <w:noWrap/>
            <w:hideMark/>
          </w:tcPr>
          <w:p w14:paraId="225A74ED" w14:textId="77777777" w:rsidR="0095697F" w:rsidRPr="00AD5F47" w:rsidRDefault="0095697F" w:rsidP="00A47A7E">
            <w:pPr>
              <w:rPr>
                <w:color w:val="000000"/>
                <w:sz w:val="20"/>
              </w:rPr>
            </w:pPr>
            <w:r w:rsidRPr="00AD5F47">
              <w:rPr>
                <w:color w:val="000000"/>
                <w:sz w:val="20"/>
              </w:rPr>
              <w:t>3</w:t>
            </w:r>
          </w:p>
        </w:tc>
        <w:tc>
          <w:tcPr>
            <w:tcW w:w="306" w:type="pct"/>
            <w:tcBorders>
              <w:top w:val="nil"/>
              <w:left w:val="nil"/>
              <w:bottom w:val="single" w:sz="4" w:space="0" w:color="auto"/>
              <w:right w:val="nil"/>
            </w:tcBorders>
            <w:shd w:val="clear" w:color="auto" w:fill="auto"/>
            <w:noWrap/>
            <w:hideMark/>
          </w:tcPr>
          <w:p w14:paraId="034479EC" w14:textId="77777777" w:rsidR="0095697F" w:rsidRPr="00AD5F47" w:rsidRDefault="0095697F" w:rsidP="00A47A7E">
            <w:pPr>
              <w:rPr>
                <w:color w:val="000000"/>
                <w:sz w:val="20"/>
              </w:rPr>
            </w:pPr>
            <w:r w:rsidRPr="00AD5F47">
              <w:rPr>
                <w:color w:val="000000"/>
                <w:sz w:val="20"/>
              </w:rPr>
              <w:t>2</w:t>
            </w:r>
          </w:p>
        </w:tc>
        <w:tc>
          <w:tcPr>
            <w:tcW w:w="306" w:type="pct"/>
            <w:tcBorders>
              <w:top w:val="nil"/>
              <w:left w:val="nil"/>
              <w:bottom w:val="single" w:sz="4" w:space="0" w:color="auto"/>
              <w:right w:val="nil"/>
            </w:tcBorders>
            <w:shd w:val="clear" w:color="auto" w:fill="auto"/>
            <w:noWrap/>
            <w:hideMark/>
          </w:tcPr>
          <w:p w14:paraId="750613B2" w14:textId="77777777" w:rsidR="0095697F" w:rsidRPr="00AD5F47" w:rsidRDefault="0095697F" w:rsidP="00A47A7E">
            <w:pPr>
              <w:rPr>
                <w:color w:val="000000"/>
                <w:sz w:val="20"/>
              </w:rPr>
            </w:pPr>
            <w:r w:rsidRPr="00AD5F47">
              <w:rPr>
                <w:color w:val="000000"/>
                <w:sz w:val="20"/>
              </w:rPr>
              <w:t>4</w:t>
            </w:r>
          </w:p>
        </w:tc>
        <w:tc>
          <w:tcPr>
            <w:tcW w:w="613" w:type="pct"/>
            <w:tcBorders>
              <w:top w:val="nil"/>
              <w:left w:val="nil"/>
              <w:bottom w:val="single" w:sz="4" w:space="0" w:color="auto"/>
              <w:right w:val="nil"/>
            </w:tcBorders>
            <w:shd w:val="clear" w:color="auto" w:fill="auto"/>
            <w:noWrap/>
            <w:hideMark/>
          </w:tcPr>
          <w:p w14:paraId="052E8004" w14:textId="77777777" w:rsidR="0095697F" w:rsidRPr="00AD5F47" w:rsidRDefault="0095697F" w:rsidP="00A47A7E">
            <w:pPr>
              <w:rPr>
                <w:color w:val="000000"/>
                <w:sz w:val="20"/>
              </w:rPr>
            </w:pPr>
            <w:r w:rsidRPr="00AD5F47">
              <w:rPr>
                <w:color w:val="000000"/>
                <w:sz w:val="20"/>
              </w:rPr>
              <w:t>Scaling relationship</w:t>
            </w:r>
          </w:p>
        </w:tc>
      </w:tr>
      <w:tr w:rsidR="0095697F" w:rsidRPr="00AD5F47" w14:paraId="413C7806" w14:textId="77777777" w:rsidTr="00A47A7E">
        <w:trPr>
          <w:trHeight w:val="227"/>
        </w:trPr>
        <w:tc>
          <w:tcPr>
            <w:tcW w:w="510" w:type="pct"/>
            <w:tcBorders>
              <w:top w:val="nil"/>
              <w:left w:val="nil"/>
              <w:bottom w:val="nil"/>
              <w:right w:val="nil"/>
            </w:tcBorders>
            <w:shd w:val="clear" w:color="auto" w:fill="auto"/>
            <w:noWrap/>
            <w:hideMark/>
          </w:tcPr>
          <w:p w14:paraId="4FC54752" w14:textId="77777777" w:rsidR="0095697F" w:rsidRPr="00AD5F47" w:rsidRDefault="0095697F" w:rsidP="00A47A7E">
            <w:pPr>
              <w:rPr>
                <w:color w:val="000000"/>
                <w:sz w:val="20"/>
              </w:rPr>
            </w:pPr>
            <w:r w:rsidRPr="00AD5F47">
              <w:rPr>
                <w:color w:val="000000"/>
                <w:sz w:val="20"/>
              </w:rPr>
              <w:t>Cost scaling</w:t>
            </w:r>
          </w:p>
        </w:tc>
        <w:tc>
          <w:tcPr>
            <w:tcW w:w="1021" w:type="pct"/>
            <w:tcBorders>
              <w:top w:val="nil"/>
              <w:left w:val="nil"/>
              <w:bottom w:val="nil"/>
              <w:right w:val="nil"/>
            </w:tcBorders>
            <w:shd w:val="clear" w:color="auto" w:fill="auto"/>
            <w:noWrap/>
            <w:hideMark/>
          </w:tcPr>
          <w:p w14:paraId="5E4DEF87" w14:textId="77777777" w:rsidR="0095697F" w:rsidRPr="00AD5F47" w:rsidRDefault="0095697F" w:rsidP="00A47A7E">
            <w:pPr>
              <w:rPr>
                <w:color w:val="000000"/>
                <w:sz w:val="20"/>
              </w:rPr>
            </w:pPr>
            <w:r w:rsidRPr="00AD5F47">
              <w:rPr>
                <w:color w:val="000000"/>
                <w:sz w:val="20"/>
              </w:rPr>
              <w:t>Scaling factor Europe, North-America, Australia</w:t>
            </w:r>
          </w:p>
        </w:tc>
        <w:tc>
          <w:tcPr>
            <w:tcW w:w="1837" w:type="pct"/>
            <w:tcBorders>
              <w:top w:val="nil"/>
              <w:left w:val="nil"/>
              <w:bottom w:val="nil"/>
              <w:right w:val="nil"/>
            </w:tcBorders>
            <w:shd w:val="clear" w:color="auto" w:fill="auto"/>
            <w:noWrap/>
            <w:hideMark/>
          </w:tcPr>
          <w:p w14:paraId="6EEAE69B" w14:textId="77777777" w:rsidR="0095697F" w:rsidRPr="00AD5F47" w:rsidRDefault="0095697F" w:rsidP="00A47A7E">
            <w:pPr>
              <w:rPr>
                <w:color w:val="000000"/>
                <w:sz w:val="20"/>
              </w:rPr>
            </w:pPr>
            <w:r w:rsidRPr="00AD5F47">
              <w:rPr>
                <w:color w:val="000000"/>
                <w:sz w:val="20"/>
              </w:rPr>
              <w:t>The scaling factor applied for the port land-use damage values</w:t>
            </w:r>
          </w:p>
        </w:tc>
        <w:tc>
          <w:tcPr>
            <w:tcW w:w="407" w:type="pct"/>
            <w:tcBorders>
              <w:top w:val="nil"/>
              <w:left w:val="nil"/>
              <w:bottom w:val="nil"/>
              <w:right w:val="nil"/>
            </w:tcBorders>
            <w:shd w:val="clear" w:color="auto" w:fill="auto"/>
            <w:noWrap/>
            <w:hideMark/>
          </w:tcPr>
          <w:p w14:paraId="449DBCF9" w14:textId="77777777" w:rsidR="0095697F" w:rsidRPr="00AD5F47" w:rsidRDefault="0095697F" w:rsidP="00A47A7E">
            <w:pPr>
              <w:rPr>
                <w:color w:val="000000"/>
                <w:sz w:val="20"/>
              </w:rPr>
            </w:pPr>
            <w:r w:rsidRPr="00AD5F47">
              <w:rPr>
                <w:color w:val="000000"/>
                <w:sz w:val="20"/>
              </w:rPr>
              <w:t>1</w:t>
            </w:r>
          </w:p>
        </w:tc>
        <w:tc>
          <w:tcPr>
            <w:tcW w:w="306" w:type="pct"/>
            <w:tcBorders>
              <w:top w:val="nil"/>
              <w:left w:val="nil"/>
              <w:bottom w:val="nil"/>
              <w:right w:val="nil"/>
            </w:tcBorders>
            <w:shd w:val="clear" w:color="auto" w:fill="auto"/>
            <w:noWrap/>
            <w:hideMark/>
          </w:tcPr>
          <w:p w14:paraId="72676F40"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0523DF71"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4C3FA8D3" w14:textId="67E1A2ED" w:rsidR="0095697F" w:rsidRPr="00AD5F47" w:rsidRDefault="0095697F" w:rsidP="00A47A7E">
            <w:pPr>
              <w:rPr>
                <w:color w:val="000000"/>
                <w:sz w:val="20"/>
              </w:rPr>
            </w:pPr>
            <w:r w:rsidRPr="00AD5F47">
              <w:rPr>
                <w:color w:val="000000"/>
                <w:sz w:val="20"/>
              </w:rPr>
              <w:t xml:space="preserve">Expert judgment, </w:t>
            </w:r>
            <w:r w:rsidRPr="00AD5F47">
              <w:rPr>
                <w:color w:val="000000"/>
                <w:sz w:val="20"/>
              </w:rPr>
              <w:fldChar w:fldCharType="begin" w:fldLock="1"/>
            </w:r>
            <w:r w:rsidR="00902ED9">
              <w:rPr>
                <w:color w:val="000000"/>
                <w:sz w:val="20"/>
              </w:rPr>
              <w:instrText>ADDIN CSL_CITATION {"citationItems":[{"id":"ITEM-1","itemData":{"URL":"https://ppi.worldbank.org/en/snapshots/sector/ports","accessed":{"date-parts":[["2021","6","4"]]},"author":[{"dropping-particle":"","family":"World Bank","given":"","non-dropping-particle":"","parse-names":false,"suffix":""}],"container-title":"Port Sector Snapshot","id":"ITEM-1","issued":{"date-parts":[["2021"]]},"title":"Private Participation in Infrastructure Database","type":"webpage"},"uris":["http://www.mendeley.com/documents/?uuid=d1e420f3-b11c-4025-b32d-6713daa46d80"]}],"mendeley":{"formattedCitation":"&lt;sup&gt;14&lt;/sup&gt;","plainTextFormattedCitation":"14","previouslyFormattedCitation":"(&lt;i&gt;14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w:t>
            </w:r>
            <w:r w:rsidRPr="00AD5F47">
              <w:rPr>
                <w:color w:val="000000"/>
                <w:sz w:val="20"/>
              </w:rPr>
              <w:fldChar w:fldCharType="end"/>
            </w:r>
          </w:p>
        </w:tc>
      </w:tr>
      <w:tr w:rsidR="0095697F" w:rsidRPr="00AD5F47" w14:paraId="1C94DE68" w14:textId="77777777" w:rsidTr="00A47A7E">
        <w:trPr>
          <w:trHeight w:val="227"/>
        </w:trPr>
        <w:tc>
          <w:tcPr>
            <w:tcW w:w="510" w:type="pct"/>
            <w:tcBorders>
              <w:top w:val="nil"/>
              <w:left w:val="nil"/>
              <w:bottom w:val="nil"/>
              <w:right w:val="nil"/>
            </w:tcBorders>
            <w:shd w:val="clear" w:color="auto" w:fill="auto"/>
            <w:noWrap/>
            <w:hideMark/>
          </w:tcPr>
          <w:p w14:paraId="47D5620F"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601FB828" w14:textId="77777777" w:rsidR="0095697F" w:rsidRPr="00AD5F47" w:rsidRDefault="0095697F" w:rsidP="00A47A7E">
            <w:pPr>
              <w:rPr>
                <w:color w:val="000000"/>
                <w:sz w:val="20"/>
              </w:rPr>
            </w:pPr>
            <w:r w:rsidRPr="00AD5F47">
              <w:rPr>
                <w:color w:val="000000"/>
                <w:sz w:val="20"/>
              </w:rPr>
              <w:t>Scaling factor Africa</w:t>
            </w:r>
          </w:p>
        </w:tc>
        <w:tc>
          <w:tcPr>
            <w:tcW w:w="1837" w:type="pct"/>
            <w:tcBorders>
              <w:top w:val="nil"/>
              <w:left w:val="nil"/>
              <w:bottom w:val="nil"/>
              <w:right w:val="nil"/>
            </w:tcBorders>
            <w:shd w:val="clear" w:color="auto" w:fill="auto"/>
            <w:noWrap/>
            <w:hideMark/>
          </w:tcPr>
          <w:p w14:paraId="3BE8C726" w14:textId="77777777" w:rsidR="0095697F" w:rsidRPr="00AD5F47" w:rsidRDefault="0095697F" w:rsidP="00A47A7E">
            <w:pPr>
              <w:rPr>
                <w:color w:val="000000"/>
                <w:sz w:val="20"/>
              </w:rPr>
            </w:pPr>
            <w:r w:rsidRPr="00AD5F47">
              <w:rPr>
                <w:color w:val="000000"/>
                <w:sz w:val="20"/>
              </w:rPr>
              <w:t>The scaling factor applied for the port land-use damage values</w:t>
            </w:r>
          </w:p>
        </w:tc>
        <w:tc>
          <w:tcPr>
            <w:tcW w:w="407" w:type="pct"/>
            <w:tcBorders>
              <w:top w:val="nil"/>
              <w:left w:val="nil"/>
              <w:bottom w:val="nil"/>
              <w:right w:val="nil"/>
            </w:tcBorders>
            <w:shd w:val="clear" w:color="auto" w:fill="auto"/>
            <w:noWrap/>
            <w:hideMark/>
          </w:tcPr>
          <w:p w14:paraId="6C2CD6DE" w14:textId="77777777" w:rsidR="0095697F" w:rsidRPr="00AD5F47" w:rsidRDefault="0095697F" w:rsidP="00A47A7E">
            <w:pPr>
              <w:rPr>
                <w:color w:val="000000"/>
                <w:sz w:val="20"/>
              </w:rPr>
            </w:pPr>
            <w:r w:rsidRPr="00AD5F47">
              <w:rPr>
                <w:color w:val="000000"/>
                <w:sz w:val="20"/>
              </w:rPr>
              <w:t>1.1</w:t>
            </w:r>
          </w:p>
        </w:tc>
        <w:tc>
          <w:tcPr>
            <w:tcW w:w="306" w:type="pct"/>
            <w:tcBorders>
              <w:top w:val="nil"/>
              <w:left w:val="nil"/>
              <w:bottom w:val="nil"/>
              <w:right w:val="nil"/>
            </w:tcBorders>
            <w:shd w:val="clear" w:color="auto" w:fill="auto"/>
            <w:noWrap/>
            <w:hideMark/>
          </w:tcPr>
          <w:p w14:paraId="0F3BE93B"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086F232D"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2AA5254E" w14:textId="5DA462BC" w:rsidR="0095697F" w:rsidRPr="00AD5F47" w:rsidRDefault="0095697F" w:rsidP="00A47A7E">
            <w:pPr>
              <w:rPr>
                <w:color w:val="000000"/>
                <w:sz w:val="20"/>
              </w:rPr>
            </w:pPr>
            <w:r w:rsidRPr="00AD5F47">
              <w:rPr>
                <w:color w:val="000000"/>
                <w:sz w:val="20"/>
              </w:rPr>
              <w:t xml:space="preserve">Expert judgment, </w:t>
            </w:r>
            <w:r w:rsidRPr="00AD5F47">
              <w:rPr>
                <w:color w:val="000000"/>
                <w:sz w:val="20"/>
              </w:rPr>
              <w:fldChar w:fldCharType="begin" w:fldLock="1"/>
            </w:r>
            <w:r w:rsidR="00902ED9">
              <w:rPr>
                <w:color w:val="000000"/>
                <w:sz w:val="20"/>
              </w:rPr>
              <w:instrText>ADDIN CSL_CITATION {"citationItems":[{"id":"ITEM-1","itemData":{"URL":"https://ppi.worldbank.org/en/snapshots/sector/ports","accessed":{"date-parts":[["2021","6","4"]]},"author":[{"dropping-particle":"","family":"World Bank","given":"","non-dropping-particle":"","parse-names":false,"suffix":""}],"container-title":"Port Sector Snapshot","id":"ITEM-1","issued":{"date-parts":[["2021"]]},"title":"Private Participation in Infrastructure Database","type":"webpage"},"uris":["http://www.mendeley.com/documents/?uuid=d1e420f3-b11c-4025-b32d-6713daa46d80"]}],"mendeley":{"formattedCitation":"&lt;sup&gt;14&lt;/sup&gt;","plainTextFormattedCitation":"14","previouslyFormattedCitation":"(&lt;i&gt;14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w:t>
            </w:r>
            <w:r w:rsidRPr="00AD5F47">
              <w:rPr>
                <w:color w:val="000000"/>
                <w:sz w:val="20"/>
              </w:rPr>
              <w:fldChar w:fldCharType="end"/>
            </w:r>
          </w:p>
        </w:tc>
      </w:tr>
      <w:tr w:rsidR="0095697F" w:rsidRPr="00AD5F47" w14:paraId="5943518F" w14:textId="77777777" w:rsidTr="00A47A7E">
        <w:trPr>
          <w:trHeight w:val="227"/>
        </w:trPr>
        <w:tc>
          <w:tcPr>
            <w:tcW w:w="510" w:type="pct"/>
            <w:tcBorders>
              <w:top w:val="nil"/>
              <w:left w:val="nil"/>
              <w:bottom w:val="nil"/>
              <w:right w:val="nil"/>
            </w:tcBorders>
            <w:shd w:val="clear" w:color="auto" w:fill="auto"/>
            <w:noWrap/>
            <w:hideMark/>
          </w:tcPr>
          <w:p w14:paraId="1624F0AF"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22322631" w14:textId="77777777" w:rsidR="0095697F" w:rsidRPr="00AD5F47" w:rsidRDefault="0095697F" w:rsidP="00A47A7E">
            <w:pPr>
              <w:rPr>
                <w:color w:val="000000"/>
                <w:sz w:val="20"/>
              </w:rPr>
            </w:pPr>
            <w:r w:rsidRPr="00AD5F47">
              <w:rPr>
                <w:color w:val="000000"/>
                <w:sz w:val="20"/>
              </w:rPr>
              <w:t>Scaling factor Middle-East</w:t>
            </w:r>
          </w:p>
        </w:tc>
        <w:tc>
          <w:tcPr>
            <w:tcW w:w="1837" w:type="pct"/>
            <w:tcBorders>
              <w:top w:val="nil"/>
              <w:left w:val="nil"/>
              <w:bottom w:val="nil"/>
              <w:right w:val="nil"/>
            </w:tcBorders>
            <w:shd w:val="clear" w:color="auto" w:fill="auto"/>
            <w:noWrap/>
            <w:hideMark/>
          </w:tcPr>
          <w:p w14:paraId="78EFFD9D" w14:textId="77777777" w:rsidR="0095697F" w:rsidRPr="00AD5F47" w:rsidRDefault="0095697F" w:rsidP="00A47A7E">
            <w:pPr>
              <w:rPr>
                <w:color w:val="000000"/>
                <w:sz w:val="20"/>
              </w:rPr>
            </w:pPr>
            <w:r w:rsidRPr="00AD5F47">
              <w:rPr>
                <w:color w:val="000000"/>
                <w:sz w:val="20"/>
              </w:rPr>
              <w:t>The scaling factor applied for the port land-use damage values</w:t>
            </w:r>
          </w:p>
        </w:tc>
        <w:tc>
          <w:tcPr>
            <w:tcW w:w="407" w:type="pct"/>
            <w:tcBorders>
              <w:top w:val="nil"/>
              <w:left w:val="nil"/>
              <w:bottom w:val="nil"/>
              <w:right w:val="nil"/>
            </w:tcBorders>
            <w:shd w:val="clear" w:color="auto" w:fill="auto"/>
            <w:noWrap/>
            <w:hideMark/>
          </w:tcPr>
          <w:p w14:paraId="29E16BBE" w14:textId="77777777" w:rsidR="0095697F" w:rsidRPr="00AD5F47" w:rsidRDefault="0095697F" w:rsidP="00A47A7E">
            <w:pPr>
              <w:rPr>
                <w:color w:val="000000"/>
                <w:sz w:val="20"/>
              </w:rPr>
            </w:pPr>
            <w:r w:rsidRPr="00AD5F47">
              <w:rPr>
                <w:color w:val="000000"/>
                <w:sz w:val="20"/>
              </w:rPr>
              <w:t>0.6</w:t>
            </w:r>
          </w:p>
        </w:tc>
        <w:tc>
          <w:tcPr>
            <w:tcW w:w="306" w:type="pct"/>
            <w:tcBorders>
              <w:top w:val="nil"/>
              <w:left w:val="nil"/>
              <w:bottom w:val="nil"/>
              <w:right w:val="nil"/>
            </w:tcBorders>
            <w:shd w:val="clear" w:color="auto" w:fill="auto"/>
            <w:noWrap/>
            <w:hideMark/>
          </w:tcPr>
          <w:p w14:paraId="47EF2DAB"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3DB7C433"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4DEEB284" w14:textId="475E8C1E" w:rsidR="0095697F" w:rsidRPr="00AD5F47" w:rsidRDefault="0095697F" w:rsidP="00A47A7E">
            <w:pPr>
              <w:rPr>
                <w:color w:val="000000"/>
                <w:sz w:val="20"/>
              </w:rPr>
            </w:pPr>
            <w:r w:rsidRPr="00AD5F47">
              <w:rPr>
                <w:color w:val="000000"/>
                <w:sz w:val="20"/>
              </w:rPr>
              <w:t xml:space="preserve">Expert judgment, </w:t>
            </w:r>
            <w:r w:rsidRPr="00AD5F47">
              <w:rPr>
                <w:color w:val="000000"/>
                <w:sz w:val="20"/>
              </w:rPr>
              <w:fldChar w:fldCharType="begin" w:fldLock="1"/>
            </w:r>
            <w:r w:rsidR="00902ED9">
              <w:rPr>
                <w:color w:val="000000"/>
                <w:sz w:val="20"/>
              </w:rPr>
              <w:instrText>ADDIN CSL_CITATION {"citationItems":[{"id":"ITEM-1","itemData":{"URL":"https://ppi.worldbank.org/en/snapshots/sector/ports","accessed":{"date-parts":[["2021","6","4"]]},"author":[{"dropping-particle":"","family":"World Bank","given":"","non-dropping-particle":"","parse-names":false,"suffix":""}],"container-title":"Port Sector Snapshot","id":"ITEM-1","issued":{"date-parts":[["2021"]]},"title":"Private Participation in Infrastructure Database","type":"webpage"},"uris":["http://www.mendeley.com/documents/?uuid=d1e420f3-b11c-4025-b32d-6713daa46d80"]}],"mendeley":{"formattedCitation":"&lt;sup&gt;14&lt;/sup&gt;","plainTextFormattedCitation":"14","previouslyFormattedCitation":"(&lt;i&gt;14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w:t>
            </w:r>
            <w:r w:rsidRPr="00AD5F47">
              <w:rPr>
                <w:color w:val="000000"/>
                <w:sz w:val="20"/>
              </w:rPr>
              <w:fldChar w:fldCharType="end"/>
            </w:r>
          </w:p>
        </w:tc>
      </w:tr>
      <w:tr w:rsidR="0095697F" w:rsidRPr="00AD5F47" w14:paraId="0A1B3F6B" w14:textId="77777777" w:rsidTr="00A47A7E">
        <w:trPr>
          <w:trHeight w:val="227"/>
        </w:trPr>
        <w:tc>
          <w:tcPr>
            <w:tcW w:w="510" w:type="pct"/>
            <w:tcBorders>
              <w:top w:val="nil"/>
              <w:left w:val="nil"/>
              <w:bottom w:val="nil"/>
              <w:right w:val="nil"/>
            </w:tcBorders>
            <w:shd w:val="clear" w:color="auto" w:fill="auto"/>
            <w:noWrap/>
            <w:hideMark/>
          </w:tcPr>
          <w:p w14:paraId="069CD277"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4942C7D7" w14:textId="77777777" w:rsidR="0095697F" w:rsidRPr="00AD5F47" w:rsidRDefault="0095697F" w:rsidP="00A47A7E">
            <w:pPr>
              <w:rPr>
                <w:color w:val="000000"/>
                <w:sz w:val="20"/>
              </w:rPr>
            </w:pPr>
            <w:r w:rsidRPr="00AD5F47">
              <w:rPr>
                <w:color w:val="000000"/>
                <w:sz w:val="20"/>
              </w:rPr>
              <w:t>Scaling factor Asia</w:t>
            </w:r>
          </w:p>
        </w:tc>
        <w:tc>
          <w:tcPr>
            <w:tcW w:w="1837" w:type="pct"/>
            <w:tcBorders>
              <w:top w:val="nil"/>
              <w:left w:val="nil"/>
              <w:bottom w:val="nil"/>
              <w:right w:val="nil"/>
            </w:tcBorders>
            <w:shd w:val="clear" w:color="auto" w:fill="auto"/>
            <w:noWrap/>
            <w:hideMark/>
          </w:tcPr>
          <w:p w14:paraId="21F96E2E" w14:textId="77777777" w:rsidR="0095697F" w:rsidRPr="00AD5F47" w:rsidRDefault="0095697F" w:rsidP="00A47A7E">
            <w:pPr>
              <w:rPr>
                <w:color w:val="000000"/>
                <w:sz w:val="20"/>
              </w:rPr>
            </w:pPr>
            <w:r w:rsidRPr="00AD5F47">
              <w:rPr>
                <w:color w:val="000000"/>
                <w:sz w:val="20"/>
              </w:rPr>
              <w:t>The scaling factor applied for the port land-use damage values</w:t>
            </w:r>
          </w:p>
        </w:tc>
        <w:tc>
          <w:tcPr>
            <w:tcW w:w="407" w:type="pct"/>
            <w:tcBorders>
              <w:top w:val="nil"/>
              <w:left w:val="nil"/>
              <w:bottom w:val="nil"/>
              <w:right w:val="nil"/>
            </w:tcBorders>
            <w:shd w:val="clear" w:color="auto" w:fill="auto"/>
            <w:noWrap/>
            <w:hideMark/>
          </w:tcPr>
          <w:p w14:paraId="7904A3D6" w14:textId="77777777" w:rsidR="0095697F" w:rsidRPr="00AD5F47" w:rsidRDefault="0095697F" w:rsidP="00A47A7E">
            <w:pPr>
              <w:rPr>
                <w:color w:val="000000"/>
                <w:sz w:val="20"/>
              </w:rPr>
            </w:pPr>
            <w:r w:rsidRPr="00AD5F47">
              <w:rPr>
                <w:color w:val="000000"/>
                <w:sz w:val="20"/>
              </w:rPr>
              <w:t>0.5</w:t>
            </w:r>
          </w:p>
        </w:tc>
        <w:tc>
          <w:tcPr>
            <w:tcW w:w="306" w:type="pct"/>
            <w:tcBorders>
              <w:top w:val="nil"/>
              <w:left w:val="nil"/>
              <w:bottom w:val="nil"/>
              <w:right w:val="nil"/>
            </w:tcBorders>
            <w:shd w:val="clear" w:color="auto" w:fill="auto"/>
            <w:noWrap/>
            <w:hideMark/>
          </w:tcPr>
          <w:p w14:paraId="420E53BC"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3AAF2B0A"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6D12ED01" w14:textId="20968F35" w:rsidR="0095697F" w:rsidRPr="00AD5F47" w:rsidRDefault="0095697F" w:rsidP="00A47A7E">
            <w:pPr>
              <w:rPr>
                <w:color w:val="000000"/>
                <w:sz w:val="20"/>
              </w:rPr>
            </w:pPr>
            <w:r w:rsidRPr="00AD5F47">
              <w:rPr>
                <w:color w:val="000000"/>
                <w:sz w:val="20"/>
              </w:rPr>
              <w:t xml:space="preserve">Expert judgment, </w:t>
            </w:r>
            <w:r w:rsidRPr="00AD5F47">
              <w:rPr>
                <w:color w:val="000000"/>
                <w:sz w:val="20"/>
              </w:rPr>
              <w:fldChar w:fldCharType="begin" w:fldLock="1"/>
            </w:r>
            <w:r w:rsidR="00902ED9">
              <w:rPr>
                <w:color w:val="000000"/>
                <w:sz w:val="20"/>
              </w:rPr>
              <w:instrText>ADDIN CSL_CITATION {"citationItems":[{"id":"ITEM-1","itemData":{"URL":"https://ppi.worldbank.org/en/snapshots/sector/ports","accessed":{"date-parts":[["2021","6","4"]]},"author":[{"dropping-particle":"","family":"World Bank","given":"","non-dropping-particle":"","parse-names":false,"suffix":""}],"container-title":"Port Sector Snapshot","id":"ITEM-1","issued":{"date-parts":[["2021"]]},"title":"Private Participation in Infrastructure Database","type":"webpage"},"uris":["http://www.mendeley.com/documents/?uuid=d1e420f3-b11c-4025-b32d-6713daa46d80"]}],"mendeley":{"formattedCitation":"&lt;sup&gt;14&lt;/sup&gt;","plainTextFormattedCitation":"14","previouslyFormattedCitation":"(&lt;i&gt;14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w:t>
            </w:r>
            <w:r w:rsidRPr="00AD5F47">
              <w:rPr>
                <w:color w:val="000000"/>
                <w:sz w:val="20"/>
              </w:rPr>
              <w:fldChar w:fldCharType="end"/>
            </w:r>
          </w:p>
        </w:tc>
      </w:tr>
      <w:tr w:rsidR="0095697F" w:rsidRPr="00AD5F47" w14:paraId="098EF7F2" w14:textId="77777777" w:rsidTr="00A47A7E">
        <w:trPr>
          <w:trHeight w:val="227"/>
        </w:trPr>
        <w:tc>
          <w:tcPr>
            <w:tcW w:w="510" w:type="pct"/>
            <w:tcBorders>
              <w:top w:val="nil"/>
              <w:left w:val="nil"/>
              <w:bottom w:val="single" w:sz="4" w:space="0" w:color="auto"/>
              <w:right w:val="nil"/>
            </w:tcBorders>
            <w:shd w:val="clear" w:color="auto" w:fill="auto"/>
            <w:noWrap/>
            <w:hideMark/>
          </w:tcPr>
          <w:p w14:paraId="525CAFAE" w14:textId="77777777" w:rsidR="0095697F" w:rsidRPr="00AD5F47" w:rsidRDefault="0095697F" w:rsidP="00A47A7E">
            <w:pPr>
              <w:rPr>
                <w:color w:val="000000"/>
                <w:sz w:val="20"/>
              </w:rPr>
            </w:pPr>
            <w:r w:rsidRPr="00AD5F47">
              <w:rPr>
                <w:color w:val="000000"/>
                <w:sz w:val="20"/>
              </w:rPr>
              <w:t> </w:t>
            </w:r>
          </w:p>
        </w:tc>
        <w:tc>
          <w:tcPr>
            <w:tcW w:w="1021" w:type="pct"/>
            <w:tcBorders>
              <w:top w:val="nil"/>
              <w:left w:val="nil"/>
              <w:bottom w:val="single" w:sz="4" w:space="0" w:color="auto"/>
              <w:right w:val="nil"/>
            </w:tcBorders>
            <w:shd w:val="clear" w:color="auto" w:fill="auto"/>
            <w:noWrap/>
            <w:hideMark/>
          </w:tcPr>
          <w:p w14:paraId="48CC8ED0" w14:textId="77777777" w:rsidR="0095697F" w:rsidRPr="00AD5F47" w:rsidRDefault="0095697F" w:rsidP="00A47A7E">
            <w:pPr>
              <w:rPr>
                <w:color w:val="000000"/>
                <w:sz w:val="20"/>
              </w:rPr>
            </w:pPr>
            <w:r w:rsidRPr="00AD5F47">
              <w:rPr>
                <w:color w:val="000000"/>
                <w:sz w:val="20"/>
              </w:rPr>
              <w:t>Scaling factor South America, Caribbean, Pacific</w:t>
            </w:r>
          </w:p>
        </w:tc>
        <w:tc>
          <w:tcPr>
            <w:tcW w:w="1837" w:type="pct"/>
            <w:tcBorders>
              <w:top w:val="nil"/>
              <w:left w:val="nil"/>
              <w:bottom w:val="single" w:sz="4" w:space="0" w:color="auto"/>
              <w:right w:val="nil"/>
            </w:tcBorders>
            <w:shd w:val="clear" w:color="auto" w:fill="auto"/>
            <w:noWrap/>
            <w:hideMark/>
          </w:tcPr>
          <w:p w14:paraId="6A8F8AEA" w14:textId="77777777" w:rsidR="0095697F" w:rsidRPr="00AD5F47" w:rsidRDefault="0095697F" w:rsidP="00A47A7E">
            <w:pPr>
              <w:rPr>
                <w:color w:val="000000"/>
                <w:sz w:val="20"/>
              </w:rPr>
            </w:pPr>
            <w:r w:rsidRPr="00AD5F47">
              <w:rPr>
                <w:color w:val="000000"/>
                <w:sz w:val="20"/>
              </w:rPr>
              <w:t>The scaling factor applied for the port land-use damage values</w:t>
            </w:r>
          </w:p>
        </w:tc>
        <w:tc>
          <w:tcPr>
            <w:tcW w:w="407" w:type="pct"/>
            <w:tcBorders>
              <w:top w:val="nil"/>
              <w:left w:val="nil"/>
              <w:bottom w:val="single" w:sz="4" w:space="0" w:color="auto"/>
              <w:right w:val="nil"/>
            </w:tcBorders>
            <w:shd w:val="clear" w:color="auto" w:fill="auto"/>
            <w:noWrap/>
            <w:hideMark/>
          </w:tcPr>
          <w:p w14:paraId="1FD12C8B" w14:textId="77777777" w:rsidR="0095697F" w:rsidRPr="00AD5F47" w:rsidRDefault="0095697F" w:rsidP="00A47A7E">
            <w:pPr>
              <w:rPr>
                <w:color w:val="000000"/>
                <w:sz w:val="20"/>
              </w:rPr>
            </w:pPr>
            <w:r w:rsidRPr="00AD5F47">
              <w:rPr>
                <w:color w:val="000000"/>
                <w:sz w:val="20"/>
              </w:rPr>
              <w:t>0.8</w:t>
            </w:r>
          </w:p>
        </w:tc>
        <w:tc>
          <w:tcPr>
            <w:tcW w:w="306" w:type="pct"/>
            <w:tcBorders>
              <w:top w:val="nil"/>
              <w:left w:val="nil"/>
              <w:bottom w:val="single" w:sz="4" w:space="0" w:color="auto"/>
              <w:right w:val="nil"/>
            </w:tcBorders>
            <w:shd w:val="clear" w:color="auto" w:fill="auto"/>
            <w:noWrap/>
            <w:hideMark/>
          </w:tcPr>
          <w:p w14:paraId="36A69BCD" w14:textId="77777777" w:rsidR="0095697F" w:rsidRPr="00AD5F47" w:rsidRDefault="0095697F" w:rsidP="00A47A7E">
            <w:pPr>
              <w:rPr>
                <w:color w:val="000000"/>
                <w:sz w:val="20"/>
              </w:rPr>
            </w:pPr>
            <w:r w:rsidRPr="00AD5F47">
              <w:rPr>
                <w:color w:val="000000"/>
                <w:sz w:val="20"/>
              </w:rPr>
              <w:t> </w:t>
            </w:r>
          </w:p>
        </w:tc>
        <w:tc>
          <w:tcPr>
            <w:tcW w:w="306" w:type="pct"/>
            <w:tcBorders>
              <w:top w:val="nil"/>
              <w:left w:val="nil"/>
              <w:bottom w:val="single" w:sz="4" w:space="0" w:color="auto"/>
              <w:right w:val="nil"/>
            </w:tcBorders>
            <w:shd w:val="clear" w:color="auto" w:fill="auto"/>
            <w:noWrap/>
            <w:hideMark/>
          </w:tcPr>
          <w:p w14:paraId="30B3D001" w14:textId="77777777" w:rsidR="0095697F" w:rsidRPr="00AD5F47" w:rsidRDefault="0095697F" w:rsidP="00A47A7E">
            <w:pPr>
              <w:rPr>
                <w:color w:val="000000"/>
                <w:sz w:val="20"/>
              </w:rPr>
            </w:pPr>
            <w:r w:rsidRPr="00AD5F47">
              <w:rPr>
                <w:color w:val="000000"/>
                <w:sz w:val="20"/>
              </w:rPr>
              <w:t> </w:t>
            </w:r>
          </w:p>
        </w:tc>
        <w:tc>
          <w:tcPr>
            <w:tcW w:w="613" w:type="pct"/>
            <w:tcBorders>
              <w:top w:val="nil"/>
              <w:left w:val="nil"/>
              <w:bottom w:val="single" w:sz="4" w:space="0" w:color="auto"/>
              <w:right w:val="nil"/>
            </w:tcBorders>
            <w:shd w:val="clear" w:color="auto" w:fill="auto"/>
            <w:noWrap/>
            <w:hideMark/>
          </w:tcPr>
          <w:p w14:paraId="7D3F899B" w14:textId="14A9E123" w:rsidR="0095697F" w:rsidRPr="00AD5F47" w:rsidRDefault="0095697F" w:rsidP="00A47A7E">
            <w:pPr>
              <w:rPr>
                <w:color w:val="000000"/>
                <w:sz w:val="20"/>
              </w:rPr>
            </w:pPr>
            <w:r w:rsidRPr="00AD5F47">
              <w:rPr>
                <w:color w:val="000000"/>
                <w:sz w:val="20"/>
              </w:rPr>
              <w:t xml:space="preserve">Expert judgment, </w:t>
            </w:r>
            <w:r w:rsidRPr="00AD5F47">
              <w:rPr>
                <w:color w:val="000000"/>
                <w:sz w:val="20"/>
              </w:rPr>
              <w:fldChar w:fldCharType="begin" w:fldLock="1"/>
            </w:r>
            <w:r w:rsidR="00902ED9">
              <w:rPr>
                <w:color w:val="000000"/>
                <w:sz w:val="20"/>
              </w:rPr>
              <w:instrText>ADDIN CSL_CITATION {"citationItems":[{"id":"ITEM-1","itemData":{"URL":"https://ppi.worldbank.org/en/snapshots/sector/ports","accessed":{"date-parts":[["2021","6","4"]]},"author":[{"dropping-particle":"","family":"World Bank","given":"","non-dropping-particle":"","parse-names":false,"suffix":""}],"container-title":"Port Sector Snapshot","id":"ITEM-1","issued":{"date-parts":[["2021"]]},"title":"Private Participation in Infrastructure Database","type":"webpage"},"uris":["http://www.mendeley.com/documents/?uuid=d1e420f3-b11c-4025-b32d-6713daa46d80"]}],"mendeley":{"formattedCitation":"&lt;sup&gt;14&lt;/sup&gt;","plainTextFormattedCitation":"14","previouslyFormattedCitation":"(&lt;i&gt;14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w:t>
            </w:r>
            <w:r w:rsidRPr="00AD5F47">
              <w:rPr>
                <w:color w:val="000000"/>
                <w:sz w:val="20"/>
              </w:rPr>
              <w:fldChar w:fldCharType="end"/>
            </w:r>
          </w:p>
        </w:tc>
      </w:tr>
      <w:tr w:rsidR="0095697F" w:rsidRPr="00AD5F47" w14:paraId="4393AE27" w14:textId="77777777" w:rsidTr="00A47A7E">
        <w:trPr>
          <w:trHeight w:val="227"/>
        </w:trPr>
        <w:tc>
          <w:tcPr>
            <w:tcW w:w="510" w:type="pct"/>
            <w:tcBorders>
              <w:top w:val="nil"/>
              <w:left w:val="nil"/>
              <w:bottom w:val="nil"/>
              <w:right w:val="nil"/>
            </w:tcBorders>
            <w:shd w:val="clear" w:color="auto" w:fill="auto"/>
            <w:noWrap/>
            <w:hideMark/>
          </w:tcPr>
          <w:p w14:paraId="4CCAC379" w14:textId="77777777" w:rsidR="0095697F" w:rsidRPr="00AD5F47" w:rsidRDefault="0095697F" w:rsidP="00A47A7E">
            <w:pPr>
              <w:rPr>
                <w:color w:val="000000"/>
                <w:sz w:val="20"/>
              </w:rPr>
            </w:pPr>
            <w:r w:rsidRPr="00AD5F47">
              <w:rPr>
                <w:color w:val="000000"/>
                <w:sz w:val="20"/>
              </w:rPr>
              <w:t>Reconstruction costs</w:t>
            </w:r>
          </w:p>
        </w:tc>
        <w:tc>
          <w:tcPr>
            <w:tcW w:w="1021" w:type="pct"/>
            <w:tcBorders>
              <w:top w:val="nil"/>
              <w:left w:val="nil"/>
              <w:bottom w:val="nil"/>
              <w:right w:val="nil"/>
            </w:tcBorders>
            <w:shd w:val="clear" w:color="auto" w:fill="auto"/>
            <w:noWrap/>
            <w:hideMark/>
          </w:tcPr>
          <w:p w14:paraId="19B9DA84" w14:textId="77777777" w:rsidR="0095697F" w:rsidRPr="00AD5F47" w:rsidRDefault="0095697F" w:rsidP="00A47A7E">
            <w:pPr>
              <w:rPr>
                <w:color w:val="000000"/>
                <w:sz w:val="20"/>
              </w:rPr>
            </w:pPr>
            <w:r w:rsidRPr="00AD5F47">
              <w:rPr>
                <w:color w:val="000000"/>
                <w:sz w:val="20"/>
              </w:rPr>
              <w:t>Maximum damage General cargo</w:t>
            </w:r>
          </w:p>
        </w:tc>
        <w:tc>
          <w:tcPr>
            <w:tcW w:w="1837" w:type="pct"/>
            <w:tcBorders>
              <w:top w:val="nil"/>
              <w:left w:val="nil"/>
              <w:bottom w:val="nil"/>
              <w:right w:val="nil"/>
            </w:tcBorders>
            <w:shd w:val="clear" w:color="auto" w:fill="auto"/>
            <w:noWrap/>
            <w:hideMark/>
          </w:tcPr>
          <w:p w14:paraId="0A00C077" w14:textId="77777777" w:rsidR="0095697F" w:rsidRPr="00AD5F47" w:rsidRDefault="0095697F" w:rsidP="00A47A7E">
            <w:pPr>
              <w:rPr>
                <w:color w:val="000000"/>
                <w:sz w:val="20"/>
              </w:rPr>
            </w:pPr>
            <w:r w:rsidRPr="00AD5F47">
              <w:rPr>
                <w:color w:val="000000"/>
                <w:sz w:val="20"/>
              </w:rPr>
              <w:t>Maximum damage value used in risk analysis (USD/m2)</w:t>
            </w:r>
          </w:p>
        </w:tc>
        <w:tc>
          <w:tcPr>
            <w:tcW w:w="407" w:type="pct"/>
            <w:tcBorders>
              <w:top w:val="nil"/>
              <w:left w:val="nil"/>
              <w:bottom w:val="nil"/>
              <w:right w:val="nil"/>
            </w:tcBorders>
            <w:shd w:val="clear" w:color="auto" w:fill="auto"/>
            <w:noWrap/>
            <w:hideMark/>
          </w:tcPr>
          <w:p w14:paraId="59E445C8" w14:textId="77777777" w:rsidR="0095697F" w:rsidRPr="00AD5F47" w:rsidRDefault="0095697F" w:rsidP="00A47A7E">
            <w:pPr>
              <w:rPr>
                <w:color w:val="000000"/>
                <w:sz w:val="20"/>
              </w:rPr>
            </w:pPr>
            <w:r w:rsidRPr="00AD5F47">
              <w:rPr>
                <w:color w:val="000000"/>
                <w:sz w:val="20"/>
              </w:rPr>
              <w:t>1000*</w:t>
            </w:r>
          </w:p>
        </w:tc>
        <w:tc>
          <w:tcPr>
            <w:tcW w:w="306" w:type="pct"/>
            <w:tcBorders>
              <w:top w:val="nil"/>
              <w:left w:val="nil"/>
              <w:bottom w:val="nil"/>
              <w:right w:val="nil"/>
            </w:tcBorders>
            <w:shd w:val="clear" w:color="auto" w:fill="auto"/>
            <w:noWrap/>
            <w:hideMark/>
          </w:tcPr>
          <w:p w14:paraId="2555FE79" w14:textId="77777777" w:rsidR="0095697F" w:rsidRPr="00AD5F47" w:rsidRDefault="0095697F" w:rsidP="00A47A7E">
            <w:pPr>
              <w:rPr>
                <w:color w:val="000000"/>
                <w:sz w:val="20"/>
              </w:rPr>
            </w:pPr>
            <w:r w:rsidRPr="00AD5F47">
              <w:rPr>
                <w:color w:val="000000"/>
                <w:sz w:val="20"/>
              </w:rPr>
              <w:t>700</w:t>
            </w:r>
          </w:p>
        </w:tc>
        <w:tc>
          <w:tcPr>
            <w:tcW w:w="306" w:type="pct"/>
            <w:tcBorders>
              <w:top w:val="nil"/>
              <w:left w:val="nil"/>
              <w:bottom w:val="nil"/>
              <w:right w:val="nil"/>
            </w:tcBorders>
            <w:shd w:val="clear" w:color="auto" w:fill="auto"/>
            <w:noWrap/>
            <w:hideMark/>
          </w:tcPr>
          <w:p w14:paraId="6F102240" w14:textId="77777777" w:rsidR="0095697F" w:rsidRPr="00AD5F47" w:rsidRDefault="0095697F" w:rsidP="00A47A7E">
            <w:pPr>
              <w:rPr>
                <w:color w:val="000000"/>
                <w:sz w:val="20"/>
              </w:rPr>
            </w:pPr>
            <w:r w:rsidRPr="00AD5F47">
              <w:rPr>
                <w:color w:val="000000"/>
                <w:sz w:val="20"/>
              </w:rPr>
              <w:t>1300</w:t>
            </w:r>
          </w:p>
        </w:tc>
        <w:tc>
          <w:tcPr>
            <w:tcW w:w="613" w:type="pct"/>
            <w:tcBorders>
              <w:top w:val="nil"/>
              <w:left w:val="nil"/>
              <w:bottom w:val="nil"/>
              <w:right w:val="nil"/>
            </w:tcBorders>
            <w:shd w:val="clear" w:color="auto" w:fill="auto"/>
            <w:noWrap/>
            <w:hideMark/>
          </w:tcPr>
          <w:p w14:paraId="58FED73A" w14:textId="3DD1F3A7"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{"citationItems":[{"id":"ITEM-1","itemData":{"author":[{"dropping-particle":"","family":"Snuverink","given":"M.A.M.","non-dropping-particle":"","parse-names":false,"suffix":""},{"dropping-particle":"","family":"Berg","given":"K.","non-dropping-particle":"van den","parse-names":false,"suffix":""},{"dropping-particle":"","family":"Sluijs","given":"L.","non-dropping-particle":"","parse-names":false,"suffix":""},{"dropping-particle":"","family":"Proosdij","given":"E.","non-dropping-particle":"van","parse-names":false,"suffix":""}],"container-title":"Inundatierisico's buitendijkse gebieden","id":"ITEM-1","issue":"Document no 334393 (in Dutch)","issued":{"date-parts":[["1998"]]},"number-of-pages":"Document no 334393 (in Dutch)","title":"Schade bij inundatie van buitendijkse industrie.","type":"report"},"uris":["http://www.mendeley.com/documents/?uuid=33179d0c-016e-45e7-85d6-2143a0067661"]}],"mendeley":{"formattedCitation":"&lt;sup&gt;15&lt;/sup&gt;","plainTextFormattedCitation":"15","previouslyFormattedCitation":"(&lt;i&gt;15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15</w:t>
            </w:r>
            <w:r w:rsidRPr="00AD5F47">
              <w:rPr>
                <w:color w:val="000000"/>
                <w:sz w:val="20"/>
              </w:rPr>
              <w:fldChar w:fldCharType="end"/>
            </w:r>
            <w:r w:rsidRPr="00AD5F47">
              <w:rPr>
                <w:color w:val="000000"/>
                <w:sz w:val="20"/>
              </w:rPr>
              <w:t xml:space="preserve">, </w:t>
            </w:r>
            <w:r w:rsidRPr="00AD5F47">
              <w:rPr>
                <w:color w:val="000000"/>
                <w:sz w:val="20"/>
              </w:rPr>
              <w:fldChar w:fldCharType="begin" w:fldLock="1"/>
            </w:r>
            <w:r w:rsidR="00902ED9">
              <w:rPr>
                <w:color w:val="000000"/>
                <w:sz w:val="20"/>
              </w:rPr>
              <w:instrText>ADDIN CSL_CITATION {"citationItems":[{"id":"ITEM-1","itemData":{"URL":"https://ppi.worldbank.org/en/snapshots/sector/ports","accessed":{"date-parts":[["2021","6","4"]]},"author":[{"dropping-particle":"","family":"World Bank","given":"","non-dropping-particle":"","parse-names":false,"suffix":""}],"container-title":"Port Sector Snapshot","id":"ITEM-1","issued":{"date-parts":[["2021"]]},"title":"Private Participation in Infrastructure Database","type":"webpage"},"uris":["http://www.mendeley.com/documents/?uuid=d1e420f3-b11c-4025-b32d-6713daa46d80"]}],"mendeley":{"formattedCitation":"&lt;sup&gt;14&lt;/sup&gt;","plainTextFormattedCitation":"14","previouslyFormattedCitation":"(&lt;i&gt;14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w:t>
            </w:r>
            <w:r w:rsidRPr="00AD5F47">
              <w:rPr>
                <w:color w:val="000000"/>
                <w:sz w:val="20"/>
              </w:rPr>
              <w:fldChar w:fldCharType="end"/>
            </w:r>
          </w:p>
        </w:tc>
      </w:tr>
      <w:tr w:rsidR="0095697F" w:rsidRPr="00AD5F47" w14:paraId="5ECE71DE" w14:textId="77777777" w:rsidTr="00A47A7E">
        <w:trPr>
          <w:trHeight w:val="227"/>
        </w:trPr>
        <w:tc>
          <w:tcPr>
            <w:tcW w:w="510" w:type="pct"/>
            <w:tcBorders>
              <w:top w:val="nil"/>
              <w:left w:val="nil"/>
              <w:bottom w:val="nil"/>
              <w:right w:val="nil"/>
            </w:tcBorders>
            <w:shd w:val="clear" w:color="auto" w:fill="auto"/>
            <w:noWrap/>
            <w:hideMark/>
          </w:tcPr>
          <w:p w14:paraId="138CDF18" w14:textId="77777777" w:rsidR="0095697F" w:rsidRPr="00AD5F47" w:rsidRDefault="0095697F" w:rsidP="00A47A7E">
            <w:pPr>
              <w:rPr>
                <w:color w:val="000000"/>
                <w:sz w:val="20"/>
              </w:rPr>
            </w:pPr>
            <w:r w:rsidRPr="00AD5F47">
              <w:rPr>
                <w:color w:val="000000"/>
                <w:sz w:val="20"/>
              </w:rPr>
              <w:t>Port land-use</w:t>
            </w:r>
          </w:p>
        </w:tc>
        <w:tc>
          <w:tcPr>
            <w:tcW w:w="1021" w:type="pct"/>
            <w:tcBorders>
              <w:top w:val="nil"/>
              <w:left w:val="nil"/>
              <w:bottom w:val="nil"/>
              <w:right w:val="nil"/>
            </w:tcBorders>
            <w:shd w:val="clear" w:color="auto" w:fill="auto"/>
            <w:noWrap/>
            <w:hideMark/>
          </w:tcPr>
          <w:p w14:paraId="1E5755CA" w14:textId="77777777" w:rsidR="0095697F" w:rsidRPr="00AD5F47" w:rsidRDefault="0095697F" w:rsidP="00A47A7E">
            <w:pPr>
              <w:rPr>
                <w:color w:val="000000"/>
                <w:sz w:val="20"/>
              </w:rPr>
            </w:pPr>
            <w:r w:rsidRPr="00AD5F47">
              <w:rPr>
                <w:color w:val="000000"/>
                <w:sz w:val="20"/>
              </w:rPr>
              <w:t xml:space="preserve">Maximum damage </w:t>
            </w:r>
            <w:proofErr w:type="spellStart"/>
            <w:r w:rsidRPr="00AD5F47">
              <w:rPr>
                <w:color w:val="000000"/>
                <w:sz w:val="20"/>
              </w:rPr>
              <w:t>RoRo</w:t>
            </w:r>
            <w:proofErr w:type="spellEnd"/>
          </w:p>
        </w:tc>
        <w:tc>
          <w:tcPr>
            <w:tcW w:w="1837" w:type="pct"/>
            <w:tcBorders>
              <w:top w:val="nil"/>
              <w:left w:val="nil"/>
              <w:bottom w:val="nil"/>
              <w:right w:val="nil"/>
            </w:tcBorders>
            <w:shd w:val="clear" w:color="auto" w:fill="auto"/>
            <w:noWrap/>
            <w:hideMark/>
          </w:tcPr>
          <w:p w14:paraId="1782F775" w14:textId="77777777" w:rsidR="0095697F" w:rsidRPr="00AD5F47" w:rsidRDefault="0095697F" w:rsidP="00A47A7E">
            <w:pPr>
              <w:rPr>
                <w:color w:val="000000"/>
                <w:sz w:val="20"/>
              </w:rPr>
            </w:pPr>
            <w:r w:rsidRPr="00AD5F47">
              <w:rPr>
                <w:color w:val="000000"/>
                <w:sz w:val="20"/>
              </w:rPr>
              <w:t>Maximum damage value used in risk analysis (USD/m2)</w:t>
            </w:r>
          </w:p>
        </w:tc>
        <w:tc>
          <w:tcPr>
            <w:tcW w:w="407" w:type="pct"/>
            <w:tcBorders>
              <w:top w:val="nil"/>
              <w:left w:val="nil"/>
              <w:bottom w:val="nil"/>
              <w:right w:val="nil"/>
            </w:tcBorders>
            <w:shd w:val="clear" w:color="auto" w:fill="auto"/>
            <w:noWrap/>
            <w:hideMark/>
          </w:tcPr>
          <w:p w14:paraId="165C0B83" w14:textId="77777777" w:rsidR="0095697F" w:rsidRPr="00AD5F47" w:rsidRDefault="0095697F" w:rsidP="00A47A7E">
            <w:pPr>
              <w:rPr>
                <w:color w:val="000000"/>
                <w:sz w:val="20"/>
              </w:rPr>
            </w:pPr>
            <w:r w:rsidRPr="00AD5F47">
              <w:rPr>
                <w:color w:val="000000"/>
                <w:sz w:val="20"/>
              </w:rPr>
              <w:t>750*</w:t>
            </w:r>
          </w:p>
        </w:tc>
        <w:tc>
          <w:tcPr>
            <w:tcW w:w="306" w:type="pct"/>
            <w:tcBorders>
              <w:top w:val="nil"/>
              <w:left w:val="nil"/>
              <w:bottom w:val="nil"/>
              <w:right w:val="nil"/>
            </w:tcBorders>
            <w:shd w:val="clear" w:color="auto" w:fill="auto"/>
            <w:noWrap/>
            <w:hideMark/>
          </w:tcPr>
          <w:p w14:paraId="6432696B" w14:textId="77777777" w:rsidR="0095697F" w:rsidRPr="00AD5F47" w:rsidRDefault="0095697F" w:rsidP="00A47A7E">
            <w:pPr>
              <w:rPr>
                <w:color w:val="000000"/>
                <w:sz w:val="20"/>
              </w:rPr>
            </w:pPr>
            <w:r w:rsidRPr="00AD5F47">
              <w:rPr>
                <w:color w:val="000000"/>
                <w:sz w:val="20"/>
              </w:rPr>
              <w:t>500</w:t>
            </w:r>
          </w:p>
        </w:tc>
        <w:tc>
          <w:tcPr>
            <w:tcW w:w="306" w:type="pct"/>
            <w:tcBorders>
              <w:top w:val="nil"/>
              <w:left w:val="nil"/>
              <w:bottom w:val="nil"/>
              <w:right w:val="nil"/>
            </w:tcBorders>
            <w:shd w:val="clear" w:color="auto" w:fill="auto"/>
            <w:noWrap/>
            <w:hideMark/>
          </w:tcPr>
          <w:p w14:paraId="7D031CFD" w14:textId="77777777" w:rsidR="0095697F" w:rsidRPr="00AD5F47" w:rsidRDefault="0095697F" w:rsidP="00A47A7E">
            <w:pPr>
              <w:rPr>
                <w:color w:val="000000"/>
                <w:sz w:val="20"/>
              </w:rPr>
            </w:pPr>
            <w:r w:rsidRPr="00AD5F47">
              <w:rPr>
                <w:color w:val="000000"/>
                <w:sz w:val="20"/>
              </w:rPr>
              <w:t>1000</w:t>
            </w:r>
          </w:p>
        </w:tc>
        <w:tc>
          <w:tcPr>
            <w:tcW w:w="613" w:type="pct"/>
            <w:tcBorders>
              <w:top w:val="nil"/>
              <w:left w:val="nil"/>
              <w:bottom w:val="nil"/>
              <w:right w:val="nil"/>
            </w:tcBorders>
            <w:shd w:val="clear" w:color="auto" w:fill="auto"/>
            <w:noWrap/>
            <w:hideMark/>
          </w:tcPr>
          <w:p w14:paraId="7B7BFE0F" w14:textId="61077F06" w:rsidR="0095697F" w:rsidRPr="00AD5F47" w:rsidRDefault="0095697F" w:rsidP="00A47A7E">
            <w:pPr>
              <w:rPr>
                <w:color w:val="000000"/>
                <w:sz w:val="20"/>
              </w:rPr>
            </w:pPr>
            <w:r w:rsidRPr="00AD5F47">
              <w:rPr>
                <w:noProof/>
                <w:color w:val="000000"/>
                <w:sz w:val="20"/>
              </w:rPr>
              <w:t>(15)</w:t>
            </w:r>
            <w:r w:rsidRPr="00AD5F47">
              <w:rPr>
                <w:color w:val="000000"/>
                <w:sz w:val="20"/>
              </w:rPr>
              <w:t xml:space="preserve">, </w:t>
            </w:r>
            <w:r w:rsidRPr="00AD5F47">
              <w:rPr>
                <w:color w:val="000000"/>
                <w:sz w:val="20"/>
              </w:rPr>
              <w:fldChar w:fldCharType="begin" w:fldLock="1"/>
            </w:r>
            <w:r w:rsidR="00902ED9">
              <w:rPr>
                <w:color w:val="000000"/>
                <w:sz w:val="20"/>
              </w:rPr>
              <w:instrText>ADDIN CSL_CITATION {"citationItems":[{"id":"ITEM-1","itemData":{"URL":"https://ppi.worldbank.org/en/snapshots/sector/ports","accessed":{"date-parts":[["2021","6","4"]]},"author":[{"dropping-particle":"","family":"World Bank","given":"","non-dropping-particle":"","parse-names":false,"suffix":""}],"container-title":"Port Sector Snapshot","id":"ITEM-1","issued":{"date-parts":[["2021"]]},"title":"Private Participation in Infrastructure Database","type":"webpage"},"uris":["http://www.mendeley.com/documents/?uuid=d1e420f3-b11c-4025-b32d-6713daa46d80"]}],"mendeley":{"formattedCitation":"&lt;sup&gt;14&lt;/sup&gt;","plainTextFormattedCitation":"14","previouslyFormattedCitation":"(&lt;i&gt;14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w:t>
            </w:r>
            <w:r w:rsidRPr="00AD5F47">
              <w:rPr>
                <w:color w:val="000000"/>
                <w:sz w:val="20"/>
              </w:rPr>
              <w:fldChar w:fldCharType="end"/>
            </w:r>
          </w:p>
        </w:tc>
      </w:tr>
      <w:tr w:rsidR="0095697F" w:rsidRPr="00AD5F47" w14:paraId="09AF22B6" w14:textId="77777777" w:rsidTr="00A47A7E">
        <w:trPr>
          <w:trHeight w:val="227"/>
        </w:trPr>
        <w:tc>
          <w:tcPr>
            <w:tcW w:w="510" w:type="pct"/>
            <w:tcBorders>
              <w:top w:val="nil"/>
              <w:left w:val="nil"/>
              <w:bottom w:val="nil"/>
              <w:right w:val="nil"/>
            </w:tcBorders>
            <w:shd w:val="clear" w:color="auto" w:fill="auto"/>
            <w:noWrap/>
            <w:hideMark/>
          </w:tcPr>
          <w:p w14:paraId="30F34B8F"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00A674BC" w14:textId="77777777" w:rsidR="0095697F" w:rsidRPr="00AD5F47" w:rsidRDefault="0095697F" w:rsidP="00A47A7E">
            <w:pPr>
              <w:rPr>
                <w:color w:val="000000"/>
                <w:sz w:val="20"/>
              </w:rPr>
            </w:pPr>
            <w:r w:rsidRPr="00AD5F47">
              <w:rPr>
                <w:color w:val="000000"/>
                <w:sz w:val="20"/>
              </w:rPr>
              <w:t>Maximum damage Liquid</w:t>
            </w:r>
          </w:p>
        </w:tc>
        <w:tc>
          <w:tcPr>
            <w:tcW w:w="1837" w:type="pct"/>
            <w:tcBorders>
              <w:top w:val="nil"/>
              <w:left w:val="nil"/>
              <w:bottom w:val="nil"/>
              <w:right w:val="nil"/>
            </w:tcBorders>
            <w:shd w:val="clear" w:color="auto" w:fill="auto"/>
            <w:noWrap/>
            <w:hideMark/>
          </w:tcPr>
          <w:p w14:paraId="0CD9043A" w14:textId="77777777" w:rsidR="0095697F" w:rsidRPr="00AD5F47" w:rsidRDefault="0095697F" w:rsidP="00A47A7E">
            <w:pPr>
              <w:rPr>
                <w:color w:val="000000"/>
                <w:sz w:val="20"/>
              </w:rPr>
            </w:pPr>
            <w:r w:rsidRPr="00AD5F47">
              <w:rPr>
                <w:color w:val="000000"/>
                <w:sz w:val="20"/>
              </w:rPr>
              <w:t>Maximum damage value used in risk analysis (USD/m2)</w:t>
            </w:r>
          </w:p>
        </w:tc>
        <w:tc>
          <w:tcPr>
            <w:tcW w:w="407" w:type="pct"/>
            <w:tcBorders>
              <w:top w:val="nil"/>
              <w:left w:val="nil"/>
              <w:bottom w:val="nil"/>
              <w:right w:val="nil"/>
            </w:tcBorders>
            <w:shd w:val="clear" w:color="auto" w:fill="auto"/>
            <w:noWrap/>
            <w:hideMark/>
          </w:tcPr>
          <w:p w14:paraId="7C83D3D3" w14:textId="77777777" w:rsidR="0095697F" w:rsidRPr="00AD5F47" w:rsidRDefault="0095697F" w:rsidP="00A47A7E">
            <w:pPr>
              <w:rPr>
                <w:color w:val="000000"/>
                <w:sz w:val="20"/>
              </w:rPr>
            </w:pPr>
            <w:r w:rsidRPr="00AD5F47">
              <w:rPr>
                <w:color w:val="000000"/>
                <w:sz w:val="20"/>
              </w:rPr>
              <w:t>1000*</w:t>
            </w:r>
          </w:p>
        </w:tc>
        <w:tc>
          <w:tcPr>
            <w:tcW w:w="306" w:type="pct"/>
            <w:tcBorders>
              <w:top w:val="nil"/>
              <w:left w:val="nil"/>
              <w:bottom w:val="nil"/>
              <w:right w:val="nil"/>
            </w:tcBorders>
            <w:shd w:val="clear" w:color="auto" w:fill="auto"/>
            <w:noWrap/>
            <w:hideMark/>
          </w:tcPr>
          <w:p w14:paraId="6862382E" w14:textId="77777777" w:rsidR="0095697F" w:rsidRPr="00AD5F47" w:rsidRDefault="0095697F" w:rsidP="00A47A7E">
            <w:pPr>
              <w:rPr>
                <w:color w:val="000000"/>
                <w:sz w:val="20"/>
              </w:rPr>
            </w:pPr>
            <w:r w:rsidRPr="00AD5F47">
              <w:rPr>
                <w:color w:val="000000"/>
                <w:sz w:val="20"/>
              </w:rPr>
              <w:t>500</w:t>
            </w:r>
          </w:p>
        </w:tc>
        <w:tc>
          <w:tcPr>
            <w:tcW w:w="306" w:type="pct"/>
            <w:tcBorders>
              <w:top w:val="nil"/>
              <w:left w:val="nil"/>
              <w:bottom w:val="nil"/>
              <w:right w:val="nil"/>
            </w:tcBorders>
            <w:shd w:val="clear" w:color="auto" w:fill="auto"/>
            <w:noWrap/>
            <w:hideMark/>
          </w:tcPr>
          <w:p w14:paraId="1B121BF3" w14:textId="77777777" w:rsidR="0095697F" w:rsidRPr="00AD5F47" w:rsidRDefault="0095697F" w:rsidP="00A47A7E">
            <w:pPr>
              <w:rPr>
                <w:color w:val="000000"/>
                <w:sz w:val="20"/>
              </w:rPr>
            </w:pPr>
            <w:r w:rsidRPr="00AD5F47">
              <w:rPr>
                <w:color w:val="000000"/>
                <w:sz w:val="20"/>
              </w:rPr>
              <w:t>1500</w:t>
            </w:r>
          </w:p>
        </w:tc>
        <w:tc>
          <w:tcPr>
            <w:tcW w:w="613" w:type="pct"/>
            <w:tcBorders>
              <w:top w:val="nil"/>
              <w:left w:val="nil"/>
              <w:bottom w:val="nil"/>
              <w:right w:val="nil"/>
            </w:tcBorders>
            <w:shd w:val="clear" w:color="auto" w:fill="auto"/>
            <w:noWrap/>
            <w:hideMark/>
          </w:tcPr>
          <w:p w14:paraId="20C6E796" w14:textId="29CEAF1D" w:rsidR="0095697F" w:rsidRPr="00AD5F47" w:rsidRDefault="0095697F" w:rsidP="00A47A7E">
            <w:pPr>
              <w:rPr>
                <w:color w:val="000000"/>
                <w:sz w:val="20"/>
              </w:rPr>
            </w:pPr>
            <w:r w:rsidRPr="00AD5F47">
              <w:rPr>
                <w:noProof/>
                <w:color w:val="000000"/>
                <w:sz w:val="20"/>
              </w:rPr>
              <w:t>(15)</w:t>
            </w:r>
            <w:r w:rsidRPr="00AD5F47">
              <w:rPr>
                <w:color w:val="000000"/>
                <w:sz w:val="20"/>
              </w:rPr>
              <w:t xml:space="preserve">, </w:t>
            </w:r>
            <w:r w:rsidRPr="00AD5F47">
              <w:rPr>
                <w:color w:val="000000"/>
                <w:sz w:val="20"/>
              </w:rPr>
              <w:fldChar w:fldCharType="begin" w:fldLock="1"/>
            </w:r>
            <w:r w:rsidR="00902ED9">
              <w:rPr>
                <w:color w:val="000000"/>
                <w:sz w:val="20"/>
              </w:rPr>
              <w:instrText>ADDIN CSL_CITATION {"citationItems":[{"id":"ITEM-1","itemData":{"URL":"https://ppi.worldbank.org/en/snapshots/sector/ports","accessed":{"date-parts":[["2021","6","4"]]},"author":[{"dropping-particle":"","family":"World Bank","given":"","non-dropping-particle":"","parse-names":false,"suffix":""}],"container-title":"Port Sector Snapshot","id":"ITEM-1","issued":{"date-parts":[["2021"]]},"title":"Private Participation in Infrastructure Database","type":"webpage"},"uris":["http://www.mendeley.com/documents/?uuid=d1e420f3-b11c-4025-b32d-6713daa46d80"]}],"mendeley":{"formattedCitation":"&lt;sup&gt;14&lt;/sup&gt;","plainTextFormattedCitation":"14","previouslyFormattedCitation":"(&lt;i&gt;14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w:t>
            </w:r>
            <w:r w:rsidRPr="00AD5F47">
              <w:rPr>
                <w:color w:val="000000"/>
                <w:sz w:val="20"/>
              </w:rPr>
              <w:fldChar w:fldCharType="end"/>
            </w:r>
          </w:p>
        </w:tc>
      </w:tr>
      <w:tr w:rsidR="0095697F" w:rsidRPr="00AD5F47" w14:paraId="579F6A42" w14:textId="77777777" w:rsidTr="00A47A7E">
        <w:trPr>
          <w:trHeight w:val="227"/>
        </w:trPr>
        <w:tc>
          <w:tcPr>
            <w:tcW w:w="510" w:type="pct"/>
            <w:tcBorders>
              <w:top w:val="nil"/>
              <w:left w:val="nil"/>
              <w:bottom w:val="nil"/>
              <w:right w:val="nil"/>
            </w:tcBorders>
            <w:shd w:val="clear" w:color="auto" w:fill="auto"/>
            <w:noWrap/>
            <w:hideMark/>
          </w:tcPr>
          <w:p w14:paraId="1ED362F5"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2E880561" w14:textId="77777777" w:rsidR="0095697F" w:rsidRPr="00AD5F47" w:rsidRDefault="0095697F" w:rsidP="00A47A7E">
            <w:pPr>
              <w:rPr>
                <w:color w:val="000000"/>
                <w:sz w:val="20"/>
              </w:rPr>
            </w:pPr>
            <w:r w:rsidRPr="00AD5F47">
              <w:rPr>
                <w:color w:val="000000"/>
                <w:sz w:val="20"/>
              </w:rPr>
              <w:t>Maximum damage Container</w:t>
            </w:r>
          </w:p>
        </w:tc>
        <w:tc>
          <w:tcPr>
            <w:tcW w:w="1837" w:type="pct"/>
            <w:tcBorders>
              <w:top w:val="nil"/>
              <w:left w:val="nil"/>
              <w:bottom w:val="nil"/>
              <w:right w:val="nil"/>
            </w:tcBorders>
            <w:shd w:val="clear" w:color="auto" w:fill="auto"/>
            <w:noWrap/>
            <w:hideMark/>
          </w:tcPr>
          <w:p w14:paraId="334332CE" w14:textId="77777777" w:rsidR="0095697F" w:rsidRPr="00AD5F47" w:rsidRDefault="0095697F" w:rsidP="00A47A7E">
            <w:pPr>
              <w:rPr>
                <w:color w:val="000000"/>
                <w:sz w:val="20"/>
              </w:rPr>
            </w:pPr>
            <w:r w:rsidRPr="00AD5F47">
              <w:rPr>
                <w:color w:val="000000"/>
                <w:sz w:val="20"/>
              </w:rPr>
              <w:t>Maximum damage value used in risk analysis (USD/m2)</w:t>
            </w:r>
          </w:p>
        </w:tc>
        <w:tc>
          <w:tcPr>
            <w:tcW w:w="407" w:type="pct"/>
            <w:tcBorders>
              <w:top w:val="nil"/>
              <w:left w:val="nil"/>
              <w:bottom w:val="nil"/>
              <w:right w:val="nil"/>
            </w:tcBorders>
            <w:shd w:val="clear" w:color="auto" w:fill="auto"/>
            <w:noWrap/>
            <w:hideMark/>
          </w:tcPr>
          <w:p w14:paraId="3400D723" w14:textId="77777777" w:rsidR="0095697F" w:rsidRPr="00AD5F47" w:rsidRDefault="0095697F" w:rsidP="00A47A7E">
            <w:pPr>
              <w:rPr>
                <w:color w:val="000000"/>
                <w:sz w:val="20"/>
              </w:rPr>
            </w:pPr>
            <w:r w:rsidRPr="00AD5F47">
              <w:rPr>
                <w:color w:val="000000"/>
                <w:sz w:val="20"/>
              </w:rPr>
              <w:t>800*</w:t>
            </w:r>
          </w:p>
        </w:tc>
        <w:tc>
          <w:tcPr>
            <w:tcW w:w="306" w:type="pct"/>
            <w:tcBorders>
              <w:top w:val="nil"/>
              <w:left w:val="nil"/>
              <w:bottom w:val="nil"/>
              <w:right w:val="nil"/>
            </w:tcBorders>
            <w:shd w:val="clear" w:color="auto" w:fill="auto"/>
            <w:noWrap/>
            <w:hideMark/>
          </w:tcPr>
          <w:p w14:paraId="1F4A2C70" w14:textId="77777777" w:rsidR="0095697F" w:rsidRPr="00AD5F47" w:rsidRDefault="0095697F" w:rsidP="00A47A7E">
            <w:pPr>
              <w:rPr>
                <w:color w:val="000000"/>
                <w:sz w:val="20"/>
              </w:rPr>
            </w:pPr>
            <w:r w:rsidRPr="00AD5F47">
              <w:rPr>
                <w:color w:val="000000"/>
                <w:sz w:val="20"/>
              </w:rPr>
              <w:t>600</w:t>
            </w:r>
          </w:p>
        </w:tc>
        <w:tc>
          <w:tcPr>
            <w:tcW w:w="306" w:type="pct"/>
            <w:tcBorders>
              <w:top w:val="nil"/>
              <w:left w:val="nil"/>
              <w:bottom w:val="nil"/>
              <w:right w:val="nil"/>
            </w:tcBorders>
            <w:shd w:val="clear" w:color="auto" w:fill="auto"/>
            <w:noWrap/>
            <w:hideMark/>
          </w:tcPr>
          <w:p w14:paraId="7B978C8A" w14:textId="77777777" w:rsidR="0095697F" w:rsidRPr="00AD5F47" w:rsidRDefault="0095697F" w:rsidP="00A47A7E">
            <w:pPr>
              <w:rPr>
                <w:color w:val="000000"/>
                <w:sz w:val="20"/>
              </w:rPr>
            </w:pPr>
            <w:r w:rsidRPr="00AD5F47">
              <w:rPr>
                <w:color w:val="000000"/>
                <w:sz w:val="20"/>
              </w:rPr>
              <w:t>1000</w:t>
            </w:r>
          </w:p>
        </w:tc>
        <w:tc>
          <w:tcPr>
            <w:tcW w:w="613" w:type="pct"/>
            <w:tcBorders>
              <w:top w:val="nil"/>
              <w:left w:val="nil"/>
              <w:bottom w:val="nil"/>
              <w:right w:val="nil"/>
            </w:tcBorders>
            <w:shd w:val="clear" w:color="auto" w:fill="auto"/>
            <w:noWrap/>
            <w:hideMark/>
          </w:tcPr>
          <w:p w14:paraId="7FF791C0" w14:textId="76B6006A"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{"citationItems":[{"id":"ITEM-1","itemData":{"author":[{"dropping-particle":"","family":"Snuverink","given":"M.A.M.","non-dropping-particle":"","parse-names":false,"suffix":""},{"dropping-particle":"","family":"Berg","given":"K.","non-dropping-particle":"van den","parse-names":false,"suffix":""},{"dropping-particle":"","family":"Sluijs","given":"L.","non-dropping-particle":"","parse-names":false,"suffix":""},{"dropping-particle":"","family":"Proosdij","given":"E.","non-dropping-particle":"van","parse-names":false,"suffix":""}],"container-title":"Inundatierisico's buitendijkse gebieden","id":"ITEM-1","issue":"Document no 334393 (in Dutch)","issued":{"date-parts":[["1998"]]},"number-of-pages":"Document no 334393 (in Dutch)","title":"Schade bij inundatie van buitendijkse industrie.","type":"report"},"uris":["http://www.mendeley.com/documents/?uuid=33179d0c-016e-45e7-85d6-2143a0067661"]}],"mendeley":{"formattedCitation":"&lt;sup&gt;15&lt;/sup&gt;","plainTextFormattedCitation":"15","previouslyFormattedCitation":"(&lt;i&gt;15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15</w:t>
            </w:r>
            <w:r w:rsidRPr="00AD5F47">
              <w:rPr>
                <w:color w:val="000000"/>
                <w:sz w:val="20"/>
              </w:rPr>
              <w:fldChar w:fldCharType="end"/>
            </w:r>
            <w:r w:rsidRPr="00AD5F47">
              <w:rPr>
                <w:color w:val="000000"/>
                <w:sz w:val="20"/>
              </w:rPr>
              <w:t xml:space="preserve">, </w:t>
            </w:r>
            <w:r w:rsidRPr="00AD5F47">
              <w:rPr>
                <w:color w:val="000000"/>
                <w:sz w:val="20"/>
              </w:rPr>
              <w:fldChar w:fldCharType="begin" w:fldLock="1"/>
            </w:r>
            <w:r w:rsidR="00902ED9">
              <w:rPr>
                <w:color w:val="000000"/>
                <w:sz w:val="20"/>
              </w:rPr>
              <w:instrText>ADDIN CSL_CITATION {"citationItems":[{"id":"ITEM-1","itemData":{"URL":"https://ppi.worldbank.org/en/snapshots/sector/ports","accessed":{"date-parts":[["2021","6","4"]]},"author":[{"dropping-particle":"","family":"World Bank","given":"","non-dropping-particle":"","parse-names":false,"suffix":""}],"container-title":"Port Sector Snapshot","id":"ITEM-1","issued":{"date-parts":[["2021"]]},"title":"Private Participation in Infrastructure Database","type":"webpage"},"uris":["http://www.mendeley.com/documents/?uuid=d1e420f3-b11c-4025-b32d-6713daa46d80"]}],"mendeley":{"formattedCitation":"&lt;sup&gt;14&lt;/sup&gt;","plainTextFormattedCitation":"14","previouslyFormattedCitation":"(&lt;i&gt;14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w:t>
            </w:r>
            <w:r w:rsidRPr="00AD5F47">
              <w:rPr>
                <w:color w:val="000000"/>
                <w:sz w:val="20"/>
              </w:rPr>
              <w:fldChar w:fldCharType="end"/>
            </w:r>
          </w:p>
        </w:tc>
      </w:tr>
      <w:tr w:rsidR="0095697F" w:rsidRPr="00AD5F47" w14:paraId="561B7C54" w14:textId="77777777" w:rsidTr="00A47A7E">
        <w:trPr>
          <w:trHeight w:val="227"/>
        </w:trPr>
        <w:tc>
          <w:tcPr>
            <w:tcW w:w="510" w:type="pct"/>
            <w:tcBorders>
              <w:top w:val="nil"/>
              <w:left w:val="nil"/>
              <w:bottom w:val="nil"/>
              <w:right w:val="nil"/>
            </w:tcBorders>
            <w:shd w:val="clear" w:color="auto" w:fill="auto"/>
            <w:noWrap/>
            <w:hideMark/>
          </w:tcPr>
          <w:p w14:paraId="19BC5B64"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6A0AD701" w14:textId="77777777" w:rsidR="0095697F" w:rsidRPr="00AD5F47" w:rsidRDefault="0095697F" w:rsidP="00A47A7E">
            <w:pPr>
              <w:rPr>
                <w:color w:val="000000"/>
                <w:sz w:val="20"/>
              </w:rPr>
            </w:pPr>
            <w:r w:rsidRPr="00AD5F47">
              <w:rPr>
                <w:color w:val="000000"/>
                <w:sz w:val="20"/>
              </w:rPr>
              <w:t>Maximum damage Bulk</w:t>
            </w:r>
          </w:p>
        </w:tc>
        <w:tc>
          <w:tcPr>
            <w:tcW w:w="1837" w:type="pct"/>
            <w:tcBorders>
              <w:top w:val="nil"/>
              <w:left w:val="nil"/>
              <w:bottom w:val="nil"/>
              <w:right w:val="nil"/>
            </w:tcBorders>
            <w:shd w:val="clear" w:color="auto" w:fill="auto"/>
            <w:noWrap/>
            <w:hideMark/>
          </w:tcPr>
          <w:p w14:paraId="3CE72CBC" w14:textId="77777777" w:rsidR="0095697F" w:rsidRPr="00AD5F47" w:rsidRDefault="0095697F" w:rsidP="00A47A7E">
            <w:pPr>
              <w:rPr>
                <w:color w:val="000000"/>
                <w:sz w:val="20"/>
              </w:rPr>
            </w:pPr>
            <w:r w:rsidRPr="00AD5F47">
              <w:rPr>
                <w:color w:val="000000"/>
                <w:sz w:val="20"/>
              </w:rPr>
              <w:t>Maximum damage value used in risk analysis (USD/m2)</w:t>
            </w:r>
          </w:p>
        </w:tc>
        <w:tc>
          <w:tcPr>
            <w:tcW w:w="407" w:type="pct"/>
            <w:tcBorders>
              <w:top w:val="nil"/>
              <w:left w:val="nil"/>
              <w:bottom w:val="nil"/>
              <w:right w:val="nil"/>
            </w:tcBorders>
            <w:shd w:val="clear" w:color="auto" w:fill="auto"/>
            <w:noWrap/>
            <w:hideMark/>
          </w:tcPr>
          <w:p w14:paraId="0BAC0D4E" w14:textId="77777777" w:rsidR="0095697F" w:rsidRPr="00AD5F47" w:rsidRDefault="0095697F" w:rsidP="00A47A7E">
            <w:pPr>
              <w:rPr>
                <w:color w:val="000000"/>
                <w:sz w:val="20"/>
              </w:rPr>
            </w:pPr>
            <w:r w:rsidRPr="00AD5F47">
              <w:rPr>
                <w:color w:val="000000"/>
                <w:sz w:val="20"/>
              </w:rPr>
              <w:t>550*</w:t>
            </w:r>
          </w:p>
        </w:tc>
        <w:tc>
          <w:tcPr>
            <w:tcW w:w="306" w:type="pct"/>
            <w:tcBorders>
              <w:top w:val="nil"/>
              <w:left w:val="nil"/>
              <w:bottom w:val="nil"/>
              <w:right w:val="nil"/>
            </w:tcBorders>
            <w:shd w:val="clear" w:color="auto" w:fill="auto"/>
            <w:noWrap/>
            <w:hideMark/>
          </w:tcPr>
          <w:p w14:paraId="6287171E" w14:textId="77777777" w:rsidR="0095697F" w:rsidRPr="00AD5F47" w:rsidRDefault="0095697F" w:rsidP="00A47A7E">
            <w:pPr>
              <w:rPr>
                <w:color w:val="000000"/>
                <w:sz w:val="20"/>
              </w:rPr>
            </w:pPr>
            <w:r w:rsidRPr="00AD5F47">
              <w:rPr>
                <w:color w:val="000000"/>
                <w:sz w:val="20"/>
              </w:rPr>
              <w:t>400</w:t>
            </w:r>
          </w:p>
        </w:tc>
        <w:tc>
          <w:tcPr>
            <w:tcW w:w="306" w:type="pct"/>
            <w:tcBorders>
              <w:top w:val="nil"/>
              <w:left w:val="nil"/>
              <w:bottom w:val="nil"/>
              <w:right w:val="nil"/>
            </w:tcBorders>
            <w:shd w:val="clear" w:color="auto" w:fill="auto"/>
            <w:noWrap/>
            <w:hideMark/>
          </w:tcPr>
          <w:p w14:paraId="738EB30F" w14:textId="77777777" w:rsidR="0095697F" w:rsidRPr="00AD5F47" w:rsidRDefault="0095697F" w:rsidP="00A47A7E">
            <w:pPr>
              <w:rPr>
                <w:color w:val="000000"/>
                <w:sz w:val="20"/>
              </w:rPr>
            </w:pPr>
            <w:r w:rsidRPr="00AD5F47">
              <w:rPr>
                <w:color w:val="000000"/>
                <w:sz w:val="20"/>
              </w:rPr>
              <w:t>700</w:t>
            </w:r>
          </w:p>
        </w:tc>
        <w:tc>
          <w:tcPr>
            <w:tcW w:w="613" w:type="pct"/>
            <w:tcBorders>
              <w:top w:val="nil"/>
              <w:left w:val="nil"/>
              <w:bottom w:val="nil"/>
              <w:right w:val="nil"/>
            </w:tcBorders>
            <w:shd w:val="clear" w:color="auto" w:fill="auto"/>
            <w:noWrap/>
            <w:hideMark/>
          </w:tcPr>
          <w:p w14:paraId="44784C7F" w14:textId="6BF6F0A2"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{"citationItems":[{"id":"ITEM-1","itemData":{"author":[{"dropping-particle":"","family":"Snuverink","given":"M.A.M.","non-dropping-particle":"","parse-names":false,"suffix":""},{"dropping-particle":"","family":"Berg","given":"K.","non-dropping-particle":"van den","parse-names":false,"suffix":""},{"dropping-particle":"","family":"Sluijs","given":"L.","non-dropping-particle":"","parse-names":false,"suffix":""},{"dropping-particle":"","family":"Proosdij","given":"E.","non-dropping-particle":"van","parse-names":false,"suffix":""}],"container-title":"Inundatierisico's buitendijkse gebieden","id":"ITEM-1","issue":"Document no 334393 (in Dutch)","issued":{"date-parts":[["1998"]]},"number-of-pages":"Document no 334393 (in Dutch)","title":"Schade bij inundatie van buitendijkse industrie.","type":"report"},"uris":["http://www.mendeley.com/documents/?uuid=33179d0c-016e-45e7-85d6-2143a0067661"]}],"mendeley":{"formattedCitation":"&lt;sup&gt;15&lt;/sup&gt;","plainTextFormattedCitation":"15","previouslyFormattedCitation":"(&lt;i&gt;15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15</w:t>
            </w:r>
            <w:r w:rsidRPr="00AD5F47">
              <w:rPr>
                <w:color w:val="000000"/>
                <w:sz w:val="20"/>
              </w:rPr>
              <w:fldChar w:fldCharType="end"/>
            </w:r>
            <w:r w:rsidRPr="00AD5F47">
              <w:rPr>
                <w:color w:val="000000"/>
                <w:sz w:val="20"/>
              </w:rPr>
              <w:t xml:space="preserve">, </w:t>
            </w:r>
            <w:r w:rsidRPr="00AD5F47">
              <w:rPr>
                <w:color w:val="000000"/>
                <w:sz w:val="20"/>
              </w:rPr>
              <w:fldChar w:fldCharType="begin" w:fldLock="1"/>
            </w:r>
            <w:r w:rsidR="00902ED9">
              <w:rPr>
                <w:color w:val="000000"/>
                <w:sz w:val="20"/>
              </w:rPr>
              <w:instrText>ADDIN CSL_CITATION {"citationItems":[{"id":"ITEM-1","itemData":{"URL":"https://ppi.worldbank.org/en/snapshots/sector/ports","accessed":{"date-parts":[["2021","6","4"]]},"author":[{"dropping-particle":"","family":"World Bank","given":"","non-dropping-particle":"","parse-names":false,"suffix":""}],"container-title":"Port Sector Snapshot","id":"ITEM-1","issued":{"date-parts":[["2021"]]},"title":"Private Participation in Infrastructure Database","type":"webpage"},"uris":["http://www.mendeley.com/documents/?uuid=d1e420f3-b11c-4025-b32d-6713daa46d80"]}],"mendeley":{"formattedCitation":"&lt;sup&gt;14&lt;/sup&gt;","plainTextFormattedCitation":"14","previouslyFormattedCitation":"(&lt;i&gt;14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w:t>
            </w:r>
            <w:r w:rsidRPr="00AD5F47">
              <w:rPr>
                <w:color w:val="000000"/>
                <w:sz w:val="20"/>
              </w:rPr>
              <w:fldChar w:fldCharType="end"/>
            </w:r>
          </w:p>
        </w:tc>
      </w:tr>
      <w:tr w:rsidR="0095697F" w:rsidRPr="00AD5F47" w14:paraId="09F47202" w14:textId="77777777" w:rsidTr="00A47A7E">
        <w:trPr>
          <w:trHeight w:val="227"/>
        </w:trPr>
        <w:tc>
          <w:tcPr>
            <w:tcW w:w="510" w:type="pct"/>
            <w:tcBorders>
              <w:top w:val="nil"/>
              <w:left w:val="nil"/>
              <w:bottom w:val="nil"/>
              <w:right w:val="nil"/>
            </w:tcBorders>
            <w:shd w:val="clear" w:color="auto" w:fill="auto"/>
            <w:noWrap/>
            <w:hideMark/>
          </w:tcPr>
          <w:p w14:paraId="777D7456"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22E4EE92" w14:textId="77777777" w:rsidR="0095697F" w:rsidRPr="00AD5F47" w:rsidRDefault="0095697F" w:rsidP="00A47A7E">
            <w:pPr>
              <w:rPr>
                <w:color w:val="000000"/>
                <w:sz w:val="20"/>
              </w:rPr>
            </w:pPr>
            <w:r w:rsidRPr="00AD5F47">
              <w:rPr>
                <w:color w:val="000000"/>
                <w:sz w:val="20"/>
              </w:rPr>
              <w:t>Maximum damage Raw</w:t>
            </w:r>
          </w:p>
        </w:tc>
        <w:tc>
          <w:tcPr>
            <w:tcW w:w="1837" w:type="pct"/>
            <w:tcBorders>
              <w:top w:val="nil"/>
              <w:left w:val="nil"/>
              <w:bottom w:val="nil"/>
              <w:right w:val="nil"/>
            </w:tcBorders>
            <w:shd w:val="clear" w:color="auto" w:fill="auto"/>
            <w:noWrap/>
            <w:hideMark/>
          </w:tcPr>
          <w:p w14:paraId="43A11D19" w14:textId="77777777" w:rsidR="0095697F" w:rsidRPr="00AD5F47" w:rsidRDefault="0095697F" w:rsidP="00A47A7E">
            <w:pPr>
              <w:rPr>
                <w:color w:val="000000"/>
                <w:sz w:val="20"/>
              </w:rPr>
            </w:pPr>
            <w:r w:rsidRPr="00AD5F47">
              <w:rPr>
                <w:color w:val="000000"/>
                <w:sz w:val="20"/>
              </w:rPr>
              <w:t>Maximum damage value used in risk analysis (USD/m2)</w:t>
            </w:r>
          </w:p>
        </w:tc>
        <w:tc>
          <w:tcPr>
            <w:tcW w:w="407" w:type="pct"/>
            <w:tcBorders>
              <w:top w:val="nil"/>
              <w:left w:val="nil"/>
              <w:bottom w:val="nil"/>
              <w:right w:val="nil"/>
            </w:tcBorders>
            <w:shd w:val="clear" w:color="auto" w:fill="auto"/>
            <w:noWrap/>
            <w:hideMark/>
          </w:tcPr>
          <w:p w14:paraId="16E61B8E" w14:textId="77777777" w:rsidR="0095697F" w:rsidRPr="00AD5F47" w:rsidRDefault="0095697F" w:rsidP="00A47A7E">
            <w:pPr>
              <w:rPr>
                <w:color w:val="000000"/>
                <w:sz w:val="20"/>
              </w:rPr>
            </w:pPr>
            <w:r w:rsidRPr="00AD5F47">
              <w:rPr>
                <w:color w:val="000000"/>
                <w:sz w:val="20"/>
              </w:rPr>
              <w:t>550*</w:t>
            </w:r>
          </w:p>
        </w:tc>
        <w:tc>
          <w:tcPr>
            <w:tcW w:w="306" w:type="pct"/>
            <w:tcBorders>
              <w:top w:val="nil"/>
              <w:left w:val="nil"/>
              <w:bottom w:val="nil"/>
              <w:right w:val="nil"/>
            </w:tcBorders>
            <w:shd w:val="clear" w:color="auto" w:fill="auto"/>
            <w:noWrap/>
            <w:hideMark/>
          </w:tcPr>
          <w:p w14:paraId="14BBD767" w14:textId="77777777" w:rsidR="0095697F" w:rsidRPr="00AD5F47" w:rsidRDefault="0095697F" w:rsidP="00A47A7E">
            <w:pPr>
              <w:rPr>
                <w:color w:val="000000"/>
                <w:sz w:val="20"/>
              </w:rPr>
            </w:pPr>
            <w:r w:rsidRPr="00AD5F47">
              <w:rPr>
                <w:color w:val="000000"/>
                <w:sz w:val="20"/>
              </w:rPr>
              <w:t>400</w:t>
            </w:r>
          </w:p>
        </w:tc>
        <w:tc>
          <w:tcPr>
            <w:tcW w:w="306" w:type="pct"/>
            <w:tcBorders>
              <w:top w:val="nil"/>
              <w:left w:val="nil"/>
              <w:bottom w:val="nil"/>
              <w:right w:val="nil"/>
            </w:tcBorders>
            <w:shd w:val="clear" w:color="auto" w:fill="auto"/>
            <w:noWrap/>
            <w:hideMark/>
          </w:tcPr>
          <w:p w14:paraId="05434278" w14:textId="77777777" w:rsidR="0095697F" w:rsidRPr="00AD5F47" w:rsidRDefault="0095697F" w:rsidP="00A47A7E">
            <w:pPr>
              <w:rPr>
                <w:color w:val="000000"/>
                <w:sz w:val="20"/>
              </w:rPr>
            </w:pPr>
            <w:r w:rsidRPr="00AD5F47">
              <w:rPr>
                <w:color w:val="000000"/>
                <w:sz w:val="20"/>
              </w:rPr>
              <w:t>700</w:t>
            </w:r>
          </w:p>
        </w:tc>
        <w:tc>
          <w:tcPr>
            <w:tcW w:w="613" w:type="pct"/>
            <w:tcBorders>
              <w:top w:val="nil"/>
              <w:left w:val="nil"/>
              <w:bottom w:val="nil"/>
              <w:right w:val="nil"/>
            </w:tcBorders>
            <w:shd w:val="clear" w:color="auto" w:fill="auto"/>
            <w:noWrap/>
            <w:hideMark/>
          </w:tcPr>
          <w:p w14:paraId="0059A3FB" w14:textId="6DA92D04"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{"citationItems":[{"id":"ITEM-1","itemData":{"author":[{"dropping-particle":"","family":"Snuverink","given":"M.A.M.","non-dropping-particle":"","parse-names":false,"suffix":""},{"dropping-particle":"","family":"Berg","given":"K.","non-dropping-particle":"van den","parse-names":false,"suffix":""},{"dropping-particle":"","family":"Sluijs","given":"L.","non-dropping-particle":"","parse-names":false,"suffix":""},{"dropping-particle":"","family":"Proosdij","given":"E.","non-dropping-particle":"van","parse-names":false,"suffix":""}],"container-title":"Inundatierisico's buitendijkse gebieden","id":"ITEM-1","issue":"Document no 334393 (in Dutch)","issued":{"date-parts":[["1998"]]},"number-of-pages":"Document no 334393 (in Dutch)","title":"Schade bij inundatie van buitendijkse industrie.","type":"report"},"uris":["http://www.mendeley.com/documents/?uuid=33179d0c-016e-45e7-85d6-2143a0067661"]}],"mendeley":{"formattedCitation":"&lt;sup&gt;15&lt;/sup&gt;","plainTextFormattedCitation":"15","previouslyFormattedCitation":"(&lt;i&gt;15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15</w:t>
            </w:r>
            <w:r w:rsidRPr="00AD5F47">
              <w:rPr>
                <w:color w:val="000000"/>
                <w:sz w:val="20"/>
              </w:rPr>
              <w:fldChar w:fldCharType="end"/>
            </w:r>
            <w:r w:rsidRPr="00AD5F47">
              <w:rPr>
                <w:color w:val="000000"/>
                <w:sz w:val="20"/>
              </w:rPr>
              <w:t xml:space="preserve">, </w:t>
            </w:r>
            <w:r w:rsidRPr="00AD5F47">
              <w:rPr>
                <w:color w:val="000000"/>
                <w:sz w:val="20"/>
              </w:rPr>
              <w:fldChar w:fldCharType="begin" w:fldLock="1"/>
            </w:r>
            <w:r w:rsidR="00902ED9">
              <w:rPr>
                <w:color w:val="000000"/>
                <w:sz w:val="20"/>
              </w:rPr>
              <w:instrText>ADDIN CSL_CITATION {"citationItems":[{"id":"ITEM-1","itemData":{"URL":"https://ppi.worldbank.org/en/snapshots/sector/ports","accessed":{"date-parts":[["2021","6","4"]]},"author":[{"dropping-particle":"","family":"World Bank","given":"","non-dropping-particle":"","parse-names":false,"suffix":""}],"container-title":"Port Sector Snapshot","id":"ITEM-1","issued":{"date-parts":[["2021"]]},"title":"Private Participation in Infrastructure Database","type":"webpage"},"uris":["http://www.mendeley.com/documents/?uuid=d1e420f3-b11c-4025-b32d-6713daa46d80"]}],"mendeley":{"formattedCitation":"&lt;sup&gt;14&lt;/sup&gt;","plainTextFormattedCitation":"14","previouslyFormattedCitation":"(&lt;i&gt;14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w:t>
            </w:r>
            <w:r w:rsidRPr="00AD5F47">
              <w:rPr>
                <w:color w:val="000000"/>
                <w:sz w:val="20"/>
              </w:rPr>
              <w:fldChar w:fldCharType="end"/>
            </w:r>
          </w:p>
        </w:tc>
      </w:tr>
      <w:tr w:rsidR="0095697F" w:rsidRPr="00AD5F47" w14:paraId="65569304" w14:textId="77777777" w:rsidTr="00A47A7E">
        <w:trPr>
          <w:trHeight w:val="227"/>
        </w:trPr>
        <w:tc>
          <w:tcPr>
            <w:tcW w:w="510" w:type="pct"/>
            <w:tcBorders>
              <w:top w:val="nil"/>
              <w:left w:val="nil"/>
              <w:bottom w:val="nil"/>
              <w:right w:val="nil"/>
            </w:tcBorders>
            <w:shd w:val="clear" w:color="auto" w:fill="auto"/>
            <w:noWrap/>
            <w:hideMark/>
          </w:tcPr>
          <w:p w14:paraId="01C67572"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3594598B" w14:textId="77777777" w:rsidR="0095697F" w:rsidRPr="00AD5F47" w:rsidRDefault="0095697F" w:rsidP="00A47A7E">
            <w:pPr>
              <w:rPr>
                <w:color w:val="000000"/>
                <w:sz w:val="20"/>
              </w:rPr>
            </w:pPr>
            <w:r w:rsidRPr="00AD5F47">
              <w:rPr>
                <w:color w:val="000000"/>
                <w:sz w:val="20"/>
              </w:rPr>
              <w:t>Maximum damage Refinery</w:t>
            </w:r>
          </w:p>
        </w:tc>
        <w:tc>
          <w:tcPr>
            <w:tcW w:w="1837" w:type="pct"/>
            <w:tcBorders>
              <w:top w:val="nil"/>
              <w:left w:val="nil"/>
              <w:bottom w:val="nil"/>
              <w:right w:val="nil"/>
            </w:tcBorders>
            <w:shd w:val="clear" w:color="auto" w:fill="auto"/>
            <w:noWrap/>
            <w:hideMark/>
          </w:tcPr>
          <w:p w14:paraId="173BEA7E" w14:textId="77777777" w:rsidR="0095697F" w:rsidRPr="00AD5F47" w:rsidRDefault="0095697F" w:rsidP="00A47A7E">
            <w:pPr>
              <w:rPr>
                <w:color w:val="000000"/>
                <w:sz w:val="20"/>
              </w:rPr>
            </w:pPr>
            <w:r w:rsidRPr="00AD5F47">
              <w:rPr>
                <w:color w:val="000000"/>
                <w:sz w:val="20"/>
              </w:rPr>
              <w:t>Maximum damage value used in risk analysis (USD/m2)</w:t>
            </w:r>
          </w:p>
        </w:tc>
        <w:tc>
          <w:tcPr>
            <w:tcW w:w="407" w:type="pct"/>
            <w:tcBorders>
              <w:top w:val="nil"/>
              <w:left w:val="nil"/>
              <w:bottom w:val="nil"/>
              <w:right w:val="nil"/>
            </w:tcBorders>
            <w:shd w:val="clear" w:color="auto" w:fill="auto"/>
            <w:noWrap/>
            <w:hideMark/>
          </w:tcPr>
          <w:p w14:paraId="709FA1D0" w14:textId="77777777" w:rsidR="0095697F" w:rsidRPr="00AD5F47" w:rsidRDefault="0095697F" w:rsidP="00A47A7E">
            <w:pPr>
              <w:rPr>
                <w:color w:val="000000"/>
                <w:sz w:val="20"/>
              </w:rPr>
            </w:pPr>
            <w:r w:rsidRPr="00AD5F47">
              <w:rPr>
                <w:color w:val="000000"/>
                <w:sz w:val="20"/>
              </w:rPr>
              <w:t>1800*</w:t>
            </w:r>
          </w:p>
        </w:tc>
        <w:tc>
          <w:tcPr>
            <w:tcW w:w="306" w:type="pct"/>
            <w:tcBorders>
              <w:top w:val="nil"/>
              <w:left w:val="nil"/>
              <w:bottom w:val="nil"/>
              <w:right w:val="nil"/>
            </w:tcBorders>
            <w:shd w:val="clear" w:color="auto" w:fill="auto"/>
            <w:noWrap/>
            <w:hideMark/>
          </w:tcPr>
          <w:p w14:paraId="370F91B0" w14:textId="77777777" w:rsidR="0095697F" w:rsidRPr="00AD5F47" w:rsidRDefault="0095697F" w:rsidP="00A47A7E">
            <w:pPr>
              <w:rPr>
                <w:color w:val="000000"/>
                <w:sz w:val="20"/>
              </w:rPr>
            </w:pPr>
            <w:r w:rsidRPr="00AD5F47">
              <w:rPr>
                <w:color w:val="000000"/>
                <w:sz w:val="20"/>
              </w:rPr>
              <w:t>1500</w:t>
            </w:r>
          </w:p>
        </w:tc>
        <w:tc>
          <w:tcPr>
            <w:tcW w:w="306" w:type="pct"/>
            <w:tcBorders>
              <w:top w:val="nil"/>
              <w:left w:val="nil"/>
              <w:bottom w:val="nil"/>
              <w:right w:val="nil"/>
            </w:tcBorders>
            <w:shd w:val="clear" w:color="auto" w:fill="auto"/>
            <w:noWrap/>
            <w:hideMark/>
          </w:tcPr>
          <w:p w14:paraId="6B54E0C8" w14:textId="77777777" w:rsidR="0095697F" w:rsidRPr="00AD5F47" w:rsidRDefault="0095697F" w:rsidP="00A47A7E">
            <w:pPr>
              <w:rPr>
                <w:color w:val="000000"/>
                <w:sz w:val="20"/>
              </w:rPr>
            </w:pPr>
            <w:r w:rsidRPr="00AD5F47">
              <w:rPr>
                <w:color w:val="000000"/>
                <w:sz w:val="20"/>
              </w:rPr>
              <w:t>2100</w:t>
            </w:r>
          </w:p>
        </w:tc>
        <w:tc>
          <w:tcPr>
            <w:tcW w:w="613" w:type="pct"/>
            <w:tcBorders>
              <w:top w:val="nil"/>
              <w:left w:val="nil"/>
              <w:bottom w:val="nil"/>
              <w:right w:val="nil"/>
            </w:tcBorders>
            <w:shd w:val="clear" w:color="auto" w:fill="auto"/>
            <w:noWrap/>
            <w:hideMark/>
          </w:tcPr>
          <w:p w14:paraId="32403C50" w14:textId="384093D8"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{"citationItems":[{"id":"ITEM-1","itemData":{"author":[{"dropping-particle":"","family":"Snuverink","given":"M.A.M.","non-dropping-particle":"","parse-names":false,"suffix":""},{"dropping-particle":"","family":"Berg","given":"K.","non-dropping-particle":"van den","parse-names":false,"suffix":""},{"dropping-particle":"","family":"Sluijs","given":"L.","non-dropping-particle":"","parse-names":false,"suffix":""},{"dropping-particle":"","family":"Proosdij","given":"E.","non-dropping-particle":"van","parse-names":false,"suffix":""}],"container-title":"Inundatierisico's buitendijkse gebieden","id":"ITEM-1","issue":"Document no 334393 (in Dutch)","issued":{"date-parts":[["1998"]]},"number-of-pages":"Document no 334393 (in Dutch)","title":"Schade bij inundatie van buitendijkse industrie.","type":"report"},"uris":["http://www.mendeley.com/documents/?uuid=33179d0c-016e-45e7-85d6-2143a0067661"]}],"mendeley":{"formattedCitation":"&lt;sup&gt;15&lt;/sup&gt;","plainTextFormattedCitation":"15","previouslyFormattedCitation":"(&lt;i&gt;15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15</w:t>
            </w:r>
            <w:r w:rsidRPr="00AD5F47">
              <w:rPr>
                <w:color w:val="000000"/>
                <w:sz w:val="20"/>
              </w:rPr>
              <w:fldChar w:fldCharType="end"/>
            </w:r>
            <w:r w:rsidRPr="00AD5F47">
              <w:rPr>
                <w:color w:val="000000"/>
                <w:sz w:val="20"/>
              </w:rPr>
              <w:t xml:space="preserve">, </w:t>
            </w:r>
            <w:r w:rsidRPr="00AD5F47">
              <w:rPr>
                <w:color w:val="000000"/>
                <w:sz w:val="20"/>
              </w:rPr>
              <w:fldChar w:fldCharType="begin" w:fldLock="1"/>
            </w:r>
            <w:r w:rsidR="00902ED9">
              <w:rPr>
                <w:color w:val="000000"/>
                <w:sz w:val="20"/>
              </w:rPr>
              <w:instrText>ADDIN CSL_CITATION {"citationItems":[{"id":"ITEM-1","itemData":{"URL":"https://ppi.worldbank.org/en/snapshots/sector/ports","accessed":{"date-parts":[["2021","6","4"]]},"author":[{"dropping-particle":"","family":"World Bank","given":"","non-dropping-particle":"","parse-names":false,"suffix":""}],"container-title":"Port Sector Snapshot","id":"ITEM-1","issued":{"date-parts":[["2021"]]},"title":"Private Participation in Infrastructure Database","type":"webpage"},"uris":["http://www.mendeley.com/documents/?uuid=d1e420f3-b11c-4025-b32d-6713daa46d80"]}],"mendeley":{"formattedCitation":"&lt;sup&gt;14&lt;/sup&gt;","plainTextFormattedCitation":"14","previouslyFormattedCitation":"(&lt;i&gt;14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w:t>
            </w:r>
            <w:r w:rsidRPr="00AD5F47">
              <w:rPr>
                <w:color w:val="000000"/>
                <w:sz w:val="20"/>
              </w:rPr>
              <w:fldChar w:fldCharType="end"/>
            </w:r>
          </w:p>
        </w:tc>
      </w:tr>
      <w:tr w:rsidR="0095697F" w:rsidRPr="00AD5F47" w14:paraId="315AD290" w14:textId="77777777" w:rsidTr="00A47A7E">
        <w:trPr>
          <w:trHeight w:val="227"/>
        </w:trPr>
        <w:tc>
          <w:tcPr>
            <w:tcW w:w="510" w:type="pct"/>
            <w:tcBorders>
              <w:top w:val="nil"/>
              <w:left w:val="nil"/>
              <w:bottom w:val="nil"/>
              <w:right w:val="nil"/>
            </w:tcBorders>
            <w:shd w:val="clear" w:color="auto" w:fill="auto"/>
            <w:noWrap/>
            <w:hideMark/>
          </w:tcPr>
          <w:p w14:paraId="4552E502"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18284E6D" w14:textId="77777777" w:rsidR="0095697F" w:rsidRPr="00AD5F47" w:rsidRDefault="0095697F" w:rsidP="00A47A7E">
            <w:pPr>
              <w:rPr>
                <w:color w:val="000000"/>
                <w:sz w:val="20"/>
              </w:rPr>
            </w:pPr>
            <w:r w:rsidRPr="00AD5F47">
              <w:rPr>
                <w:color w:val="000000"/>
                <w:sz w:val="20"/>
              </w:rPr>
              <w:t>Maximum damage Industry</w:t>
            </w:r>
          </w:p>
        </w:tc>
        <w:tc>
          <w:tcPr>
            <w:tcW w:w="1837" w:type="pct"/>
            <w:tcBorders>
              <w:top w:val="nil"/>
              <w:left w:val="nil"/>
              <w:bottom w:val="nil"/>
              <w:right w:val="nil"/>
            </w:tcBorders>
            <w:shd w:val="clear" w:color="auto" w:fill="auto"/>
            <w:noWrap/>
            <w:hideMark/>
          </w:tcPr>
          <w:p w14:paraId="5D557720" w14:textId="77777777" w:rsidR="0095697F" w:rsidRPr="00AD5F47" w:rsidRDefault="0095697F" w:rsidP="00A47A7E">
            <w:pPr>
              <w:rPr>
                <w:color w:val="000000"/>
                <w:sz w:val="20"/>
              </w:rPr>
            </w:pPr>
            <w:r w:rsidRPr="00AD5F47">
              <w:rPr>
                <w:color w:val="000000"/>
                <w:sz w:val="20"/>
              </w:rPr>
              <w:t>Maximum damage value used in risk analysis (USD/m2)</w:t>
            </w:r>
          </w:p>
        </w:tc>
        <w:tc>
          <w:tcPr>
            <w:tcW w:w="407" w:type="pct"/>
            <w:tcBorders>
              <w:top w:val="nil"/>
              <w:left w:val="nil"/>
              <w:bottom w:val="nil"/>
              <w:right w:val="nil"/>
            </w:tcBorders>
            <w:shd w:val="clear" w:color="auto" w:fill="auto"/>
            <w:noWrap/>
            <w:hideMark/>
          </w:tcPr>
          <w:p w14:paraId="32C7E410" w14:textId="77777777" w:rsidR="0095697F" w:rsidRPr="00AD5F47" w:rsidRDefault="0095697F" w:rsidP="00A47A7E">
            <w:pPr>
              <w:rPr>
                <w:color w:val="000000"/>
                <w:sz w:val="20"/>
              </w:rPr>
            </w:pPr>
            <w:r w:rsidRPr="00AD5F47">
              <w:rPr>
                <w:color w:val="000000"/>
                <w:sz w:val="20"/>
              </w:rPr>
              <w:t>400</w:t>
            </w:r>
          </w:p>
        </w:tc>
        <w:tc>
          <w:tcPr>
            <w:tcW w:w="306" w:type="pct"/>
            <w:tcBorders>
              <w:top w:val="nil"/>
              <w:left w:val="nil"/>
              <w:bottom w:val="nil"/>
              <w:right w:val="nil"/>
            </w:tcBorders>
            <w:shd w:val="clear" w:color="auto" w:fill="auto"/>
            <w:noWrap/>
            <w:hideMark/>
          </w:tcPr>
          <w:p w14:paraId="398500B2" w14:textId="77777777" w:rsidR="0095697F" w:rsidRPr="00AD5F47" w:rsidRDefault="0095697F" w:rsidP="00A47A7E">
            <w:pPr>
              <w:rPr>
                <w:color w:val="000000"/>
                <w:sz w:val="20"/>
              </w:rPr>
            </w:pPr>
            <w:r w:rsidRPr="00AD5F47">
              <w:rPr>
                <w:color w:val="000000"/>
                <w:sz w:val="20"/>
              </w:rPr>
              <w:t>300</w:t>
            </w:r>
          </w:p>
        </w:tc>
        <w:tc>
          <w:tcPr>
            <w:tcW w:w="306" w:type="pct"/>
            <w:tcBorders>
              <w:top w:val="nil"/>
              <w:left w:val="nil"/>
              <w:bottom w:val="nil"/>
              <w:right w:val="nil"/>
            </w:tcBorders>
            <w:shd w:val="clear" w:color="auto" w:fill="auto"/>
            <w:noWrap/>
            <w:hideMark/>
          </w:tcPr>
          <w:p w14:paraId="3E78800F" w14:textId="77777777" w:rsidR="0095697F" w:rsidRPr="00AD5F47" w:rsidRDefault="0095697F" w:rsidP="00A47A7E">
            <w:pPr>
              <w:rPr>
                <w:color w:val="000000"/>
                <w:sz w:val="20"/>
              </w:rPr>
            </w:pPr>
            <w:r w:rsidRPr="00AD5F47">
              <w:rPr>
                <w:color w:val="000000"/>
                <w:sz w:val="20"/>
              </w:rPr>
              <w:t>500</w:t>
            </w:r>
          </w:p>
        </w:tc>
        <w:tc>
          <w:tcPr>
            <w:tcW w:w="613" w:type="pct"/>
            <w:tcBorders>
              <w:top w:val="nil"/>
              <w:left w:val="nil"/>
              <w:bottom w:val="nil"/>
              <w:right w:val="nil"/>
            </w:tcBorders>
            <w:shd w:val="clear" w:color="auto" w:fill="auto"/>
            <w:noWrap/>
            <w:hideMark/>
          </w:tcPr>
          <w:p w14:paraId="2FD59FA9" w14:textId="041528AE"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{"citationItems":[{"id":"ITEM-1","itemData":{"DOI":"10.2760/16510","ISBN":"0021-9258 (Print)\\r0021-9258 (Linking)","PMID":"10092645","author":[{"dropping-particle":"","family":"Huizinga","given":"Jan","non-dropping-particle":"","parse-names":false,"suffix":""},{"dropping-particle":"","family":"Moel","given":"Hans","non-dropping-particle":"De","parse-names":false,"suffix":""},{"dropping-particle":"","family":"Szewczyk","given":"Wojciech","non-dropping-particle":"","parse-names":false,"suffix":""}],"id":"ITEM-1","issued":{"date-parts":[["2017"]]},"title":"Global flood depth-damage functions. Methodology and the database with guidelines.","type":"report"},"uris":["http://www.mendeley.com/documents/?uuid=2ef3ce7b-38d0-4526-bf68-c406c9bc0a98"]}],"mendeley":{"formattedCitation":"&lt;sup&gt;16&lt;/sup&gt;","plainTextFormattedCitation":"16","previouslyFormattedCitation":"(&lt;i&gt;16&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16</w:t>
            </w:r>
            <w:r w:rsidRPr="00AD5F47">
              <w:rPr>
                <w:color w:val="000000"/>
                <w:sz w:val="20"/>
              </w:rPr>
              <w:fldChar w:fldCharType="end"/>
            </w:r>
          </w:p>
        </w:tc>
      </w:tr>
      <w:tr w:rsidR="0095697F" w:rsidRPr="00AD5F47" w14:paraId="4C170238" w14:textId="77777777" w:rsidTr="00A47A7E">
        <w:trPr>
          <w:trHeight w:val="227"/>
        </w:trPr>
        <w:tc>
          <w:tcPr>
            <w:tcW w:w="510" w:type="pct"/>
            <w:tcBorders>
              <w:top w:val="nil"/>
              <w:left w:val="nil"/>
              <w:bottom w:val="nil"/>
              <w:right w:val="nil"/>
            </w:tcBorders>
            <w:shd w:val="clear" w:color="auto" w:fill="auto"/>
            <w:noWrap/>
            <w:hideMark/>
          </w:tcPr>
          <w:p w14:paraId="044CB2B0"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0D6FAB49" w14:textId="77777777" w:rsidR="0095697F" w:rsidRPr="00AD5F47" w:rsidRDefault="0095697F" w:rsidP="00A47A7E">
            <w:pPr>
              <w:rPr>
                <w:color w:val="000000"/>
                <w:sz w:val="20"/>
              </w:rPr>
            </w:pPr>
            <w:r w:rsidRPr="00AD5F47">
              <w:rPr>
                <w:color w:val="000000"/>
                <w:sz w:val="20"/>
              </w:rPr>
              <w:t>Maximum damage Warehouse</w:t>
            </w:r>
          </w:p>
        </w:tc>
        <w:tc>
          <w:tcPr>
            <w:tcW w:w="1837" w:type="pct"/>
            <w:tcBorders>
              <w:top w:val="nil"/>
              <w:left w:val="nil"/>
              <w:bottom w:val="nil"/>
              <w:right w:val="nil"/>
            </w:tcBorders>
            <w:shd w:val="clear" w:color="auto" w:fill="auto"/>
            <w:noWrap/>
            <w:hideMark/>
          </w:tcPr>
          <w:p w14:paraId="100ABC7B" w14:textId="77777777" w:rsidR="0095697F" w:rsidRPr="00AD5F47" w:rsidRDefault="0095697F" w:rsidP="00A47A7E">
            <w:pPr>
              <w:rPr>
                <w:color w:val="000000"/>
                <w:sz w:val="20"/>
              </w:rPr>
            </w:pPr>
            <w:r w:rsidRPr="00AD5F47">
              <w:rPr>
                <w:color w:val="000000"/>
                <w:sz w:val="20"/>
              </w:rPr>
              <w:t>Maximum damage value used in risk analysis (USD/m2)</w:t>
            </w:r>
          </w:p>
        </w:tc>
        <w:tc>
          <w:tcPr>
            <w:tcW w:w="407" w:type="pct"/>
            <w:tcBorders>
              <w:top w:val="nil"/>
              <w:left w:val="nil"/>
              <w:bottom w:val="nil"/>
              <w:right w:val="nil"/>
            </w:tcBorders>
            <w:shd w:val="clear" w:color="auto" w:fill="auto"/>
            <w:noWrap/>
            <w:hideMark/>
          </w:tcPr>
          <w:p w14:paraId="06ED6D90" w14:textId="77777777" w:rsidR="0095697F" w:rsidRPr="00AD5F47" w:rsidRDefault="0095697F" w:rsidP="00A47A7E">
            <w:pPr>
              <w:rPr>
                <w:color w:val="000000"/>
                <w:sz w:val="20"/>
              </w:rPr>
            </w:pPr>
            <w:r w:rsidRPr="00AD5F47">
              <w:rPr>
                <w:color w:val="000000"/>
                <w:sz w:val="20"/>
              </w:rPr>
              <w:t>600</w:t>
            </w:r>
          </w:p>
        </w:tc>
        <w:tc>
          <w:tcPr>
            <w:tcW w:w="306" w:type="pct"/>
            <w:tcBorders>
              <w:top w:val="nil"/>
              <w:left w:val="nil"/>
              <w:bottom w:val="nil"/>
              <w:right w:val="nil"/>
            </w:tcBorders>
            <w:shd w:val="clear" w:color="auto" w:fill="auto"/>
            <w:noWrap/>
            <w:hideMark/>
          </w:tcPr>
          <w:p w14:paraId="5D90ED99" w14:textId="77777777" w:rsidR="0095697F" w:rsidRPr="00AD5F47" w:rsidRDefault="0095697F" w:rsidP="00A47A7E">
            <w:pPr>
              <w:rPr>
                <w:color w:val="000000"/>
                <w:sz w:val="20"/>
              </w:rPr>
            </w:pPr>
            <w:r w:rsidRPr="00AD5F47">
              <w:rPr>
                <w:color w:val="000000"/>
                <w:sz w:val="20"/>
              </w:rPr>
              <w:t>400</w:t>
            </w:r>
          </w:p>
        </w:tc>
        <w:tc>
          <w:tcPr>
            <w:tcW w:w="306" w:type="pct"/>
            <w:tcBorders>
              <w:top w:val="nil"/>
              <w:left w:val="nil"/>
              <w:bottom w:val="nil"/>
              <w:right w:val="nil"/>
            </w:tcBorders>
            <w:shd w:val="clear" w:color="auto" w:fill="auto"/>
            <w:noWrap/>
            <w:hideMark/>
          </w:tcPr>
          <w:p w14:paraId="1BF800F1" w14:textId="77777777" w:rsidR="0095697F" w:rsidRPr="00AD5F47" w:rsidRDefault="0095697F" w:rsidP="00A47A7E">
            <w:pPr>
              <w:rPr>
                <w:color w:val="000000"/>
                <w:sz w:val="20"/>
              </w:rPr>
            </w:pPr>
            <w:r w:rsidRPr="00AD5F47">
              <w:rPr>
                <w:color w:val="000000"/>
                <w:sz w:val="20"/>
              </w:rPr>
              <w:t>800</w:t>
            </w:r>
          </w:p>
        </w:tc>
        <w:tc>
          <w:tcPr>
            <w:tcW w:w="613" w:type="pct"/>
            <w:tcBorders>
              <w:top w:val="nil"/>
              <w:left w:val="nil"/>
              <w:bottom w:val="nil"/>
              <w:right w:val="nil"/>
            </w:tcBorders>
            <w:shd w:val="clear" w:color="auto" w:fill="auto"/>
            <w:noWrap/>
            <w:hideMark/>
          </w:tcPr>
          <w:p w14:paraId="1448E8C8" w14:textId="6AFA27E8"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{"citationItems":[{"id":"ITEM-1","itemData":{"author":[{"dropping-particle":"","family":"ARE","given":"","non-dropping-particle":"","parse-names":false,"suffix":""}],"id":"ITEM-1","issue":"March","issued":{"date-parts":[["2018"]]},"title":"Climate Costs for Asia Pacific Ports","type":"report"},"uris":["http://www.mendeley.com/documents/?uuid=cc24845d-0f58-4955-9b2e-8468bc89d731"]}],"mendeley":{"formattedCitation":"&lt;sup&gt;17&lt;/sup&gt;","plainTextFormattedCitation":"17","previouslyFormattedCitation":"(&lt;i&gt;17&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17</w:t>
            </w:r>
            <w:r w:rsidRPr="00AD5F47">
              <w:rPr>
                <w:color w:val="000000"/>
                <w:sz w:val="20"/>
              </w:rPr>
              <w:fldChar w:fldCharType="end"/>
            </w:r>
          </w:p>
        </w:tc>
      </w:tr>
      <w:tr w:rsidR="0095697F" w:rsidRPr="00AD5F47" w14:paraId="0BCE1001" w14:textId="77777777" w:rsidTr="00A47A7E">
        <w:trPr>
          <w:trHeight w:val="227"/>
        </w:trPr>
        <w:tc>
          <w:tcPr>
            <w:tcW w:w="510" w:type="pct"/>
            <w:tcBorders>
              <w:top w:val="nil"/>
              <w:left w:val="nil"/>
              <w:bottom w:val="nil"/>
              <w:right w:val="nil"/>
            </w:tcBorders>
            <w:shd w:val="clear" w:color="auto" w:fill="auto"/>
            <w:noWrap/>
            <w:hideMark/>
          </w:tcPr>
          <w:p w14:paraId="29BCF5B6"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512B1903" w14:textId="77777777" w:rsidR="0095697F" w:rsidRPr="00AD5F47" w:rsidRDefault="0095697F" w:rsidP="00A47A7E">
            <w:pPr>
              <w:rPr>
                <w:color w:val="000000"/>
                <w:sz w:val="20"/>
              </w:rPr>
            </w:pPr>
            <w:r w:rsidRPr="00AD5F47">
              <w:rPr>
                <w:color w:val="000000"/>
                <w:sz w:val="20"/>
              </w:rPr>
              <w:t>Maximum damage Ship to Shore crane</w:t>
            </w:r>
          </w:p>
        </w:tc>
        <w:tc>
          <w:tcPr>
            <w:tcW w:w="1837" w:type="pct"/>
            <w:tcBorders>
              <w:top w:val="nil"/>
              <w:left w:val="nil"/>
              <w:bottom w:val="nil"/>
              <w:right w:val="nil"/>
            </w:tcBorders>
            <w:shd w:val="clear" w:color="auto" w:fill="auto"/>
            <w:noWrap/>
            <w:hideMark/>
          </w:tcPr>
          <w:p w14:paraId="7D6B7662" w14:textId="77777777" w:rsidR="0095697F" w:rsidRPr="00AD5F47" w:rsidRDefault="0095697F" w:rsidP="00A47A7E">
            <w:pPr>
              <w:rPr>
                <w:color w:val="000000"/>
                <w:sz w:val="20"/>
              </w:rPr>
            </w:pPr>
            <w:r w:rsidRPr="00AD5F47">
              <w:rPr>
                <w:color w:val="000000"/>
                <w:sz w:val="20"/>
              </w:rPr>
              <w:t>Maximum damage value used in risk analysis (MUSD)</w:t>
            </w:r>
          </w:p>
        </w:tc>
        <w:tc>
          <w:tcPr>
            <w:tcW w:w="407" w:type="pct"/>
            <w:tcBorders>
              <w:top w:val="nil"/>
              <w:left w:val="nil"/>
              <w:bottom w:val="nil"/>
              <w:right w:val="nil"/>
            </w:tcBorders>
            <w:shd w:val="clear" w:color="auto" w:fill="auto"/>
            <w:noWrap/>
            <w:hideMark/>
          </w:tcPr>
          <w:p w14:paraId="1EA975D4" w14:textId="77777777" w:rsidR="0095697F" w:rsidRPr="00AD5F47" w:rsidRDefault="0095697F" w:rsidP="00A47A7E">
            <w:pPr>
              <w:rPr>
                <w:color w:val="000000"/>
                <w:sz w:val="20"/>
              </w:rPr>
            </w:pPr>
            <w:r w:rsidRPr="00AD5F47">
              <w:rPr>
                <w:color w:val="000000"/>
                <w:sz w:val="20"/>
              </w:rPr>
              <w:t>9</w:t>
            </w:r>
          </w:p>
        </w:tc>
        <w:tc>
          <w:tcPr>
            <w:tcW w:w="306" w:type="pct"/>
            <w:tcBorders>
              <w:top w:val="nil"/>
              <w:left w:val="nil"/>
              <w:bottom w:val="nil"/>
              <w:right w:val="nil"/>
            </w:tcBorders>
            <w:shd w:val="clear" w:color="auto" w:fill="auto"/>
            <w:noWrap/>
            <w:hideMark/>
          </w:tcPr>
          <w:p w14:paraId="661A12F7" w14:textId="77777777" w:rsidR="0095697F" w:rsidRPr="00AD5F47" w:rsidRDefault="0095697F" w:rsidP="00A47A7E">
            <w:pPr>
              <w:rPr>
                <w:color w:val="000000"/>
                <w:sz w:val="20"/>
              </w:rPr>
            </w:pPr>
            <w:r w:rsidRPr="00AD5F47">
              <w:rPr>
                <w:color w:val="000000"/>
                <w:sz w:val="20"/>
              </w:rPr>
              <w:t>7</w:t>
            </w:r>
          </w:p>
        </w:tc>
        <w:tc>
          <w:tcPr>
            <w:tcW w:w="306" w:type="pct"/>
            <w:tcBorders>
              <w:top w:val="nil"/>
              <w:left w:val="nil"/>
              <w:bottom w:val="nil"/>
              <w:right w:val="nil"/>
            </w:tcBorders>
            <w:shd w:val="clear" w:color="auto" w:fill="auto"/>
            <w:noWrap/>
            <w:hideMark/>
          </w:tcPr>
          <w:p w14:paraId="11567C7A" w14:textId="77777777" w:rsidR="0095697F" w:rsidRPr="00AD5F47" w:rsidRDefault="0095697F" w:rsidP="00A47A7E">
            <w:pPr>
              <w:rPr>
                <w:color w:val="000000"/>
                <w:sz w:val="20"/>
              </w:rPr>
            </w:pPr>
            <w:r w:rsidRPr="00AD5F47">
              <w:rPr>
                <w:color w:val="000000"/>
                <w:sz w:val="20"/>
              </w:rPr>
              <w:t>11</w:t>
            </w:r>
          </w:p>
        </w:tc>
        <w:tc>
          <w:tcPr>
            <w:tcW w:w="613" w:type="pct"/>
            <w:tcBorders>
              <w:top w:val="nil"/>
              <w:left w:val="nil"/>
              <w:bottom w:val="nil"/>
              <w:right w:val="nil"/>
            </w:tcBorders>
            <w:shd w:val="clear" w:color="auto" w:fill="auto"/>
            <w:noWrap/>
            <w:hideMark/>
          </w:tcPr>
          <w:p w14:paraId="3DF219A1" w14:textId="50832930" w:rsidR="0095697F" w:rsidRPr="00AD5F47" w:rsidRDefault="0095697F" w:rsidP="00A47A7E">
            <w:pPr>
              <w:rPr>
                <w:color w:val="000000"/>
                <w:sz w:val="20"/>
              </w:rPr>
            </w:pPr>
            <w:r w:rsidRPr="00AD5F47">
              <w:rPr>
                <w:color w:val="000000"/>
                <w:sz w:val="20"/>
              </w:rPr>
              <w:t xml:space="preserve">Expert Judgment, </w:t>
            </w:r>
            <w:r w:rsidRPr="00AD5F47">
              <w:rPr>
                <w:color w:val="000000"/>
                <w:sz w:val="20"/>
              </w:rPr>
              <w:fldChar w:fldCharType="begin" w:fldLock="1"/>
            </w:r>
            <w:r w:rsidR="00902ED9">
              <w:rPr>
                <w:color w:val="000000"/>
                <w:sz w:val="20"/>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18&lt;/sup&gt;","plainTextFormattedCitation":"18","previouslyFormattedCitation":"(&lt;i&gt;18&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18</w:t>
            </w:r>
            <w:r w:rsidRPr="00AD5F47">
              <w:rPr>
                <w:color w:val="000000"/>
                <w:sz w:val="20"/>
              </w:rPr>
              <w:fldChar w:fldCharType="end"/>
            </w:r>
          </w:p>
        </w:tc>
      </w:tr>
      <w:tr w:rsidR="0095697F" w:rsidRPr="00AD5F47" w14:paraId="23D5E240" w14:textId="77777777" w:rsidTr="00A47A7E">
        <w:trPr>
          <w:trHeight w:val="227"/>
        </w:trPr>
        <w:tc>
          <w:tcPr>
            <w:tcW w:w="510" w:type="pct"/>
            <w:tcBorders>
              <w:top w:val="nil"/>
              <w:left w:val="nil"/>
              <w:bottom w:val="nil"/>
              <w:right w:val="nil"/>
            </w:tcBorders>
            <w:shd w:val="clear" w:color="auto" w:fill="auto"/>
            <w:noWrap/>
            <w:hideMark/>
          </w:tcPr>
          <w:p w14:paraId="7B48BA05"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301552D8" w14:textId="77777777" w:rsidR="0095697F" w:rsidRPr="00AD5F47" w:rsidRDefault="0095697F" w:rsidP="00A47A7E">
            <w:pPr>
              <w:rPr>
                <w:sz w:val="20"/>
              </w:rPr>
            </w:pPr>
          </w:p>
        </w:tc>
        <w:tc>
          <w:tcPr>
            <w:tcW w:w="1837" w:type="pct"/>
            <w:tcBorders>
              <w:top w:val="nil"/>
              <w:left w:val="nil"/>
              <w:bottom w:val="nil"/>
              <w:right w:val="nil"/>
            </w:tcBorders>
            <w:shd w:val="clear" w:color="auto" w:fill="auto"/>
            <w:noWrap/>
            <w:hideMark/>
          </w:tcPr>
          <w:p w14:paraId="3D17FA37" w14:textId="77777777" w:rsidR="0095697F" w:rsidRPr="00AD5F47" w:rsidRDefault="0095697F" w:rsidP="00A47A7E">
            <w:pPr>
              <w:rPr>
                <w:sz w:val="20"/>
              </w:rPr>
            </w:pPr>
          </w:p>
        </w:tc>
        <w:tc>
          <w:tcPr>
            <w:tcW w:w="407" w:type="pct"/>
            <w:tcBorders>
              <w:top w:val="nil"/>
              <w:left w:val="nil"/>
              <w:bottom w:val="nil"/>
              <w:right w:val="nil"/>
            </w:tcBorders>
            <w:shd w:val="clear" w:color="auto" w:fill="auto"/>
            <w:noWrap/>
            <w:hideMark/>
          </w:tcPr>
          <w:p w14:paraId="5BE6F056"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459F03B6"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005E2940"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37611E58" w14:textId="77777777" w:rsidR="0095697F" w:rsidRPr="00AD5F47" w:rsidRDefault="0095697F" w:rsidP="00A47A7E">
            <w:pPr>
              <w:rPr>
                <w:sz w:val="20"/>
              </w:rPr>
            </w:pPr>
          </w:p>
        </w:tc>
      </w:tr>
      <w:tr w:rsidR="0095697F" w:rsidRPr="00AD5F47" w14:paraId="029B2CAE" w14:textId="77777777" w:rsidTr="00A47A7E">
        <w:trPr>
          <w:trHeight w:val="227"/>
        </w:trPr>
        <w:tc>
          <w:tcPr>
            <w:tcW w:w="510" w:type="pct"/>
            <w:tcBorders>
              <w:top w:val="nil"/>
              <w:left w:val="nil"/>
              <w:bottom w:val="nil"/>
              <w:right w:val="nil"/>
            </w:tcBorders>
            <w:shd w:val="clear" w:color="auto" w:fill="auto"/>
            <w:noWrap/>
            <w:hideMark/>
          </w:tcPr>
          <w:p w14:paraId="5F556FAA" w14:textId="77777777" w:rsidR="0095697F" w:rsidRPr="00AD5F47" w:rsidRDefault="0095697F" w:rsidP="00A47A7E">
            <w:pPr>
              <w:rPr>
                <w:color w:val="000000"/>
                <w:sz w:val="20"/>
              </w:rPr>
            </w:pPr>
            <w:r w:rsidRPr="00AD5F47">
              <w:rPr>
                <w:color w:val="000000"/>
                <w:sz w:val="20"/>
              </w:rPr>
              <w:t>Reconstruction costs</w:t>
            </w:r>
          </w:p>
        </w:tc>
        <w:tc>
          <w:tcPr>
            <w:tcW w:w="1021" w:type="pct"/>
            <w:tcBorders>
              <w:top w:val="nil"/>
              <w:left w:val="nil"/>
              <w:bottom w:val="nil"/>
              <w:right w:val="nil"/>
            </w:tcBorders>
            <w:shd w:val="clear" w:color="auto" w:fill="auto"/>
            <w:noWrap/>
            <w:hideMark/>
          </w:tcPr>
          <w:p w14:paraId="6BA9B25C" w14:textId="77777777" w:rsidR="0095697F" w:rsidRPr="00AD5F47" w:rsidRDefault="0095697F" w:rsidP="00A47A7E">
            <w:pPr>
              <w:rPr>
                <w:color w:val="000000"/>
                <w:sz w:val="20"/>
              </w:rPr>
            </w:pPr>
            <w:r w:rsidRPr="00AD5F47">
              <w:rPr>
                <w:color w:val="000000"/>
                <w:sz w:val="20"/>
              </w:rPr>
              <w:t>Construction costs Road</w:t>
            </w:r>
          </w:p>
        </w:tc>
        <w:tc>
          <w:tcPr>
            <w:tcW w:w="1837" w:type="pct"/>
            <w:tcBorders>
              <w:top w:val="nil"/>
              <w:left w:val="nil"/>
              <w:bottom w:val="nil"/>
              <w:right w:val="nil"/>
            </w:tcBorders>
            <w:shd w:val="clear" w:color="auto" w:fill="auto"/>
            <w:noWrap/>
            <w:hideMark/>
          </w:tcPr>
          <w:p w14:paraId="682C58F3" w14:textId="77777777" w:rsidR="0095697F" w:rsidRPr="00AD5F47" w:rsidRDefault="0095697F" w:rsidP="00A47A7E">
            <w:pPr>
              <w:rPr>
                <w:color w:val="000000"/>
                <w:sz w:val="20"/>
              </w:rPr>
            </w:pPr>
            <w:r w:rsidRPr="00AD5F47">
              <w:rPr>
                <w:color w:val="000000"/>
                <w:sz w:val="20"/>
              </w:rPr>
              <w:t>Maximum damage value used in risk analysis (MUSD/km)</w:t>
            </w:r>
          </w:p>
        </w:tc>
        <w:tc>
          <w:tcPr>
            <w:tcW w:w="407" w:type="pct"/>
            <w:tcBorders>
              <w:top w:val="nil"/>
              <w:left w:val="nil"/>
              <w:bottom w:val="nil"/>
              <w:right w:val="nil"/>
            </w:tcBorders>
            <w:shd w:val="clear" w:color="auto" w:fill="auto"/>
            <w:noWrap/>
            <w:hideMark/>
          </w:tcPr>
          <w:p w14:paraId="085D40EA" w14:textId="77777777" w:rsidR="0095697F" w:rsidRPr="00AD5F47" w:rsidRDefault="0095697F" w:rsidP="00A47A7E">
            <w:pPr>
              <w:rPr>
                <w:color w:val="000000"/>
                <w:sz w:val="20"/>
              </w:rPr>
            </w:pPr>
            <w:r w:rsidRPr="00AD5F47">
              <w:rPr>
                <w:color w:val="000000"/>
                <w:sz w:val="20"/>
              </w:rPr>
              <w:t>3</w:t>
            </w:r>
          </w:p>
        </w:tc>
        <w:tc>
          <w:tcPr>
            <w:tcW w:w="306" w:type="pct"/>
            <w:tcBorders>
              <w:top w:val="nil"/>
              <w:left w:val="nil"/>
              <w:bottom w:val="nil"/>
              <w:right w:val="nil"/>
            </w:tcBorders>
            <w:shd w:val="clear" w:color="auto" w:fill="auto"/>
            <w:noWrap/>
            <w:hideMark/>
          </w:tcPr>
          <w:p w14:paraId="7C90144A" w14:textId="77777777" w:rsidR="0095697F" w:rsidRPr="00AD5F47" w:rsidRDefault="0095697F" w:rsidP="00A47A7E">
            <w:pPr>
              <w:rPr>
                <w:color w:val="000000"/>
                <w:sz w:val="20"/>
              </w:rPr>
            </w:pPr>
            <w:r w:rsidRPr="00AD5F47">
              <w:rPr>
                <w:color w:val="000000"/>
                <w:sz w:val="20"/>
              </w:rPr>
              <w:t>1.5</w:t>
            </w:r>
          </w:p>
        </w:tc>
        <w:tc>
          <w:tcPr>
            <w:tcW w:w="306" w:type="pct"/>
            <w:tcBorders>
              <w:top w:val="nil"/>
              <w:left w:val="nil"/>
              <w:bottom w:val="nil"/>
              <w:right w:val="nil"/>
            </w:tcBorders>
            <w:shd w:val="clear" w:color="auto" w:fill="auto"/>
            <w:noWrap/>
            <w:hideMark/>
          </w:tcPr>
          <w:p w14:paraId="3E675F6E" w14:textId="77777777" w:rsidR="0095697F" w:rsidRPr="00AD5F47" w:rsidRDefault="0095697F" w:rsidP="00A47A7E">
            <w:pPr>
              <w:rPr>
                <w:color w:val="000000"/>
                <w:sz w:val="20"/>
              </w:rPr>
            </w:pPr>
            <w:r w:rsidRPr="00AD5F47">
              <w:rPr>
                <w:color w:val="000000"/>
                <w:sz w:val="20"/>
              </w:rPr>
              <w:t>4.5</w:t>
            </w:r>
          </w:p>
        </w:tc>
        <w:tc>
          <w:tcPr>
            <w:tcW w:w="613" w:type="pct"/>
            <w:tcBorders>
              <w:top w:val="nil"/>
              <w:left w:val="nil"/>
              <w:bottom w:val="nil"/>
              <w:right w:val="nil"/>
            </w:tcBorders>
            <w:shd w:val="clear" w:color="auto" w:fill="auto"/>
            <w:noWrap/>
            <w:hideMark/>
          </w:tcPr>
          <w:p w14:paraId="1EC4E53E" w14:textId="44EBBAAE"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{"citationItems":[{"id":"ITEM-1","itemData":{"DOI":"10.5194/nhess-2020-104","ISBN":"0000000213","ISSN":"1561-8633","abstract":"15 River floods pose a significant threat to road transport infrastructure in Europe. This study presents a high-resolution object-based continental-scale assessment of direct flood risk of the European road network for the present climate, using high-resolution exposure data from OpenStreetMap. A new set of road-specific damage functions is developed and validated for an observed flood event. We estimate the median annual expected direct damage from river floods to road infrastructure in 20 Europe at 250 million euro per year. A comparison with grid-based approaches suggests that these methods likely overestimate direct flood damage to road infrastructure and might allocate infrastructural damage to the wrong land use classes. A first validation shows that our object-based method computes realistic damage estimates, paving the way for targeted risk adaptation strategies.","author":[{"dropping-particle":"","family":"Ginkel","given":"Kees","non-dropping-particle":"van","parse-names":false,"suffix":""},{"dropping-particle":"","family":"Dottori","given":"Francesco","non-dropping-particle":"","parse-names":false,"suffix":""},{"dropping-particle":"","family":"Alfieri","given":"Lorenzo","non-dropping-particle":"","parse-names":false,"suffix":""},{"dropping-particle":"","family":"Feyen","given":"Luc","non-dropping-particle":"","parse-names":false,"suffix":""},{"dropping-particle":"","family":"Koks","given":"Elco","non-dropping-particle":"","parse-names":false,"suffix":""}],"container-title":"Natural Hazards and Earth System Sciences Discussions","id":"ITEM-1","issue":"April","issued":{"date-parts":[["2020"]]},"page":"1-22","title":"Direct flood risk assessment of the European road network: an object-based approach","type":"article-journal"},"uris":["http://www.mendeley.com/documents/?uuid=c0e8c102-ed6f-41d8-b1dd-307704ec95de"]}],"mendeley":{"formattedCitation":"&lt;sup&gt;19&lt;/sup&gt;","plainTextFormattedCitation":"19","previouslyFormattedCitation":"(&lt;i&gt;19&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19</w:t>
            </w:r>
            <w:r w:rsidRPr="00AD5F47">
              <w:rPr>
                <w:color w:val="000000"/>
                <w:sz w:val="20"/>
              </w:rPr>
              <w:fldChar w:fldCharType="end"/>
            </w:r>
          </w:p>
        </w:tc>
      </w:tr>
      <w:tr w:rsidR="0095697F" w:rsidRPr="00AD5F47" w14:paraId="3AFA0C3F" w14:textId="77777777" w:rsidTr="00A47A7E">
        <w:trPr>
          <w:trHeight w:val="227"/>
        </w:trPr>
        <w:tc>
          <w:tcPr>
            <w:tcW w:w="510" w:type="pct"/>
            <w:tcBorders>
              <w:top w:val="nil"/>
              <w:left w:val="nil"/>
              <w:bottom w:val="nil"/>
              <w:right w:val="nil"/>
            </w:tcBorders>
            <w:shd w:val="clear" w:color="auto" w:fill="auto"/>
            <w:noWrap/>
            <w:hideMark/>
          </w:tcPr>
          <w:p w14:paraId="160DC8AF" w14:textId="77777777" w:rsidR="0095697F" w:rsidRPr="00AD5F47" w:rsidRDefault="0095697F" w:rsidP="00A47A7E">
            <w:pPr>
              <w:rPr>
                <w:color w:val="000000"/>
                <w:sz w:val="20"/>
              </w:rPr>
            </w:pPr>
            <w:r w:rsidRPr="00AD5F47">
              <w:rPr>
                <w:color w:val="000000"/>
                <w:sz w:val="20"/>
              </w:rPr>
              <w:t>Infrastructure</w:t>
            </w:r>
          </w:p>
        </w:tc>
        <w:tc>
          <w:tcPr>
            <w:tcW w:w="1021" w:type="pct"/>
            <w:tcBorders>
              <w:top w:val="nil"/>
              <w:left w:val="nil"/>
              <w:bottom w:val="nil"/>
              <w:right w:val="nil"/>
            </w:tcBorders>
            <w:shd w:val="clear" w:color="auto" w:fill="auto"/>
            <w:noWrap/>
            <w:hideMark/>
          </w:tcPr>
          <w:p w14:paraId="29D8A144" w14:textId="77777777" w:rsidR="0095697F" w:rsidRPr="00AD5F47" w:rsidRDefault="0095697F" w:rsidP="00A47A7E">
            <w:pPr>
              <w:rPr>
                <w:color w:val="000000"/>
                <w:sz w:val="20"/>
              </w:rPr>
            </w:pPr>
            <w:r w:rsidRPr="00AD5F47">
              <w:rPr>
                <w:color w:val="000000"/>
                <w:sz w:val="20"/>
              </w:rPr>
              <w:t>Construction costs Rail</w:t>
            </w:r>
          </w:p>
        </w:tc>
        <w:tc>
          <w:tcPr>
            <w:tcW w:w="1837" w:type="pct"/>
            <w:tcBorders>
              <w:top w:val="nil"/>
              <w:left w:val="nil"/>
              <w:bottom w:val="nil"/>
              <w:right w:val="nil"/>
            </w:tcBorders>
            <w:shd w:val="clear" w:color="auto" w:fill="auto"/>
            <w:noWrap/>
            <w:hideMark/>
          </w:tcPr>
          <w:p w14:paraId="76AF8750" w14:textId="77777777" w:rsidR="0095697F" w:rsidRPr="00AD5F47" w:rsidRDefault="0095697F" w:rsidP="00A47A7E">
            <w:pPr>
              <w:rPr>
                <w:color w:val="000000"/>
                <w:sz w:val="20"/>
              </w:rPr>
            </w:pPr>
            <w:r w:rsidRPr="00AD5F47">
              <w:rPr>
                <w:color w:val="000000"/>
                <w:sz w:val="20"/>
              </w:rPr>
              <w:t>Maximum damage value used in risk analysis (MUSD/km)</w:t>
            </w:r>
          </w:p>
        </w:tc>
        <w:tc>
          <w:tcPr>
            <w:tcW w:w="407" w:type="pct"/>
            <w:tcBorders>
              <w:top w:val="nil"/>
              <w:left w:val="nil"/>
              <w:bottom w:val="nil"/>
              <w:right w:val="nil"/>
            </w:tcBorders>
            <w:shd w:val="clear" w:color="auto" w:fill="auto"/>
            <w:noWrap/>
            <w:hideMark/>
          </w:tcPr>
          <w:p w14:paraId="46E7118E" w14:textId="77777777" w:rsidR="0095697F" w:rsidRPr="00AD5F47" w:rsidRDefault="0095697F" w:rsidP="00A47A7E">
            <w:pPr>
              <w:rPr>
                <w:color w:val="000000"/>
                <w:sz w:val="20"/>
              </w:rPr>
            </w:pPr>
            <w:r w:rsidRPr="00AD5F47">
              <w:rPr>
                <w:color w:val="000000"/>
                <w:sz w:val="20"/>
              </w:rPr>
              <w:t>17</w:t>
            </w:r>
          </w:p>
        </w:tc>
        <w:tc>
          <w:tcPr>
            <w:tcW w:w="306" w:type="pct"/>
            <w:tcBorders>
              <w:top w:val="nil"/>
              <w:left w:val="nil"/>
              <w:bottom w:val="nil"/>
              <w:right w:val="nil"/>
            </w:tcBorders>
            <w:shd w:val="clear" w:color="auto" w:fill="auto"/>
            <w:noWrap/>
            <w:hideMark/>
          </w:tcPr>
          <w:p w14:paraId="29995A6A" w14:textId="77777777" w:rsidR="0095697F" w:rsidRPr="00AD5F47" w:rsidRDefault="0095697F" w:rsidP="00A47A7E">
            <w:pPr>
              <w:rPr>
                <w:color w:val="000000"/>
                <w:sz w:val="20"/>
              </w:rPr>
            </w:pPr>
            <w:r w:rsidRPr="00AD5F47">
              <w:rPr>
                <w:color w:val="000000"/>
                <w:sz w:val="20"/>
              </w:rPr>
              <w:t>14</w:t>
            </w:r>
          </w:p>
        </w:tc>
        <w:tc>
          <w:tcPr>
            <w:tcW w:w="306" w:type="pct"/>
            <w:tcBorders>
              <w:top w:val="nil"/>
              <w:left w:val="nil"/>
              <w:bottom w:val="nil"/>
              <w:right w:val="nil"/>
            </w:tcBorders>
            <w:shd w:val="clear" w:color="auto" w:fill="auto"/>
            <w:noWrap/>
            <w:hideMark/>
          </w:tcPr>
          <w:p w14:paraId="7B2E6893" w14:textId="77777777" w:rsidR="0095697F" w:rsidRPr="00AD5F47" w:rsidRDefault="0095697F" w:rsidP="00A47A7E">
            <w:pPr>
              <w:rPr>
                <w:color w:val="000000"/>
                <w:sz w:val="20"/>
              </w:rPr>
            </w:pPr>
            <w:r w:rsidRPr="00AD5F47">
              <w:rPr>
                <w:color w:val="000000"/>
                <w:sz w:val="20"/>
              </w:rPr>
              <w:t>20</w:t>
            </w:r>
          </w:p>
        </w:tc>
        <w:tc>
          <w:tcPr>
            <w:tcW w:w="613" w:type="pct"/>
            <w:tcBorders>
              <w:top w:val="nil"/>
              <w:left w:val="nil"/>
              <w:bottom w:val="nil"/>
              <w:right w:val="nil"/>
            </w:tcBorders>
            <w:shd w:val="clear" w:color="auto" w:fill="auto"/>
            <w:noWrap/>
            <w:hideMark/>
          </w:tcPr>
          <w:p w14:paraId="3E6EC7F6" w14:textId="3C748478"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ISBN":"9789279918131","author":[{"dropping-particle":"","family":"Attina","given":"M","non-dropping-particle":"","parse-names":false,"suffix":""},{"dropping-particle":"","family":"BASILICO","given":"A","non-dropping-particle":"","parse-names":false,"suffix":""},{"dropping-particle":"","family":"BOTTA","given":"M","non-dropping-particle":"","parse-names":false,"suffix":""},{"dropping-particle":"","family":"BRANCATELLO","given":"I","non-dropping-particle":"","parse-names":false,"suffix":""},{"dropping-particle":"","family":"GARGANI","given":"F","non-dropping-particle":"","parse-names":false,"suffix":""},{"dropping-particle":"","family":"GORI","given":"V","non-dropping-particle":"","parse-names":false,"suffix":""},{"dropping-particle":"","family":"Wilhelm","given":"F","non-dropping-particle":"","parse-names":false,"suffix":""},{"dropping-particle":"","family":"MENTING","given":"M","non-dropping-particle":"","parse-names":false,"suffix":""},{"dropping-particle":"","family":"ODOARDI","given":"P","non-dropping-particle":"","parse-names":false,"suffix":""},{"dropping-particle":"","family":"PIPERNO","given":"A","non-dropping-particle":"","parse-names":false,"suffix":""},{"dropping-particle":"","family":"RANIER","given":"M","non-dropping-particle":"","parse-names":false,"suffix":""}],"id":"ITEM-1","issue":"1","issued":{"date-parts":[["2018"]]},"number-of-pages":"31","title":"Assessment of unit costs (standard prices) of rail projects (CAPital EXpenditure)","type":"report"},"uris":["http://www.mendeley.com/documents/?uuid=1f6691b4-755d-4936-9ec6-6a46bf5609b1"]}],"mendeley":{"formattedCitation":"&lt;sup&gt;20&lt;/sup&gt;","plainTextFormattedCitation":"20","previouslyFormattedCitation":"(&lt;i&gt;20&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20</w:t>
            </w:r>
            <w:r w:rsidRPr="00AD5F47">
              <w:rPr>
                <w:color w:val="000000"/>
                <w:sz w:val="20"/>
              </w:rPr>
              <w:fldChar w:fldCharType="end"/>
            </w:r>
            <w:r w:rsidRPr="00AD5F47">
              <w:rPr>
                <w:color w:val="000000"/>
                <w:sz w:val="20"/>
              </w:rPr>
              <w:t xml:space="preserve"> </w:t>
            </w:r>
          </w:p>
        </w:tc>
      </w:tr>
      <w:tr w:rsidR="0095697F" w:rsidRPr="00AD5F47" w14:paraId="67330889" w14:textId="77777777" w:rsidTr="00A47A7E">
        <w:trPr>
          <w:trHeight w:val="227"/>
        </w:trPr>
        <w:tc>
          <w:tcPr>
            <w:tcW w:w="510" w:type="pct"/>
            <w:tcBorders>
              <w:top w:val="nil"/>
              <w:left w:val="nil"/>
              <w:bottom w:val="nil"/>
              <w:right w:val="nil"/>
            </w:tcBorders>
            <w:shd w:val="clear" w:color="auto" w:fill="auto"/>
            <w:noWrap/>
            <w:hideMark/>
          </w:tcPr>
          <w:p w14:paraId="25B4AB99"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1F27D6D7" w14:textId="77777777" w:rsidR="0095697F" w:rsidRPr="00AD5F47" w:rsidRDefault="0095697F" w:rsidP="00A47A7E">
            <w:pPr>
              <w:rPr>
                <w:color w:val="000000"/>
                <w:sz w:val="20"/>
              </w:rPr>
            </w:pPr>
            <w:r w:rsidRPr="00AD5F47">
              <w:rPr>
                <w:color w:val="000000"/>
                <w:sz w:val="20"/>
              </w:rPr>
              <w:t>Construction costs Transmission</w:t>
            </w:r>
          </w:p>
        </w:tc>
        <w:tc>
          <w:tcPr>
            <w:tcW w:w="1837" w:type="pct"/>
            <w:tcBorders>
              <w:top w:val="nil"/>
              <w:left w:val="nil"/>
              <w:bottom w:val="nil"/>
              <w:right w:val="nil"/>
            </w:tcBorders>
            <w:shd w:val="clear" w:color="auto" w:fill="auto"/>
            <w:noWrap/>
            <w:hideMark/>
          </w:tcPr>
          <w:p w14:paraId="5669A9CE" w14:textId="77777777" w:rsidR="0095697F" w:rsidRPr="00AD5F47" w:rsidRDefault="0095697F" w:rsidP="00A47A7E">
            <w:pPr>
              <w:rPr>
                <w:color w:val="000000"/>
                <w:sz w:val="20"/>
              </w:rPr>
            </w:pPr>
            <w:r w:rsidRPr="00AD5F47">
              <w:rPr>
                <w:color w:val="000000"/>
                <w:sz w:val="20"/>
              </w:rPr>
              <w:t>Maximum damage value used in risk analysis (MUSD/km)</w:t>
            </w:r>
          </w:p>
        </w:tc>
        <w:tc>
          <w:tcPr>
            <w:tcW w:w="407" w:type="pct"/>
            <w:tcBorders>
              <w:top w:val="nil"/>
              <w:left w:val="nil"/>
              <w:bottom w:val="nil"/>
              <w:right w:val="nil"/>
            </w:tcBorders>
            <w:shd w:val="clear" w:color="auto" w:fill="auto"/>
            <w:noWrap/>
            <w:hideMark/>
          </w:tcPr>
          <w:p w14:paraId="2EA42A6A" w14:textId="77777777" w:rsidR="0095697F" w:rsidRPr="00AD5F47" w:rsidRDefault="0095697F" w:rsidP="00A47A7E">
            <w:pPr>
              <w:rPr>
                <w:color w:val="000000"/>
                <w:sz w:val="20"/>
              </w:rPr>
            </w:pPr>
            <w:r w:rsidRPr="00AD5F47">
              <w:rPr>
                <w:color w:val="000000"/>
                <w:sz w:val="20"/>
              </w:rPr>
              <w:t>1.1</w:t>
            </w:r>
          </w:p>
        </w:tc>
        <w:tc>
          <w:tcPr>
            <w:tcW w:w="306" w:type="pct"/>
            <w:tcBorders>
              <w:top w:val="nil"/>
              <w:left w:val="nil"/>
              <w:bottom w:val="nil"/>
              <w:right w:val="nil"/>
            </w:tcBorders>
            <w:shd w:val="clear" w:color="auto" w:fill="auto"/>
            <w:noWrap/>
            <w:hideMark/>
          </w:tcPr>
          <w:p w14:paraId="6AFBF188" w14:textId="77777777" w:rsidR="0095697F" w:rsidRPr="00AD5F47" w:rsidRDefault="0095697F" w:rsidP="00A47A7E">
            <w:pPr>
              <w:rPr>
                <w:color w:val="000000"/>
                <w:sz w:val="20"/>
              </w:rPr>
            </w:pPr>
            <w:r w:rsidRPr="00AD5F47">
              <w:rPr>
                <w:color w:val="000000"/>
                <w:sz w:val="20"/>
              </w:rPr>
              <w:t>0.7</w:t>
            </w:r>
          </w:p>
        </w:tc>
        <w:tc>
          <w:tcPr>
            <w:tcW w:w="306" w:type="pct"/>
            <w:tcBorders>
              <w:top w:val="nil"/>
              <w:left w:val="nil"/>
              <w:bottom w:val="nil"/>
              <w:right w:val="nil"/>
            </w:tcBorders>
            <w:shd w:val="clear" w:color="auto" w:fill="auto"/>
            <w:noWrap/>
            <w:hideMark/>
          </w:tcPr>
          <w:p w14:paraId="5E6DE41E" w14:textId="77777777" w:rsidR="0095697F" w:rsidRPr="00AD5F47" w:rsidRDefault="0095697F" w:rsidP="00A47A7E">
            <w:pPr>
              <w:rPr>
                <w:color w:val="000000"/>
                <w:sz w:val="20"/>
              </w:rPr>
            </w:pPr>
            <w:r w:rsidRPr="00AD5F47">
              <w:rPr>
                <w:color w:val="000000"/>
                <w:sz w:val="20"/>
              </w:rPr>
              <w:t>1.5</w:t>
            </w:r>
          </w:p>
        </w:tc>
        <w:tc>
          <w:tcPr>
            <w:tcW w:w="613" w:type="pct"/>
            <w:tcBorders>
              <w:top w:val="nil"/>
              <w:left w:val="nil"/>
              <w:bottom w:val="nil"/>
              <w:right w:val="nil"/>
            </w:tcBorders>
            <w:shd w:val="clear" w:color="auto" w:fill="auto"/>
            <w:noWrap/>
            <w:hideMark/>
          </w:tcPr>
          <w:p w14:paraId="38D53A86" w14:textId="7B468870"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Mason","given":"Tim","non-dropping-particle":"","parse-names":false,"suffix":""},{"dropping-particle":"","family":"Curry","given":"Trevor","non-dropping-particle":"","parse-names":false,"suffix":""},{"dropping-particle":"","family":"Wilson","given":"Dan","non-dropping-particle":"","parse-names":false,"suffix":""}],"id":"ITEM-1","issue":"176322","issued":{"date-parts":[["2012"]]},"number-of-pages":"1-40","title":"Captial costs for Transmission and Subsations","type":"report"},"uris":["http://www.mendeley.com/documents/?uuid=8219d4a2-c664-4037-8cce-a9b55c488e57"]},{"id":"ITEM-2","itemData":{"URL":"https://ppi.worldbank.org/en/snapshots/sector/ports","accessed":{"date-parts":[["2021","6","4"]]},"author":[{"dropping-particle":"","family":"World Bank","given":"","non-dropping-particle":"","parse-names":false,"suffix":""}],"container-title":"Port Sector Snapshot","id":"ITEM-2","issued":{"date-parts":[["2021"]]},"title":"Private Participation in Infrastructure Database","type":"webpage"},"uris":["http://www.mendeley.com/documents/?uuid=d1e420f3-b11c-4025-b32d-6713daa46d80"]}],"mendeley":{"formattedCitation":"&lt;sup&gt;14,21&lt;/sup&gt;","plainTextFormattedCitation":"14,21","previouslyFormattedCitation":"(&lt;i&gt;14&lt;/i&gt;, &lt;i&gt;21&lt;/i&gt;)"},"properties":{"noteIndex":0},"schema":"https://github.com/citation-style-language/schema/raw/master/csl-citation.json"}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14,21</w:t>
            </w:r>
            <w:r w:rsidRPr="00AD5F47">
              <w:rPr>
                <w:color w:val="000000"/>
                <w:sz w:val="20"/>
              </w:rPr>
              <w:fldChar w:fldCharType="end"/>
            </w:r>
          </w:p>
        </w:tc>
      </w:tr>
      <w:tr w:rsidR="0095697F" w:rsidRPr="00AD5F47" w14:paraId="43E5C654" w14:textId="77777777" w:rsidTr="00A47A7E">
        <w:trPr>
          <w:trHeight w:val="227"/>
        </w:trPr>
        <w:tc>
          <w:tcPr>
            <w:tcW w:w="510" w:type="pct"/>
            <w:tcBorders>
              <w:top w:val="nil"/>
              <w:left w:val="nil"/>
              <w:bottom w:val="nil"/>
              <w:right w:val="nil"/>
            </w:tcBorders>
            <w:shd w:val="clear" w:color="auto" w:fill="auto"/>
            <w:noWrap/>
            <w:hideMark/>
          </w:tcPr>
          <w:p w14:paraId="2BDB5227"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17EB689A" w14:textId="77777777" w:rsidR="0095697F" w:rsidRPr="00AD5F47" w:rsidRDefault="0095697F" w:rsidP="00A47A7E">
            <w:pPr>
              <w:rPr>
                <w:color w:val="000000"/>
                <w:sz w:val="20"/>
              </w:rPr>
            </w:pPr>
            <w:r w:rsidRPr="00AD5F47">
              <w:rPr>
                <w:color w:val="000000"/>
                <w:sz w:val="20"/>
              </w:rPr>
              <w:t>Construction costs Power plant</w:t>
            </w:r>
          </w:p>
        </w:tc>
        <w:tc>
          <w:tcPr>
            <w:tcW w:w="1837" w:type="pct"/>
            <w:tcBorders>
              <w:top w:val="nil"/>
              <w:left w:val="nil"/>
              <w:bottom w:val="nil"/>
              <w:right w:val="nil"/>
            </w:tcBorders>
            <w:shd w:val="clear" w:color="auto" w:fill="auto"/>
            <w:noWrap/>
            <w:hideMark/>
          </w:tcPr>
          <w:p w14:paraId="3D18ABE5" w14:textId="77777777" w:rsidR="0095697F" w:rsidRPr="00AD5F47" w:rsidRDefault="0095697F" w:rsidP="00A47A7E">
            <w:pPr>
              <w:rPr>
                <w:color w:val="000000"/>
                <w:sz w:val="20"/>
              </w:rPr>
            </w:pPr>
            <w:r w:rsidRPr="00AD5F47">
              <w:rPr>
                <w:color w:val="000000"/>
                <w:sz w:val="20"/>
              </w:rPr>
              <w:t>Maximum damage value used in risk analysis (MUSD)</w:t>
            </w:r>
          </w:p>
        </w:tc>
        <w:tc>
          <w:tcPr>
            <w:tcW w:w="407" w:type="pct"/>
            <w:tcBorders>
              <w:top w:val="nil"/>
              <w:left w:val="nil"/>
              <w:bottom w:val="nil"/>
              <w:right w:val="nil"/>
            </w:tcBorders>
            <w:shd w:val="clear" w:color="auto" w:fill="auto"/>
            <w:noWrap/>
            <w:hideMark/>
          </w:tcPr>
          <w:p w14:paraId="768742C2" w14:textId="77777777" w:rsidR="0095697F" w:rsidRPr="00AD5F47" w:rsidRDefault="0095697F" w:rsidP="00A47A7E">
            <w:pPr>
              <w:rPr>
                <w:color w:val="000000"/>
                <w:sz w:val="20"/>
              </w:rPr>
            </w:pPr>
            <w:r w:rsidRPr="00AD5F47">
              <w:rPr>
                <w:color w:val="000000"/>
                <w:sz w:val="20"/>
              </w:rPr>
              <w:t>300</w:t>
            </w:r>
          </w:p>
        </w:tc>
        <w:tc>
          <w:tcPr>
            <w:tcW w:w="306" w:type="pct"/>
            <w:tcBorders>
              <w:top w:val="nil"/>
              <w:left w:val="nil"/>
              <w:bottom w:val="nil"/>
              <w:right w:val="nil"/>
            </w:tcBorders>
            <w:shd w:val="clear" w:color="auto" w:fill="auto"/>
            <w:noWrap/>
            <w:hideMark/>
          </w:tcPr>
          <w:p w14:paraId="3E191320" w14:textId="77777777" w:rsidR="0095697F" w:rsidRPr="00AD5F47" w:rsidRDefault="0095697F" w:rsidP="00A47A7E">
            <w:pPr>
              <w:rPr>
                <w:color w:val="000000"/>
                <w:sz w:val="20"/>
              </w:rPr>
            </w:pPr>
            <w:r w:rsidRPr="00AD5F47">
              <w:rPr>
                <w:color w:val="000000"/>
                <w:sz w:val="20"/>
              </w:rPr>
              <w:t>100</w:t>
            </w:r>
          </w:p>
        </w:tc>
        <w:tc>
          <w:tcPr>
            <w:tcW w:w="306" w:type="pct"/>
            <w:tcBorders>
              <w:top w:val="nil"/>
              <w:left w:val="nil"/>
              <w:bottom w:val="nil"/>
              <w:right w:val="nil"/>
            </w:tcBorders>
            <w:shd w:val="clear" w:color="auto" w:fill="auto"/>
            <w:noWrap/>
            <w:hideMark/>
          </w:tcPr>
          <w:p w14:paraId="62FF75D5" w14:textId="77777777" w:rsidR="0095697F" w:rsidRPr="00AD5F47" w:rsidRDefault="0095697F" w:rsidP="00A47A7E">
            <w:pPr>
              <w:rPr>
                <w:color w:val="000000"/>
                <w:sz w:val="20"/>
              </w:rPr>
            </w:pPr>
            <w:r w:rsidRPr="00AD5F47">
              <w:rPr>
                <w:color w:val="000000"/>
                <w:sz w:val="20"/>
              </w:rPr>
              <w:t>900</w:t>
            </w:r>
          </w:p>
        </w:tc>
        <w:tc>
          <w:tcPr>
            <w:tcW w:w="613" w:type="pct"/>
            <w:tcBorders>
              <w:top w:val="nil"/>
              <w:left w:val="nil"/>
              <w:bottom w:val="nil"/>
              <w:right w:val="nil"/>
            </w:tcBorders>
            <w:shd w:val="clear" w:color="auto" w:fill="auto"/>
            <w:noWrap/>
            <w:hideMark/>
          </w:tcPr>
          <w:p w14:paraId="7D5869F5" w14:textId="35666156"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{"citationItems":[{"id":"ITEM-1","itemData":{"author":[{"dropping-particle":"","family":"FEMA","given":"","non-dropping-particle":"","parse-names":false,"suffix":""}],"container-title":"Washington D.C: Department of Homeland Security","id":"ITEM-1","issued":{"date-parts":[["2020"]]},"publisher-place":"Washington, D.C.","title":"Hazus-MH Technical Manual Flood Model","type":"report"},"uris":["http://www.mendeley.com/documents/?uuid=4db2d446-6534-4b8a-85e1-9c9d45a10810"]},{"id":"ITEM-2","itemData":{"URL":"https://ppi.worldbank.org/en/snapshots/sector/ports","accessed":{"date-parts":[["2021","6","4"]]},"author":[{"dropping-particle":"","family":"World Bank","given":"","non-dropping-particle":"","parse-names":false,"suffix":""}],"container-title":"Port Sector Snapshot","id":"ITEM-2","issued":{"date-parts":[["2021"]]},"title":"Private Participation in Infrastructure Database","type":"webpage"},"uris":["http://www.mendeley.com/documents/?uuid=d1e420f3-b11c-4025-b32d-6713daa46d80"]}],"mendeley":{"formattedCitation":"&lt;sup&gt;14,22&lt;/sup&gt;","plainTextFormattedCitation":"14,22","previouslyFormattedCitation":"(&lt;i&gt;14&lt;/i&gt;, &lt;i&gt;22&lt;/i&gt;)"},"properties":{"noteIndex":0},"schema":"https://github.com/citation-style-language/schema/raw/master/csl-citation.json"}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14,22</w:t>
            </w:r>
            <w:r w:rsidRPr="00AD5F47">
              <w:rPr>
                <w:color w:val="000000"/>
                <w:sz w:val="20"/>
              </w:rPr>
              <w:fldChar w:fldCharType="end"/>
            </w:r>
          </w:p>
        </w:tc>
      </w:tr>
      <w:tr w:rsidR="0095697F" w:rsidRPr="00AD5F47" w14:paraId="0DED89B8" w14:textId="77777777" w:rsidTr="00A47A7E">
        <w:trPr>
          <w:trHeight w:val="227"/>
        </w:trPr>
        <w:tc>
          <w:tcPr>
            <w:tcW w:w="510" w:type="pct"/>
            <w:tcBorders>
              <w:top w:val="nil"/>
              <w:left w:val="nil"/>
              <w:bottom w:val="single" w:sz="4" w:space="0" w:color="auto"/>
              <w:right w:val="nil"/>
            </w:tcBorders>
            <w:shd w:val="clear" w:color="auto" w:fill="auto"/>
            <w:noWrap/>
            <w:hideMark/>
          </w:tcPr>
          <w:p w14:paraId="60F654C3" w14:textId="77777777" w:rsidR="0095697F" w:rsidRPr="00AD5F47" w:rsidRDefault="0095697F" w:rsidP="00A47A7E">
            <w:pPr>
              <w:rPr>
                <w:color w:val="000000"/>
                <w:sz w:val="20"/>
              </w:rPr>
            </w:pPr>
            <w:r w:rsidRPr="00AD5F47">
              <w:rPr>
                <w:color w:val="000000"/>
                <w:sz w:val="20"/>
              </w:rPr>
              <w:t> </w:t>
            </w:r>
          </w:p>
        </w:tc>
        <w:tc>
          <w:tcPr>
            <w:tcW w:w="1021" w:type="pct"/>
            <w:tcBorders>
              <w:top w:val="nil"/>
              <w:left w:val="nil"/>
              <w:bottom w:val="single" w:sz="4" w:space="0" w:color="auto"/>
              <w:right w:val="nil"/>
            </w:tcBorders>
            <w:shd w:val="clear" w:color="auto" w:fill="auto"/>
            <w:noWrap/>
            <w:hideMark/>
          </w:tcPr>
          <w:p w14:paraId="651EAB48" w14:textId="77777777" w:rsidR="0095697F" w:rsidRPr="00AD5F47" w:rsidRDefault="0095697F" w:rsidP="00A47A7E">
            <w:pPr>
              <w:rPr>
                <w:color w:val="000000"/>
                <w:sz w:val="20"/>
              </w:rPr>
            </w:pPr>
            <w:r w:rsidRPr="00AD5F47">
              <w:rPr>
                <w:color w:val="000000"/>
                <w:sz w:val="20"/>
              </w:rPr>
              <w:t>Ratio reconstruction/ construction costs</w:t>
            </w:r>
          </w:p>
        </w:tc>
        <w:tc>
          <w:tcPr>
            <w:tcW w:w="1837" w:type="pct"/>
            <w:tcBorders>
              <w:top w:val="nil"/>
              <w:left w:val="nil"/>
              <w:bottom w:val="single" w:sz="4" w:space="0" w:color="auto"/>
              <w:right w:val="nil"/>
            </w:tcBorders>
            <w:shd w:val="clear" w:color="auto" w:fill="auto"/>
            <w:noWrap/>
            <w:hideMark/>
          </w:tcPr>
          <w:p w14:paraId="649DDF51" w14:textId="77777777" w:rsidR="0095697F" w:rsidRPr="00AD5F47" w:rsidRDefault="0095697F" w:rsidP="00A47A7E">
            <w:pPr>
              <w:rPr>
                <w:color w:val="000000"/>
                <w:sz w:val="20"/>
              </w:rPr>
            </w:pPr>
            <w:r w:rsidRPr="00AD5F47">
              <w:rPr>
                <w:color w:val="000000"/>
                <w:sz w:val="20"/>
              </w:rPr>
              <w:t>The ratio between reconstruction costs and total construction costs</w:t>
            </w:r>
          </w:p>
        </w:tc>
        <w:tc>
          <w:tcPr>
            <w:tcW w:w="407" w:type="pct"/>
            <w:tcBorders>
              <w:top w:val="nil"/>
              <w:left w:val="nil"/>
              <w:bottom w:val="single" w:sz="4" w:space="0" w:color="auto"/>
              <w:right w:val="nil"/>
            </w:tcBorders>
            <w:shd w:val="clear" w:color="auto" w:fill="auto"/>
            <w:noWrap/>
            <w:hideMark/>
          </w:tcPr>
          <w:p w14:paraId="178D116D" w14:textId="77777777" w:rsidR="0095697F" w:rsidRPr="00AD5F47" w:rsidRDefault="0095697F" w:rsidP="00A47A7E">
            <w:pPr>
              <w:rPr>
                <w:color w:val="000000"/>
                <w:sz w:val="20"/>
              </w:rPr>
            </w:pPr>
            <w:r w:rsidRPr="00AD5F47">
              <w:rPr>
                <w:color w:val="000000"/>
                <w:sz w:val="20"/>
              </w:rPr>
              <w:t>0.6</w:t>
            </w:r>
          </w:p>
        </w:tc>
        <w:tc>
          <w:tcPr>
            <w:tcW w:w="306" w:type="pct"/>
            <w:tcBorders>
              <w:top w:val="nil"/>
              <w:left w:val="nil"/>
              <w:bottom w:val="single" w:sz="4" w:space="0" w:color="auto"/>
              <w:right w:val="nil"/>
            </w:tcBorders>
            <w:shd w:val="clear" w:color="auto" w:fill="auto"/>
            <w:noWrap/>
            <w:hideMark/>
          </w:tcPr>
          <w:p w14:paraId="19E244C3" w14:textId="77777777" w:rsidR="0095697F" w:rsidRPr="00AD5F47" w:rsidRDefault="0095697F" w:rsidP="00A47A7E">
            <w:pPr>
              <w:rPr>
                <w:color w:val="000000"/>
                <w:sz w:val="20"/>
              </w:rPr>
            </w:pPr>
            <w:r w:rsidRPr="00AD5F47">
              <w:rPr>
                <w:color w:val="000000"/>
                <w:sz w:val="20"/>
              </w:rPr>
              <w:t>0.5</w:t>
            </w:r>
          </w:p>
        </w:tc>
        <w:tc>
          <w:tcPr>
            <w:tcW w:w="306" w:type="pct"/>
            <w:tcBorders>
              <w:top w:val="nil"/>
              <w:left w:val="nil"/>
              <w:bottom w:val="single" w:sz="4" w:space="0" w:color="auto"/>
              <w:right w:val="nil"/>
            </w:tcBorders>
            <w:shd w:val="clear" w:color="auto" w:fill="auto"/>
            <w:noWrap/>
            <w:hideMark/>
          </w:tcPr>
          <w:p w14:paraId="1874AF3B" w14:textId="77777777" w:rsidR="0095697F" w:rsidRPr="00AD5F47" w:rsidRDefault="0095697F" w:rsidP="00A47A7E">
            <w:pPr>
              <w:rPr>
                <w:color w:val="000000"/>
                <w:sz w:val="20"/>
              </w:rPr>
            </w:pPr>
            <w:r w:rsidRPr="00AD5F47">
              <w:rPr>
                <w:color w:val="000000"/>
                <w:sz w:val="20"/>
              </w:rPr>
              <w:t>0.7</w:t>
            </w:r>
          </w:p>
        </w:tc>
        <w:tc>
          <w:tcPr>
            <w:tcW w:w="613" w:type="pct"/>
            <w:tcBorders>
              <w:top w:val="nil"/>
              <w:left w:val="nil"/>
              <w:bottom w:val="single" w:sz="4" w:space="0" w:color="auto"/>
              <w:right w:val="nil"/>
            </w:tcBorders>
            <w:shd w:val="clear" w:color="auto" w:fill="auto"/>
            <w:noWrap/>
            <w:hideMark/>
          </w:tcPr>
          <w:p w14:paraId="4F731B5C" w14:textId="77777777" w:rsidR="0095697F" w:rsidRPr="00AD5F47" w:rsidRDefault="0095697F" w:rsidP="00A47A7E">
            <w:pPr>
              <w:rPr>
                <w:color w:val="000000"/>
                <w:sz w:val="20"/>
              </w:rPr>
            </w:pPr>
            <w:r w:rsidRPr="00AD5F47">
              <w:rPr>
                <w:color w:val="000000"/>
                <w:sz w:val="20"/>
              </w:rPr>
              <w:t>Expert Judgment</w:t>
            </w:r>
          </w:p>
        </w:tc>
      </w:tr>
      <w:tr w:rsidR="0095697F" w:rsidRPr="00AD5F47" w14:paraId="4361CCAB" w14:textId="77777777" w:rsidTr="00A47A7E">
        <w:trPr>
          <w:trHeight w:val="227"/>
        </w:trPr>
        <w:tc>
          <w:tcPr>
            <w:tcW w:w="510" w:type="pct"/>
            <w:tcBorders>
              <w:top w:val="nil"/>
              <w:left w:val="nil"/>
              <w:bottom w:val="nil"/>
              <w:right w:val="nil"/>
            </w:tcBorders>
            <w:shd w:val="clear" w:color="auto" w:fill="auto"/>
            <w:noWrap/>
            <w:hideMark/>
          </w:tcPr>
          <w:p w14:paraId="6CC8FD88" w14:textId="77777777" w:rsidR="0095697F" w:rsidRPr="00AD5F47" w:rsidRDefault="0095697F" w:rsidP="00A47A7E">
            <w:pPr>
              <w:rPr>
                <w:color w:val="000000"/>
                <w:sz w:val="20"/>
              </w:rPr>
            </w:pPr>
            <w:r w:rsidRPr="00AD5F47">
              <w:rPr>
                <w:color w:val="000000"/>
                <w:sz w:val="20"/>
              </w:rPr>
              <w:t>Depth-damage curve</w:t>
            </w:r>
          </w:p>
        </w:tc>
        <w:tc>
          <w:tcPr>
            <w:tcW w:w="1021" w:type="pct"/>
            <w:tcBorders>
              <w:top w:val="nil"/>
              <w:left w:val="nil"/>
              <w:bottom w:val="nil"/>
              <w:right w:val="nil"/>
            </w:tcBorders>
            <w:shd w:val="clear" w:color="auto" w:fill="auto"/>
            <w:noWrap/>
            <w:hideMark/>
          </w:tcPr>
          <w:p w14:paraId="75B33241" w14:textId="77777777" w:rsidR="0095697F" w:rsidRPr="00AD5F47" w:rsidRDefault="0095697F" w:rsidP="00A47A7E">
            <w:pPr>
              <w:rPr>
                <w:color w:val="000000"/>
                <w:sz w:val="20"/>
              </w:rPr>
            </w:pPr>
            <w:r w:rsidRPr="00AD5F47">
              <w:rPr>
                <w:color w:val="000000"/>
                <w:sz w:val="20"/>
              </w:rPr>
              <w:t>Uncertainty fragility flood</w:t>
            </w:r>
          </w:p>
        </w:tc>
        <w:tc>
          <w:tcPr>
            <w:tcW w:w="1837" w:type="pct"/>
            <w:tcBorders>
              <w:top w:val="nil"/>
              <w:left w:val="nil"/>
              <w:bottom w:val="nil"/>
              <w:right w:val="nil"/>
            </w:tcBorders>
            <w:shd w:val="clear" w:color="auto" w:fill="auto"/>
            <w:noWrap/>
            <w:hideMark/>
          </w:tcPr>
          <w:p w14:paraId="769BDE85" w14:textId="77777777" w:rsidR="0095697F" w:rsidRPr="00AD5F47" w:rsidRDefault="0095697F" w:rsidP="00A47A7E">
            <w:pPr>
              <w:rPr>
                <w:color w:val="000000"/>
                <w:sz w:val="20"/>
              </w:rPr>
            </w:pPr>
            <w:r w:rsidRPr="00AD5F47">
              <w:rPr>
                <w:color w:val="000000"/>
                <w:sz w:val="20"/>
              </w:rPr>
              <w:t>Uncertainty in the fragility curves adopted (m)</w:t>
            </w:r>
          </w:p>
        </w:tc>
        <w:tc>
          <w:tcPr>
            <w:tcW w:w="407" w:type="pct"/>
            <w:tcBorders>
              <w:top w:val="nil"/>
              <w:left w:val="nil"/>
              <w:bottom w:val="nil"/>
              <w:right w:val="nil"/>
            </w:tcBorders>
            <w:shd w:val="clear" w:color="auto" w:fill="auto"/>
            <w:noWrap/>
            <w:hideMark/>
          </w:tcPr>
          <w:p w14:paraId="54B49EB5" w14:textId="77777777" w:rsidR="0095697F" w:rsidRPr="00AD5F47" w:rsidRDefault="0095697F" w:rsidP="00A47A7E">
            <w:pPr>
              <w:rPr>
                <w:color w:val="000000"/>
                <w:sz w:val="20"/>
              </w:rPr>
            </w:pPr>
            <w:r w:rsidRPr="00AD5F47">
              <w:rPr>
                <w:color w:val="000000"/>
                <w:sz w:val="20"/>
              </w:rPr>
              <w:t>0</w:t>
            </w:r>
          </w:p>
        </w:tc>
        <w:tc>
          <w:tcPr>
            <w:tcW w:w="306" w:type="pct"/>
            <w:tcBorders>
              <w:top w:val="nil"/>
              <w:left w:val="nil"/>
              <w:bottom w:val="nil"/>
              <w:right w:val="nil"/>
            </w:tcBorders>
            <w:shd w:val="clear" w:color="auto" w:fill="auto"/>
            <w:noWrap/>
            <w:hideMark/>
          </w:tcPr>
          <w:p w14:paraId="3039727A" w14:textId="77777777" w:rsidR="0095697F" w:rsidRPr="00AD5F47" w:rsidRDefault="0095697F" w:rsidP="00A47A7E">
            <w:pPr>
              <w:rPr>
                <w:color w:val="000000"/>
                <w:sz w:val="20"/>
              </w:rPr>
            </w:pPr>
            <w:r w:rsidRPr="00AD5F47">
              <w:rPr>
                <w:color w:val="000000"/>
                <w:sz w:val="20"/>
              </w:rPr>
              <w:t>-0.5</w:t>
            </w:r>
          </w:p>
        </w:tc>
        <w:tc>
          <w:tcPr>
            <w:tcW w:w="306" w:type="pct"/>
            <w:tcBorders>
              <w:top w:val="nil"/>
              <w:left w:val="nil"/>
              <w:bottom w:val="nil"/>
              <w:right w:val="nil"/>
            </w:tcBorders>
            <w:shd w:val="clear" w:color="auto" w:fill="auto"/>
            <w:noWrap/>
            <w:hideMark/>
          </w:tcPr>
          <w:p w14:paraId="26E97B4D" w14:textId="77777777" w:rsidR="0095697F" w:rsidRPr="00AD5F47" w:rsidRDefault="0095697F" w:rsidP="00A47A7E">
            <w:pPr>
              <w:rPr>
                <w:color w:val="000000"/>
                <w:sz w:val="20"/>
              </w:rPr>
            </w:pPr>
            <w:r w:rsidRPr="00AD5F47">
              <w:rPr>
                <w:color w:val="000000"/>
                <w:sz w:val="20"/>
              </w:rPr>
              <w:t>0.5</w:t>
            </w:r>
          </w:p>
        </w:tc>
        <w:tc>
          <w:tcPr>
            <w:tcW w:w="613" w:type="pct"/>
            <w:tcBorders>
              <w:top w:val="nil"/>
              <w:left w:val="nil"/>
              <w:bottom w:val="nil"/>
              <w:right w:val="nil"/>
            </w:tcBorders>
            <w:shd w:val="clear" w:color="auto" w:fill="auto"/>
            <w:noWrap/>
            <w:hideMark/>
          </w:tcPr>
          <w:p w14:paraId="662C0FAA" w14:textId="77777777" w:rsidR="0095697F" w:rsidRPr="00AD5F47" w:rsidRDefault="0095697F" w:rsidP="00A47A7E">
            <w:pPr>
              <w:rPr>
                <w:color w:val="000000"/>
                <w:sz w:val="20"/>
              </w:rPr>
            </w:pPr>
            <w:r w:rsidRPr="00AD5F47">
              <w:rPr>
                <w:color w:val="000000"/>
                <w:sz w:val="20"/>
              </w:rPr>
              <w:t>Expert Judgment</w:t>
            </w:r>
          </w:p>
        </w:tc>
      </w:tr>
      <w:tr w:rsidR="0095697F" w:rsidRPr="00AD5F47" w14:paraId="1F9C9FD8" w14:textId="77777777" w:rsidTr="00A47A7E">
        <w:trPr>
          <w:trHeight w:val="227"/>
        </w:trPr>
        <w:tc>
          <w:tcPr>
            <w:tcW w:w="510" w:type="pct"/>
            <w:tcBorders>
              <w:top w:val="nil"/>
              <w:left w:val="nil"/>
              <w:bottom w:val="nil"/>
              <w:right w:val="nil"/>
            </w:tcBorders>
            <w:shd w:val="clear" w:color="auto" w:fill="auto"/>
            <w:noWrap/>
            <w:hideMark/>
          </w:tcPr>
          <w:p w14:paraId="19F582C8" w14:textId="77777777" w:rsidR="0095697F" w:rsidRPr="00AD5F47" w:rsidRDefault="0095697F" w:rsidP="00A47A7E">
            <w:pPr>
              <w:rPr>
                <w:color w:val="000000"/>
                <w:sz w:val="20"/>
              </w:rPr>
            </w:pPr>
            <w:r w:rsidRPr="00AD5F47">
              <w:rPr>
                <w:color w:val="000000"/>
                <w:sz w:val="20"/>
              </w:rPr>
              <w:t>Flooding</w:t>
            </w:r>
          </w:p>
        </w:tc>
        <w:tc>
          <w:tcPr>
            <w:tcW w:w="1021" w:type="pct"/>
            <w:tcBorders>
              <w:top w:val="nil"/>
              <w:left w:val="nil"/>
              <w:bottom w:val="nil"/>
              <w:right w:val="nil"/>
            </w:tcBorders>
            <w:shd w:val="clear" w:color="auto" w:fill="auto"/>
            <w:noWrap/>
            <w:hideMark/>
          </w:tcPr>
          <w:p w14:paraId="7AA6F125" w14:textId="77777777" w:rsidR="0095697F" w:rsidRPr="00AD5F47" w:rsidRDefault="0095697F" w:rsidP="00A47A7E">
            <w:pPr>
              <w:rPr>
                <w:color w:val="000000"/>
                <w:sz w:val="20"/>
              </w:rPr>
            </w:pPr>
            <w:r w:rsidRPr="00AD5F47">
              <w:rPr>
                <w:color w:val="000000"/>
                <w:sz w:val="20"/>
              </w:rPr>
              <w:t>Fragility Breakbulk flooding</w:t>
            </w:r>
          </w:p>
        </w:tc>
        <w:tc>
          <w:tcPr>
            <w:tcW w:w="1837" w:type="pct"/>
            <w:tcBorders>
              <w:top w:val="nil"/>
              <w:left w:val="nil"/>
              <w:bottom w:val="nil"/>
              <w:right w:val="nil"/>
            </w:tcBorders>
            <w:shd w:val="clear" w:color="auto" w:fill="auto"/>
            <w:noWrap/>
            <w:hideMark/>
          </w:tcPr>
          <w:p w14:paraId="717E0503"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0A932593"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4A153804"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2B12D376"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0C471FD3" w14:textId="598FD139"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{"citationItems":[{"id":"ITEM-1","itemData":{"author":[{"dropping-particle":"","family":"Snuverink","given":"M.A.M.","non-dropping-particle":"","parse-names":false,"suffix":""},{"dropping-particle":"","family":"Berg","given":"K.","non-dropping-particle":"van den","parse-names":false,"suffix":""},{"dropping-particle":"","family":"Sluijs","given":"L.","non-dropping-particle":"","parse-names":false,"suffix":""},{"dropping-particle":"","family":"Proosdij","given":"E.","non-dropping-particle":"van","parse-names":false,"suffix":""}],"container-title":"Inundatierisico's buitendijkse gebieden","id":"ITEM-1","issue":"Document no 334393 (in Dutch)","issued":{"date-parts":[["1998"]]},"number-of-pages":"Document no 334393 (in Dutch)","title":"Schade bij inundatie van buitendijkse industrie.","type":"report"},"uris":["http://www.mendeley.com/documents/?uuid=33179d0c-016e-45e7-85d6-2143a0067661"]}],"mendeley":{"formattedCitation":"&lt;sup&gt;15&lt;/sup&gt;","plainTextFormattedCitation":"15","previouslyFormattedCitation":"(&lt;i&gt;15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15</w:t>
            </w:r>
            <w:r w:rsidRPr="00AD5F47">
              <w:rPr>
                <w:color w:val="000000"/>
                <w:sz w:val="20"/>
              </w:rPr>
              <w:fldChar w:fldCharType="end"/>
            </w:r>
          </w:p>
        </w:tc>
      </w:tr>
      <w:tr w:rsidR="0095697F" w:rsidRPr="00AD5F47" w14:paraId="4EFC2D29" w14:textId="77777777" w:rsidTr="00A47A7E">
        <w:trPr>
          <w:trHeight w:val="227"/>
        </w:trPr>
        <w:tc>
          <w:tcPr>
            <w:tcW w:w="510" w:type="pct"/>
            <w:tcBorders>
              <w:top w:val="nil"/>
              <w:left w:val="nil"/>
              <w:bottom w:val="nil"/>
              <w:right w:val="nil"/>
            </w:tcBorders>
            <w:shd w:val="clear" w:color="auto" w:fill="auto"/>
            <w:noWrap/>
            <w:hideMark/>
          </w:tcPr>
          <w:p w14:paraId="56ACF22A"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43D32726" w14:textId="77777777" w:rsidR="0095697F" w:rsidRPr="00AD5F47" w:rsidRDefault="0095697F" w:rsidP="00A47A7E">
            <w:pPr>
              <w:rPr>
                <w:color w:val="000000"/>
                <w:sz w:val="20"/>
              </w:rPr>
            </w:pPr>
            <w:r w:rsidRPr="00AD5F47">
              <w:rPr>
                <w:color w:val="000000"/>
                <w:sz w:val="20"/>
              </w:rPr>
              <w:t xml:space="preserve">Fragility </w:t>
            </w:r>
            <w:proofErr w:type="spellStart"/>
            <w:r w:rsidRPr="00AD5F47">
              <w:rPr>
                <w:color w:val="000000"/>
                <w:sz w:val="20"/>
              </w:rPr>
              <w:t>RoRo</w:t>
            </w:r>
            <w:proofErr w:type="spellEnd"/>
            <w:r w:rsidRPr="00AD5F47">
              <w:rPr>
                <w:color w:val="000000"/>
                <w:sz w:val="20"/>
              </w:rPr>
              <w:t xml:space="preserve"> flooding</w:t>
            </w:r>
          </w:p>
        </w:tc>
        <w:tc>
          <w:tcPr>
            <w:tcW w:w="1837" w:type="pct"/>
            <w:tcBorders>
              <w:top w:val="nil"/>
              <w:left w:val="nil"/>
              <w:bottom w:val="nil"/>
              <w:right w:val="nil"/>
            </w:tcBorders>
            <w:shd w:val="clear" w:color="auto" w:fill="auto"/>
            <w:noWrap/>
            <w:hideMark/>
          </w:tcPr>
          <w:p w14:paraId="1691BA3E"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6FA2A367"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4D63A02D"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0204BEA2"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0B120FFE" w14:textId="42306F1B"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{"citationItems":[{"id":"ITEM-1","itemData":{"author":[{"dropping-particle":"","family":"Snuverink","given":"M.A.M.","non-dropping-particle":"","parse-names":false,"suffix":""},{"dropping-particle":"","family":"Berg","given":"K.","non-dropping-particle":"van den","parse-names":false,"suffix":""},{"dropping-particle":"","family":"Sluijs","given":"L.","non-dropping-particle":"","parse-names":false,"suffix":""},{"dropping-particle":"","family":"Proosdij","given":"E.","non-dropping-particle":"van","parse-names":false,"suffix":""}],"container-title":"Inundatierisico's buitendijkse gebieden","id":"ITEM-1","issue":"Document no 334393 (in Dutch)","issued":{"date-parts":[["1998"]]},"number-of-pages":"Document no 334393 (in Dutch)","title":"Schade bij inundatie van buitendijkse industrie.","type":"report"},"uris":["http://www.mendeley.com/documents/?uuid=33179d0c-016e-45e7-85d6-2143a0067661"]}],"mendeley":{"formattedCitation":"&lt;sup&gt;15&lt;/sup&gt;","plainTextFormattedCitation":"15","previouslyFormattedCitation":"(&lt;i&gt;15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15</w:t>
            </w:r>
            <w:r w:rsidRPr="00AD5F47">
              <w:rPr>
                <w:color w:val="000000"/>
                <w:sz w:val="20"/>
              </w:rPr>
              <w:fldChar w:fldCharType="end"/>
            </w:r>
          </w:p>
        </w:tc>
      </w:tr>
      <w:tr w:rsidR="0095697F" w:rsidRPr="00AD5F47" w14:paraId="0DB158AA" w14:textId="77777777" w:rsidTr="00A47A7E">
        <w:trPr>
          <w:trHeight w:val="227"/>
        </w:trPr>
        <w:tc>
          <w:tcPr>
            <w:tcW w:w="510" w:type="pct"/>
            <w:tcBorders>
              <w:top w:val="nil"/>
              <w:left w:val="nil"/>
              <w:bottom w:val="nil"/>
              <w:right w:val="nil"/>
            </w:tcBorders>
            <w:shd w:val="clear" w:color="auto" w:fill="auto"/>
            <w:noWrap/>
            <w:hideMark/>
          </w:tcPr>
          <w:p w14:paraId="3B5D5CF8"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07C473E8" w14:textId="77777777" w:rsidR="0095697F" w:rsidRPr="00AD5F47" w:rsidRDefault="0095697F" w:rsidP="00A47A7E">
            <w:pPr>
              <w:rPr>
                <w:color w:val="000000"/>
                <w:sz w:val="20"/>
              </w:rPr>
            </w:pPr>
            <w:r w:rsidRPr="00AD5F47">
              <w:rPr>
                <w:color w:val="000000"/>
                <w:sz w:val="20"/>
              </w:rPr>
              <w:t>Fragility Raw flooding</w:t>
            </w:r>
          </w:p>
        </w:tc>
        <w:tc>
          <w:tcPr>
            <w:tcW w:w="1837" w:type="pct"/>
            <w:tcBorders>
              <w:top w:val="nil"/>
              <w:left w:val="nil"/>
              <w:bottom w:val="nil"/>
              <w:right w:val="nil"/>
            </w:tcBorders>
            <w:shd w:val="clear" w:color="auto" w:fill="auto"/>
            <w:noWrap/>
            <w:hideMark/>
          </w:tcPr>
          <w:p w14:paraId="169F4EA5"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7898CEBA"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193FBE04"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3D697073"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110BD32E" w14:textId="636883CE"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{"citationItems":[{"id":"ITEM-1","itemData":{"author":[{"dropping-particle":"","family":"Snuverink","given":"M.A.M.","non-dropping-particle":"","parse-names":false,"suffix":""},{"dropping-particle":"","family":"Berg","given":"K.","non-dropping-particle":"van den","parse-names":false,"suffix":""},{"dropping-particle":"","family":"Sluijs","given":"L.","non-dropping-particle":"","parse-names":false,"suffix":""},{"dropping-particle":"","family":"Proosdij","given":"E.","non-dropping-particle":"van","parse-names":false,"suffix":""}],"container-title":"Inundatierisico's buitendijkse gebieden","id":"ITEM-1","issue":"Document no 334393 (in Dutch)","issued":{"date-parts":[["1998"]]},"number-of-pages":"Document no 334393 (in Dutch)","title":"Schade bij inundatie van buitendijkse industrie.","type":"report"},"uris":["http://www.mendeley.com/documents/?uuid=33179d0c-016e-45e7-85d6-2143a0067661"]}],"mendeley":{"formattedCitation":"&lt;sup&gt;15&lt;/sup&gt;","plainTextFormattedCitation":"15","previouslyFormattedCitation":"(&lt;i&gt;15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15</w:t>
            </w:r>
            <w:r w:rsidRPr="00AD5F47">
              <w:rPr>
                <w:color w:val="000000"/>
                <w:sz w:val="20"/>
              </w:rPr>
              <w:fldChar w:fldCharType="end"/>
            </w:r>
          </w:p>
        </w:tc>
      </w:tr>
      <w:tr w:rsidR="0095697F" w:rsidRPr="00AD5F47" w14:paraId="3AE814BF" w14:textId="77777777" w:rsidTr="00A47A7E">
        <w:trPr>
          <w:trHeight w:val="227"/>
        </w:trPr>
        <w:tc>
          <w:tcPr>
            <w:tcW w:w="510" w:type="pct"/>
            <w:tcBorders>
              <w:top w:val="nil"/>
              <w:left w:val="nil"/>
              <w:bottom w:val="nil"/>
              <w:right w:val="nil"/>
            </w:tcBorders>
            <w:shd w:val="clear" w:color="auto" w:fill="auto"/>
            <w:noWrap/>
            <w:hideMark/>
          </w:tcPr>
          <w:p w14:paraId="67A33A23"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7BFA3C62" w14:textId="77777777" w:rsidR="0095697F" w:rsidRPr="00AD5F47" w:rsidRDefault="0095697F" w:rsidP="00A47A7E">
            <w:pPr>
              <w:rPr>
                <w:color w:val="000000"/>
                <w:sz w:val="20"/>
              </w:rPr>
            </w:pPr>
            <w:r w:rsidRPr="00AD5F47">
              <w:rPr>
                <w:color w:val="000000"/>
                <w:sz w:val="20"/>
              </w:rPr>
              <w:t>Fragility Liquid flooding</w:t>
            </w:r>
          </w:p>
        </w:tc>
        <w:tc>
          <w:tcPr>
            <w:tcW w:w="1837" w:type="pct"/>
            <w:tcBorders>
              <w:top w:val="nil"/>
              <w:left w:val="nil"/>
              <w:bottom w:val="nil"/>
              <w:right w:val="nil"/>
            </w:tcBorders>
            <w:shd w:val="clear" w:color="auto" w:fill="auto"/>
            <w:noWrap/>
            <w:hideMark/>
          </w:tcPr>
          <w:p w14:paraId="49EB7C7A"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6A133E57"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7F4B90A1"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10F86874"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24CBD646" w14:textId="0A4CD92E"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{"citationItems":[{"id":"ITEM-1","itemData":{"author":[{"dropping-particle":"","family":"Snuverink","given":"M.A.M.","non-dropping-particle":"","parse-names":false,"suffix":""},{"dropping-particle":"","family":"Berg","given":"K.","non-dropping-particle":"van den","parse-names":false,"suffix":""},{"dropping-particle":"","family":"Sluijs","given":"L.","non-dropping-particle":"","parse-names":false,"suffix":""},{"dropping-particle":"","family":"Proosdij","given":"E.","non-dropping-particle":"van","parse-names":false,"suffix":""}],"container-title":"Inundatierisico's buitendijkse gebieden","id":"ITEM-1","issue":"Document no 334393 (in Dutch)","issued":{"date-parts":[["1998"]]},"number-of-pages":"Document no 334393 (in Dutch)","title":"Schade bij inundatie van buitendijkse industrie.","type":"report"},"uris":["http://www.mendeley.com/documents/?uuid=33179d0c-016e-45e7-85d6-2143a0067661"]}],"mendeley":{"formattedCitation":"&lt;sup&gt;15&lt;/sup&gt;","plainTextFormattedCitation":"15","previouslyFormattedCitation":"(&lt;i&gt;15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15</w:t>
            </w:r>
            <w:r w:rsidRPr="00AD5F47">
              <w:rPr>
                <w:color w:val="000000"/>
                <w:sz w:val="20"/>
              </w:rPr>
              <w:fldChar w:fldCharType="end"/>
            </w:r>
          </w:p>
        </w:tc>
      </w:tr>
      <w:tr w:rsidR="0095697F" w:rsidRPr="00AD5F47" w14:paraId="78CA3A73" w14:textId="77777777" w:rsidTr="00A47A7E">
        <w:trPr>
          <w:trHeight w:val="227"/>
        </w:trPr>
        <w:tc>
          <w:tcPr>
            <w:tcW w:w="510" w:type="pct"/>
            <w:tcBorders>
              <w:top w:val="nil"/>
              <w:left w:val="nil"/>
              <w:bottom w:val="nil"/>
              <w:right w:val="nil"/>
            </w:tcBorders>
            <w:shd w:val="clear" w:color="auto" w:fill="auto"/>
            <w:noWrap/>
            <w:hideMark/>
          </w:tcPr>
          <w:p w14:paraId="7470AAA4"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214F4BD1" w14:textId="77777777" w:rsidR="0095697F" w:rsidRPr="00AD5F47" w:rsidRDefault="0095697F" w:rsidP="00A47A7E">
            <w:pPr>
              <w:rPr>
                <w:color w:val="000000"/>
                <w:sz w:val="20"/>
              </w:rPr>
            </w:pPr>
            <w:r w:rsidRPr="00AD5F47">
              <w:rPr>
                <w:color w:val="000000"/>
                <w:sz w:val="20"/>
              </w:rPr>
              <w:t>Fragility Container flooding</w:t>
            </w:r>
          </w:p>
        </w:tc>
        <w:tc>
          <w:tcPr>
            <w:tcW w:w="1837" w:type="pct"/>
            <w:tcBorders>
              <w:top w:val="nil"/>
              <w:left w:val="nil"/>
              <w:bottom w:val="nil"/>
              <w:right w:val="nil"/>
            </w:tcBorders>
            <w:shd w:val="clear" w:color="auto" w:fill="auto"/>
            <w:noWrap/>
            <w:hideMark/>
          </w:tcPr>
          <w:p w14:paraId="7A1C5CAD"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2D1C4B31"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317D5179"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2FAB4B0D"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596AFF1F" w14:textId="7760C5C4"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{"citationItems":[{"id":"ITEM-1","itemData":{"author":[{"dropping-particle":"","family":"Snuverink","given":"M.A.M.","non-dropping-particle":"","parse-names":false,"suffix":""},{"dropping-particle":"","family":"Berg","given":"K.","non-dropping-particle":"van den","parse-names":false,"suffix":""},{"dropping-particle":"","family":"Sluijs","given":"L.","non-dropping-particle":"","parse-names":false,"suffix":""},{"dropping-particle":"","family":"Proosdij","given":"E.","non-dropping-particle":"van","parse-names":false,"suffix":""}],"container-title":"Inundatierisico's buitendijkse gebieden","id":"ITEM-1","issue":"Document no 334393 (in Dutch)","issued":{"date-parts":[["1998"]]},"number-of-pages":"Document no 334393 (in Dutch)","title":"Schade bij inundatie van buitendijkse industrie.","type":"report"},"uris":["http://www.mendeley.com/documents/?uuid=33179d0c-016e-45e7-85d6-2143a0067661"]}],"mendeley":{"formattedCitation":"&lt;sup&gt;15&lt;/sup&gt;","plainTextFormattedCitation":"15","previouslyFormattedCitation":"(&lt;i&gt;15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15</w:t>
            </w:r>
            <w:r w:rsidRPr="00AD5F47">
              <w:rPr>
                <w:color w:val="000000"/>
                <w:sz w:val="20"/>
              </w:rPr>
              <w:fldChar w:fldCharType="end"/>
            </w:r>
          </w:p>
        </w:tc>
      </w:tr>
      <w:tr w:rsidR="0095697F" w:rsidRPr="00AD5F47" w14:paraId="521F5AAE" w14:textId="77777777" w:rsidTr="00A47A7E">
        <w:trPr>
          <w:trHeight w:val="227"/>
        </w:trPr>
        <w:tc>
          <w:tcPr>
            <w:tcW w:w="510" w:type="pct"/>
            <w:tcBorders>
              <w:top w:val="nil"/>
              <w:left w:val="nil"/>
              <w:bottom w:val="nil"/>
              <w:right w:val="nil"/>
            </w:tcBorders>
            <w:shd w:val="clear" w:color="auto" w:fill="auto"/>
            <w:noWrap/>
            <w:hideMark/>
          </w:tcPr>
          <w:p w14:paraId="01314717"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5A80F3D4" w14:textId="77777777" w:rsidR="0095697F" w:rsidRPr="00AD5F47" w:rsidRDefault="0095697F" w:rsidP="00A47A7E">
            <w:pPr>
              <w:rPr>
                <w:color w:val="000000"/>
                <w:sz w:val="20"/>
              </w:rPr>
            </w:pPr>
            <w:r w:rsidRPr="00AD5F47">
              <w:rPr>
                <w:color w:val="000000"/>
                <w:sz w:val="20"/>
              </w:rPr>
              <w:t>Fragility Bulk flooding</w:t>
            </w:r>
          </w:p>
        </w:tc>
        <w:tc>
          <w:tcPr>
            <w:tcW w:w="1837" w:type="pct"/>
            <w:tcBorders>
              <w:top w:val="nil"/>
              <w:left w:val="nil"/>
              <w:bottom w:val="nil"/>
              <w:right w:val="nil"/>
            </w:tcBorders>
            <w:shd w:val="clear" w:color="auto" w:fill="auto"/>
            <w:noWrap/>
            <w:hideMark/>
          </w:tcPr>
          <w:p w14:paraId="2016E7E2"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29CA7C34"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580BAC15"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52D58F9F"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65F3B97A" w14:textId="3B9C3B95"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{"citationItems":[{"id":"ITEM-1","itemData":{"author":[{"dropping-particle":"","family":"Snuverink","given":"M.A.M.","non-dropping-particle":"","parse-names":false,"suffix":""},{"dropping-particle":"","family":"Berg","given":"K.","non-dropping-particle":"van den","parse-names":false,"suffix":""},{"dropping-particle":"","family":"Sluijs","given":"L.","non-dropping-particle":"","parse-names":false,"suffix":""},{"dropping-particle":"","family":"Proosdij","given":"E.","non-dropping-particle":"van","parse-names":false,"suffix":""}],"container-title":"Inundatierisico's buitendijkse gebieden","id":"ITEM-1","issue":"Document no 334393 (in Dutch)","issued":{"date-parts":[["1998"]]},"number-of-pages":"Document no 334393 (in Dutch)","title":"Schade bij inundatie van buitendijkse industrie.","type":"report"},"uris":["http://www.mendeley.com/documents/?uuid=33179d0c-016e-45e7-85d6-2143a0067661"]}],"mendeley":{"formattedCitation":"&lt;sup&gt;15&lt;/sup&gt;","plainTextFormattedCitation":"15","previouslyFormattedCitation":"(&lt;i&gt;15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15</w:t>
            </w:r>
            <w:r w:rsidRPr="00AD5F47">
              <w:rPr>
                <w:color w:val="000000"/>
                <w:sz w:val="20"/>
              </w:rPr>
              <w:fldChar w:fldCharType="end"/>
            </w:r>
          </w:p>
        </w:tc>
      </w:tr>
      <w:tr w:rsidR="0095697F" w:rsidRPr="00AD5F47" w14:paraId="429A5DB5" w14:textId="77777777" w:rsidTr="00A47A7E">
        <w:trPr>
          <w:trHeight w:val="227"/>
        </w:trPr>
        <w:tc>
          <w:tcPr>
            <w:tcW w:w="510" w:type="pct"/>
            <w:tcBorders>
              <w:top w:val="nil"/>
              <w:left w:val="nil"/>
              <w:bottom w:val="nil"/>
              <w:right w:val="nil"/>
            </w:tcBorders>
            <w:shd w:val="clear" w:color="auto" w:fill="auto"/>
            <w:noWrap/>
            <w:hideMark/>
          </w:tcPr>
          <w:p w14:paraId="17E6AB7E"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074DB1EE" w14:textId="77777777" w:rsidR="0095697F" w:rsidRPr="00AD5F47" w:rsidRDefault="0095697F" w:rsidP="00A47A7E">
            <w:pPr>
              <w:rPr>
                <w:color w:val="000000"/>
                <w:sz w:val="20"/>
              </w:rPr>
            </w:pPr>
            <w:r w:rsidRPr="00AD5F47">
              <w:rPr>
                <w:color w:val="000000"/>
                <w:sz w:val="20"/>
              </w:rPr>
              <w:t>Fragility Refinery flooding</w:t>
            </w:r>
          </w:p>
        </w:tc>
        <w:tc>
          <w:tcPr>
            <w:tcW w:w="1837" w:type="pct"/>
            <w:tcBorders>
              <w:top w:val="nil"/>
              <w:left w:val="nil"/>
              <w:bottom w:val="nil"/>
              <w:right w:val="nil"/>
            </w:tcBorders>
            <w:shd w:val="clear" w:color="auto" w:fill="auto"/>
            <w:noWrap/>
            <w:hideMark/>
          </w:tcPr>
          <w:p w14:paraId="4AAFB0EE"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51238083"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5A060A90"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34D02283"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2FC8BA28" w14:textId="179A82D2"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{"citationItems":[{"id":"ITEM-1","itemData":{"author":[{"dropping-particle":"","family":"Snuverink","given":"M.A.M.","non-dropping-particle":"","parse-names":false,"suffix":""},{"dropping-particle":"","family":"Berg","given":"K.","non-dropping-particle":"van den","parse-names":false,"suffix":""},{"dropping-particle":"","family":"Sluijs","given":"L.","non-dropping-particle":"","parse-names":false,"suffix":""},{"dropping-particle":"","family":"Proosdij","given":"E.","non-dropping-particle":"van","parse-names":false,"suffix":""}],"container-title":"Inundatierisico's buitendijkse gebieden","id":"ITEM-1","issue":"Document no 334393 (in Dutch)","issued":{"date-parts":[["1998"]]},"number-of-pages":"Document no 334393 (in Dutch)","title":"Schade bij inundatie van buitendijkse industrie.","type":"report"},"uris":["http://www.mendeley.com/documents/?uuid=33179d0c-016e-45e7-85d6-2143a0067661"]}],"mendeley":{"formattedCitation":"&lt;sup&gt;15&lt;/sup&gt;","plainTextFormattedCitation":"15","previouslyFormattedCitation":"(&lt;i&gt;15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15</w:t>
            </w:r>
            <w:r w:rsidRPr="00AD5F47">
              <w:rPr>
                <w:color w:val="000000"/>
                <w:sz w:val="20"/>
              </w:rPr>
              <w:fldChar w:fldCharType="end"/>
            </w:r>
          </w:p>
        </w:tc>
      </w:tr>
      <w:tr w:rsidR="0095697F" w:rsidRPr="00AD5F47" w14:paraId="019B1E57" w14:textId="77777777" w:rsidTr="00A47A7E">
        <w:trPr>
          <w:trHeight w:val="227"/>
        </w:trPr>
        <w:tc>
          <w:tcPr>
            <w:tcW w:w="510" w:type="pct"/>
            <w:tcBorders>
              <w:top w:val="nil"/>
              <w:left w:val="nil"/>
              <w:bottom w:val="nil"/>
              <w:right w:val="nil"/>
            </w:tcBorders>
            <w:shd w:val="clear" w:color="auto" w:fill="auto"/>
            <w:noWrap/>
            <w:hideMark/>
          </w:tcPr>
          <w:p w14:paraId="3709C60A"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0CFF4CF2" w14:textId="77777777" w:rsidR="0095697F" w:rsidRPr="00AD5F47" w:rsidRDefault="0095697F" w:rsidP="00A47A7E">
            <w:pPr>
              <w:rPr>
                <w:color w:val="000000"/>
                <w:sz w:val="20"/>
              </w:rPr>
            </w:pPr>
            <w:r w:rsidRPr="00AD5F47">
              <w:rPr>
                <w:color w:val="000000"/>
                <w:sz w:val="20"/>
              </w:rPr>
              <w:t>Fragility Warehouse flooding</w:t>
            </w:r>
          </w:p>
        </w:tc>
        <w:tc>
          <w:tcPr>
            <w:tcW w:w="1837" w:type="pct"/>
            <w:tcBorders>
              <w:top w:val="nil"/>
              <w:left w:val="nil"/>
              <w:bottom w:val="nil"/>
              <w:right w:val="nil"/>
            </w:tcBorders>
            <w:shd w:val="clear" w:color="auto" w:fill="auto"/>
            <w:noWrap/>
            <w:hideMark/>
          </w:tcPr>
          <w:p w14:paraId="39379530"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246331E6"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0C7E07C5"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59FCC16B"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50951032" w14:textId="475E42B8"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{"citationItems":[{"id":"ITEM-1","itemData":{"DOI":"10.1016/j.ress.2018.07.005","ISSN":"09518320","abstract":"An engineering risk-based methodology for stress testing critical infrastructures is introduced and applied to the port of Thessaloniki in Greece exposed to seismic, geotechnical and tsunami hazards. The methodology workflow consists of four phases: Pre-Assessment, Assessment, Decision and Report phase. In the pre-assessment phase, all the necessary information is collected and archived. For the pilot study, the inventory includes the main port components namely buildings, waterfronts, cranes and the electric power system. Generic or site-specific fragility models are used for all exposed elements and considered hazards. Risk metrics and objectives are defined related to the functionality of the system and the structural losses. In the first level of the assessment phase, the performance of each component is evaluated using a risk-based approach. Then, a system level probabilistic risk analysis is conducted separately for earthquake and tsunami hazards. A complementary scenario-based risk analysis is carried out aiming to investigate the impact of site-specific response and extreme seismic events to the performance of the port. In the Decision phase, the results are compared with predefined objectives to decide whether the infrastructure passes, partly passes or fails the test. Guidelines and strategies to improve the performance and resilience of the port are summarized.","author":[{"dropping-particle":"","family":"Pitilakis","given":"Kyriazis","non-dropping-particle":"","parse-names":false,"suffix":""},{"dropping-particle":"","family":"Argyroudis","given":"Sotiris","non-dropping-particle":"","parse-names":false,"suffix":""},{"dropping-particle":"","family":"Fotopoulou","given":"Stavroula","non-dropping-particle":"","parse-names":false,"suffix":""},{"dropping-particle":"","family":"Karafagka","given":"Stella","non-dropping-particle":"","parse-names":false,"suffix":""},{"dropping-particle":"","family":"Kakderi","given":"Kalliopi","non-dropping-particle":"","parse-names":false,"suffix":""},{"dropping-particle":"","family":"Selva","given":"Jacopo","non-dropping-particle":"","parse-names":false,"suffix":""}],"container-title":"Reliability Engineering and System Safety","id":"ITEM-1","issue":"November 2017","issued":{"date-parts":[["2019"]]},"page":"240-257","publisher":"Elsevier Ltd","title":"Application of stress test concepts for port infrastructures against natural hazards. The case of Thessaloniki port in Greece","type":"article-journal","volume":"184"},"uris":["http://www.mendeley.com/documents/?uuid=0e489139-ac5e-427f-a574-724cea168a2d"]}],"mendeley":{"formattedCitation":"&lt;sup&gt;23&lt;/sup&gt;","plainTextFormattedCitation":"23","previouslyFormattedCitation":"(&lt;i&gt;23&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23</w:t>
            </w:r>
            <w:r w:rsidRPr="00AD5F47">
              <w:rPr>
                <w:color w:val="000000"/>
                <w:sz w:val="20"/>
              </w:rPr>
              <w:fldChar w:fldCharType="end"/>
            </w:r>
          </w:p>
        </w:tc>
      </w:tr>
      <w:tr w:rsidR="0095697F" w:rsidRPr="00AD5F47" w14:paraId="63534618" w14:textId="77777777" w:rsidTr="00A47A7E">
        <w:trPr>
          <w:trHeight w:val="227"/>
        </w:trPr>
        <w:tc>
          <w:tcPr>
            <w:tcW w:w="510" w:type="pct"/>
            <w:tcBorders>
              <w:top w:val="nil"/>
              <w:left w:val="nil"/>
              <w:bottom w:val="nil"/>
              <w:right w:val="nil"/>
            </w:tcBorders>
            <w:shd w:val="clear" w:color="auto" w:fill="auto"/>
            <w:noWrap/>
            <w:hideMark/>
          </w:tcPr>
          <w:p w14:paraId="36E7B0B8"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717356C3" w14:textId="77777777" w:rsidR="0095697F" w:rsidRPr="00AD5F47" w:rsidRDefault="0095697F" w:rsidP="00A47A7E">
            <w:pPr>
              <w:rPr>
                <w:color w:val="000000"/>
                <w:sz w:val="20"/>
              </w:rPr>
            </w:pPr>
            <w:r w:rsidRPr="00AD5F47">
              <w:rPr>
                <w:color w:val="000000"/>
                <w:sz w:val="20"/>
              </w:rPr>
              <w:t>Fragility Industry flooding</w:t>
            </w:r>
          </w:p>
        </w:tc>
        <w:tc>
          <w:tcPr>
            <w:tcW w:w="1837" w:type="pct"/>
            <w:tcBorders>
              <w:top w:val="nil"/>
              <w:left w:val="nil"/>
              <w:bottom w:val="nil"/>
              <w:right w:val="nil"/>
            </w:tcBorders>
            <w:shd w:val="clear" w:color="auto" w:fill="auto"/>
            <w:noWrap/>
            <w:hideMark/>
          </w:tcPr>
          <w:p w14:paraId="70D46CED"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2063A421"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299C4C59"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6C29BB4F"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1803C2C2" w14:textId="251C0B57"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{"citationItems":[{"id":"ITEM-1","itemData":{"DOI":"10.2760/16510","ISBN":"0021-9258 (Print)\\r0021-9258 (Linking)","PMID":"10092645","author":[{"dropping-particle":"","family":"Huizinga","given":"Jan","non-dropping-particle":"","parse-names":false,"suffix":""},{"dropping-particle":"","family":"Moel","given":"Hans","non-dropping-particle":"De","parse-names":false,"suffix":""},{"dropping-particle":"","family":"Szewczyk","given":"Wojciech","non-dropping-particle":"","parse-names":false,"suffix":""}],"id":"ITEM-1","issued":{"date-parts":[["2017"]]},"title":"Global flood depth-damage functions. Methodology and the database with guidelines.","type":"report"},"uris":["http://www.mendeley.com/documents/?uuid=2ef3ce7b-38d0-4526-bf68-c406c9bc0a98"]}],"mendeley":{"formattedCitation":"&lt;sup&gt;16&lt;/sup&gt;","plainTextFormattedCitation":"16","previouslyFormattedCitation":"(&lt;i&gt;16&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16</w:t>
            </w:r>
            <w:r w:rsidRPr="00AD5F47">
              <w:rPr>
                <w:color w:val="000000"/>
                <w:sz w:val="20"/>
              </w:rPr>
              <w:fldChar w:fldCharType="end"/>
            </w:r>
          </w:p>
        </w:tc>
      </w:tr>
      <w:tr w:rsidR="0095697F" w:rsidRPr="00AD5F47" w14:paraId="38F1784D" w14:textId="77777777" w:rsidTr="00A47A7E">
        <w:trPr>
          <w:trHeight w:val="227"/>
        </w:trPr>
        <w:tc>
          <w:tcPr>
            <w:tcW w:w="510" w:type="pct"/>
            <w:tcBorders>
              <w:top w:val="nil"/>
              <w:left w:val="nil"/>
              <w:bottom w:val="nil"/>
              <w:right w:val="nil"/>
            </w:tcBorders>
            <w:shd w:val="clear" w:color="auto" w:fill="auto"/>
            <w:noWrap/>
            <w:hideMark/>
          </w:tcPr>
          <w:p w14:paraId="0CB4FAB6"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1602D27D" w14:textId="77777777" w:rsidR="0095697F" w:rsidRPr="00AD5F47" w:rsidRDefault="0095697F" w:rsidP="00A47A7E">
            <w:pPr>
              <w:rPr>
                <w:color w:val="000000"/>
                <w:sz w:val="20"/>
              </w:rPr>
            </w:pPr>
            <w:r w:rsidRPr="00AD5F47">
              <w:rPr>
                <w:color w:val="000000"/>
                <w:sz w:val="20"/>
              </w:rPr>
              <w:t>Fragility Road/rail</w:t>
            </w:r>
          </w:p>
        </w:tc>
        <w:tc>
          <w:tcPr>
            <w:tcW w:w="1837" w:type="pct"/>
            <w:tcBorders>
              <w:top w:val="nil"/>
              <w:left w:val="nil"/>
              <w:bottom w:val="nil"/>
              <w:right w:val="nil"/>
            </w:tcBorders>
            <w:shd w:val="clear" w:color="auto" w:fill="auto"/>
            <w:noWrap/>
            <w:hideMark/>
          </w:tcPr>
          <w:p w14:paraId="0551CBFF"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2E0BAD29"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10FEC83A"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195413BE"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49861C1E" w14:textId="51C31A1E"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{"citationItems":[{"id":"ITEM-1","itemData":{"DOI":"10.1038/s41467-019-10442-3","ISBN":"4146701910","ISSN":"2041-1723","author":[{"dropping-particle":"","family":"Koks","given":"Elco E.","non-dropping-particle":"","parse-names":false,"suffix":""},{"dropping-particle":"","family":"Rozenberg","given":"Julie","non-dropping-particle":"","parse-names":false,"suffix":""},{"dropping-particle":"","family":"Zorn","given":"C","non-dropping-particle":"","parse-names":false,"suffix":""},{"dropping-particle":"","family":"Tariverdi","given":"Mercedeh","non-dropping-particle":"","parse-names":false,"suffix":""},{"dropping-particle":"","family":"Vousdoukas","given":"M","non-dropping-particle":"","parse-names":false,"suffix":""},{"dropping-particle":"","family":"Fraser","given":"S. A.","non-dropping-particle":"","parse-names":false,"suffix":""},{"dropping-particle":"","family":"Hall","given":"J. W.","non-dropping-particle":"","parse-names":false,"suffix":""},{"dropping-particle":"","family":"Hallegatte","given":"Stephane","non-dropping-particle":"","parse-names":false,"suffix":""}],"container-title":"Nature Communications","id":"ITEM-1","issue":"1","issued":{"date-parts":[["2019","12","25"]]},"page":"2677","publisher":"Springer US","title":"A global multi-hazard risk analysis of road and railway infrastructure assets","type":"article-journal","volume":"10"},"uris":["http://www.mendeley.com/documents/?uuid=f5b43386-4fa5-4afc-8d7d-b38d4a7a0534"]}],"mendeley":{"formattedCitation":"&lt;sup&gt;24&lt;/sup&gt;","plainTextFormattedCitation":"24","previouslyFormattedCitation":"(&lt;i&gt;24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24</w:t>
            </w:r>
            <w:r w:rsidRPr="00AD5F47">
              <w:rPr>
                <w:color w:val="000000"/>
                <w:sz w:val="20"/>
              </w:rPr>
              <w:fldChar w:fldCharType="end"/>
            </w:r>
          </w:p>
        </w:tc>
      </w:tr>
      <w:tr w:rsidR="0095697F" w:rsidRPr="00AD5F47" w14:paraId="4266B4D9" w14:textId="77777777" w:rsidTr="00A47A7E">
        <w:trPr>
          <w:trHeight w:val="227"/>
        </w:trPr>
        <w:tc>
          <w:tcPr>
            <w:tcW w:w="510" w:type="pct"/>
            <w:tcBorders>
              <w:top w:val="nil"/>
              <w:left w:val="nil"/>
              <w:bottom w:val="nil"/>
              <w:right w:val="nil"/>
            </w:tcBorders>
            <w:shd w:val="clear" w:color="auto" w:fill="auto"/>
            <w:noWrap/>
            <w:hideMark/>
          </w:tcPr>
          <w:p w14:paraId="22A0EDCD"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12CFA46C" w14:textId="77777777" w:rsidR="0095697F" w:rsidRPr="00AD5F47" w:rsidRDefault="0095697F" w:rsidP="00A47A7E">
            <w:pPr>
              <w:rPr>
                <w:color w:val="000000"/>
                <w:sz w:val="20"/>
              </w:rPr>
            </w:pPr>
            <w:r w:rsidRPr="00AD5F47">
              <w:rPr>
                <w:color w:val="000000"/>
                <w:sz w:val="20"/>
              </w:rPr>
              <w:t>Fragility Electricity</w:t>
            </w:r>
          </w:p>
        </w:tc>
        <w:tc>
          <w:tcPr>
            <w:tcW w:w="1837" w:type="pct"/>
            <w:tcBorders>
              <w:top w:val="nil"/>
              <w:left w:val="nil"/>
              <w:bottom w:val="nil"/>
              <w:right w:val="nil"/>
            </w:tcBorders>
            <w:shd w:val="clear" w:color="auto" w:fill="auto"/>
            <w:noWrap/>
            <w:hideMark/>
          </w:tcPr>
          <w:p w14:paraId="42E379A2"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2BBE10BF" w14:textId="77777777" w:rsidR="0095697F" w:rsidRPr="00AD5F47" w:rsidRDefault="0095697F" w:rsidP="00A47A7E">
            <w:pPr>
              <w:rPr>
                <w:color w:val="000000"/>
                <w:sz w:val="20"/>
              </w:rPr>
            </w:pPr>
            <w:r w:rsidRPr="00AD5F47">
              <w:rPr>
                <w:color w:val="000000"/>
                <w:sz w:val="20"/>
              </w:rPr>
              <w:t>Unaffected</w:t>
            </w:r>
          </w:p>
        </w:tc>
        <w:tc>
          <w:tcPr>
            <w:tcW w:w="306" w:type="pct"/>
            <w:tcBorders>
              <w:top w:val="nil"/>
              <w:left w:val="nil"/>
              <w:bottom w:val="nil"/>
              <w:right w:val="nil"/>
            </w:tcBorders>
            <w:shd w:val="clear" w:color="auto" w:fill="auto"/>
            <w:noWrap/>
            <w:hideMark/>
          </w:tcPr>
          <w:p w14:paraId="35954182"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39FEF510"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050C42AE" w14:textId="77777777" w:rsidR="0095697F" w:rsidRPr="00AD5F47" w:rsidRDefault="0095697F" w:rsidP="00A47A7E">
            <w:pPr>
              <w:rPr>
                <w:sz w:val="20"/>
              </w:rPr>
            </w:pPr>
          </w:p>
        </w:tc>
      </w:tr>
      <w:tr w:rsidR="0095697F" w:rsidRPr="00AD5F47" w14:paraId="796C099B" w14:textId="77777777" w:rsidTr="00A47A7E">
        <w:trPr>
          <w:trHeight w:val="227"/>
        </w:trPr>
        <w:tc>
          <w:tcPr>
            <w:tcW w:w="510" w:type="pct"/>
            <w:tcBorders>
              <w:top w:val="nil"/>
              <w:left w:val="nil"/>
              <w:bottom w:val="nil"/>
              <w:right w:val="nil"/>
            </w:tcBorders>
            <w:shd w:val="clear" w:color="auto" w:fill="auto"/>
            <w:noWrap/>
            <w:hideMark/>
          </w:tcPr>
          <w:p w14:paraId="7934C60A" w14:textId="77777777" w:rsidR="0095697F" w:rsidRPr="00AD5F47" w:rsidRDefault="0095697F" w:rsidP="00A47A7E">
            <w:pPr>
              <w:rPr>
                <w:sz w:val="20"/>
              </w:rPr>
            </w:pPr>
          </w:p>
        </w:tc>
        <w:tc>
          <w:tcPr>
            <w:tcW w:w="1021" w:type="pct"/>
            <w:tcBorders>
              <w:top w:val="nil"/>
              <w:left w:val="nil"/>
              <w:bottom w:val="nil"/>
              <w:right w:val="nil"/>
            </w:tcBorders>
            <w:shd w:val="clear" w:color="auto" w:fill="auto"/>
            <w:noWrap/>
            <w:hideMark/>
          </w:tcPr>
          <w:p w14:paraId="789E6C55" w14:textId="77777777" w:rsidR="0095697F" w:rsidRPr="00AD5F47" w:rsidRDefault="0095697F" w:rsidP="00A47A7E">
            <w:pPr>
              <w:rPr>
                <w:color w:val="000000"/>
                <w:sz w:val="20"/>
              </w:rPr>
            </w:pPr>
            <w:r w:rsidRPr="00AD5F47">
              <w:rPr>
                <w:color w:val="000000"/>
                <w:sz w:val="20"/>
              </w:rPr>
              <w:t>Fragility Power</w:t>
            </w:r>
          </w:p>
        </w:tc>
        <w:tc>
          <w:tcPr>
            <w:tcW w:w="1837" w:type="pct"/>
            <w:tcBorders>
              <w:top w:val="nil"/>
              <w:left w:val="nil"/>
              <w:bottom w:val="nil"/>
              <w:right w:val="nil"/>
            </w:tcBorders>
            <w:shd w:val="clear" w:color="auto" w:fill="auto"/>
            <w:noWrap/>
            <w:hideMark/>
          </w:tcPr>
          <w:p w14:paraId="70AEFF13"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047C6209"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32C99690"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7AA1DAFD"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2E5B2375" w14:textId="5356B67C"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{"citationItems":[{"id":"ITEM-1","itemData":{"abstract":"The Overview of Engineering Options for Increasing Infrastructure Resilience Project, Contract #7189546, is funded by the World Bank Group with the Global Facility for Disaster Reduction and Recovery. The objective of this project is to prepare a flagship report about infrastructure resilience that investigates the impacts of natural disasters from the loss of (lifeline) infrastructure services and from supply-chain effects. This project also aims to support the development of public policies and interventions that make economic systems more resilient. About the World Bank Group The World Bank Group is one of the world's largest sources of funding and knowledge for developing countries. Its five institutions share a commitment to reducing poverty, increasing shared prosperity, and promoting sustainable development. The World Bank Group is committed to open development and has opened its data, knowledge, and research to foster innovation and increase transparency in development. About the Global Facility for Disaster Reduction and Recovery The Global Facility for Disaster Reduction and Recovery (GFDRR) is a global partnership that helps developing countries better understand and reduce their vulnerability to natural hazards and climate change. Launched in 2006, GFDRR provides technical and financial assistance to help disaster-prone countries decrease their vulnerability and adapt to climate change. Miyamoto International Miyamoto International is a global earthquake + structural engineering, project management, and construction management company that provides critical services that sustain industries and safeguard communities around the world. Miyamoto specializes in Disaster Resiliency Engineering along with disaster risk mitigation, response, and reconstruction. Disclaimer The opinions, findings, and conclusions stated herein are those of the authors and do not necessarily reflect the views of the World Bank Group or GFDRR. Acknowledgment","author":[{"dropping-particle":"","family":"Miyamoto International","given":"","non-dropping-particle":"","parse-names":false,"suffix":""}],"id":"ITEM-1","issue":"February","issued":{"date-parts":[["2019"]]},"title":"Overview of Engineering Options for Increasing Infrastructure Resilience","type":"report"},"uris":["http://www.mendeley.com/documents/?uuid=1032a529-843b-48d2-86ff-8aed3e711111"]}],"mendeley":{"formattedCitation":"&lt;sup&gt;25&lt;/sup&gt;","plainTextFormattedCitation":"25","previouslyFormattedCitation":"(&lt;i&gt;25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25</w:t>
            </w:r>
            <w:r w:rsidRPr="00AD5F47">
              <w:rPr>
                <w:color w:val="000000"/>
                <w:sz w:val="20"/>
              </w:rPr>
              <w:fldChar w:fldCharType="end"/>
            </w:r>
          </w:p>
        </w:tc>
      </w:tr>
      <w:tr w:rsidR="0095697F" w:rsidRPr="00AD5F47" w14:paraId="7F18C36C" w14:textId="77777777" w:rsidTr="00A47A7E">
        <w:trPr>
          <w:trHeight w:val="227"/>
        </w:trPr>
        <w:tc>
          <w:tcPr>
            <w:tcW w:w="510" w:type="pct"/>
            <w:tcBorders>
              <w:top w:val="nil"/>
              <w:left w:val="nil"/>
              <w:bottom w:val="nil"/>
              <w:right w:val="nil"/>
            </w:tcBorders>
            <w:shd w:val="clear" w:color="auto" w:fill="auto"/>
            <w:noWrap/>
            <w:hideMark/>
          </w:tcPr>
          <w:p w14:paraId="40B971CD"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254F8DEE" w14:textId="77777777" w:rsidR="0095697F" w:rsidRPr="00AD5F47" w:rsidRDefault="0095697F" w:rsidP="00A47A7E">
            <w:pPr>
              <w:rPr>
                <w:sz w:val="20"/>
              </w:rPr>
            </w:pPr>
          </w:p>
        </w:tc>
        <w:tc>
          <w:tcPr>
            <w:tcW w:w="1837" w:type="pct"/>
            <w:tcBorders>
              <w:top w:val="nil"/>
              <w:left w:val="nil"/>
              <w:bottom w:val="nil"/>
              <w:right w:val="nil"/>
            </w:tcBorders>
            <w:shd w:val="clear" w:color="auto" w:fill="auto"/>
            <w:noWrap/>
            <w:hideMark/>
          </w:tcPr>
          <w:p w14:paraId="7804AFBC" w14:textId="77777777" w:rsidR="0095697F" w:rsidRPr="00AD5F47" w:rsidRDefault="0095697F" w:rsidP="00A47A7E">
            <w:pPr>
              <w:rPr>
                <w:sz w:val="20"/>
              </w:rPr>
            </w:pPr>
          </w:p>
        </w:tc>
        <w:tc>
          <w:tcPr>
            <w:tcW w:w="407" w:type="pct"/>
            <w:tcBorders>
              <w:top w:val="nil"/>
              <w:left w:val="nil"/>
              <w:bottom w:val="nil"/>
              <w:right w:val="nil"/>
            </w:tcBorders>
            <w:shd w:val="clear" w:color="auto" w:fill="auto"/>
            <w:noWrap/>
            <w:hideMark/>
          </w:tcPr>
          <w:p w14:paraId="66D6BC0D"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56F92932"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2FAE4146"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4B0AF9AA" w14:textId="77777777" w:rsidR="0095697F" w:rsidRPr="00AD5F47" w:rsidRDefault="0095697F" w:rsidP="00A47A7E">
            <w:pPr>
              <w:rPr>
                <w:sz w:val="20"/>
              </w:rPr>
            </w:pPr>
          </w:p>
        </w:tc>
      </w:tr>
      <w:tr w:rsidR="0095697F" w:rsidRPr="00AD5F47" w14:paraId="3C8417A8" w14:textId="77777777" w:rsidTr="00A47A7E">
        <w:trPr>
          <w:trHeight w:val="227"/>
        </w:trPr>
        <w:tc>
          <w:tcPr>
            <w:tcW w:w="510" w:type="pct"/>
            <w:tcBorders>
              <w:top w:val="nil"/>
              <w:left w:val="nil"/>
              <w:bottom w:val="nil"/>
              <w:right w:val="nil"/>
            </w:tcBorders>
            <w:shd w:val="clear" w:color="auto" w:fill="auto"/>
            <w:noWrap/>
            <w:hideMark/>
          </w:tcPr>
          <w:p w14:paraId="740E102D" w14:textId="77777777" w:rsidR="0095697F" w:rsidRPr="00AD5F47" w:rsidRDefault="0095697F" w:rsidP="00A47A7E">
            <w:pPr>
              <w:rPr>
                <w:color w:val="000000"/>
                <w:sz w:val="20"/>
              </w:rPr>
            </w:pPr>
            <w:r w:rsidRPr="00AD5F47">
              <w:rPr>
                <w:color w:val="000000"/>
                <w:sz w:val="20"/>
              </w:rPr>
              <w:t>Depth-damage curve</w:t>
            </w:r>
          </w:p>
        </w:tc>
        <w:tc>
          <w:tcPr>
            <w:tcW w:w="1021" w:type="pct"/>
            <w:tcBorders>
              <w:top w:val="nil"/>
              <w:left w:val="nil"/>
              <w:bottom w:val="nil"/>
              <w:right w:val="nil"/>
            </w:tcBorders>
            <w:shd w:val="clear" w:color="auto" w:fill="auto"/>
            <w:noWrap/>
            <w:hideMark/>
          </w:tcPr>
          <w:p w14:paraId="5A8F779F" w14:textId="77777777" w:rsidR="0095697F" w:rsidRPr="00AD5F47" w:rsidRDefault="0095697F" w:rsidP="00A47A7E">
            <w:pPr>
              <w:rPr>
                <w:color w:val="000000"/>
                <w:sz w:val="20"/>
              </w:rPr>
            </w:pPr>
            <w:r w:rsidRPr="00AD5F47">
              <w:rPr>
                <w:color w:val="000000"/>
                <w:sz w:val="20"/>
              </w:rPr>
              <w:t>Uncertainty fragility earthquake</w:t>
            </w:r>
          </w:p>
        </w:tc>
        <w:tc>
          <w:tcPr>
            <w:tcW w:w="1837" w:type="pct"/>
            <w:tcBorders>
              <w:top w:val="nil"/>
              <w:left w:val="nil"/>
              <w:bottom w:val="nil"/>
              <w:right w:val="nil"/>
            </w:tcBorders>
            <w:shd w:val="clear" w:color="auto" w:fill="auto"/>
            <w:noWrap/>
            <w:hideMark/>
          </w:tcPr>
          <w:p w14:paraId="4CECF08B" w14:textId="77777777" w:rsidR="0095697F" w:rsidRPr="00AD5F47" w:rsidRDefault="0095697F" w:rsidP="00A47A7E">
            <w:pPr>
              <w:rPr>
                <w:color w:val="000000"/>
                <w:sz w:val="20"/>
              </w:rPr>
            </w:pPr>
            <w:r w:rsidRPr="00AD5F47">
              <w:rPr>
                <w:color w:val="000000"/>
                <w:sz w:val="20"/>
              </w:rPr>
              <w:t>Uncertainty in the fragility curves adopted (PGA)</w:t>
            </w:r>
          </w:p>
        </w:tc>
        <w:tc>
          <w:tcPr>
            <w:tcW w:w="407" w:type="pct"/>
            <w:tcBorders>
              <w:top w:val="nil"/>
              <w:left w:val="nil"/>
              <w:bottom w:val="nil"/>
              <w:right w:val="nil"/>
            </w:tcBorders>
            <w:shd w:val="clear" w:color="auto" w:fill="auto"/>
            <w:noWrap/>
            <w:hideMark/>
          </w:tcPr>
          <w:p w14:paraId="38D4DFE9" w14:textId="77777777" w:rsidR="0095697F" w:rsidRPr="00AD5F47" w:rsidRDefault="0095697F" w:rsidP="00A47A7E">
            <w:pPr>
              <w:rPr>
                <w:color w:val="000000"/>
                <w:sz w:val="20"/>
              </w:rPr>
            </w:pPr>
            <w:r w:rsidRPr="00AD5F47">
              <w:rPr>
                <w:color w:val="000000"/>
                <w:sz w:val="20"/>
              </w:rPr>
              <w:t>0</w:t>
            </w:r>
          </w:p>
        </w:tc>
        <w:tc>
          <w:tcPr>
            <w:tcW w:w="306" w:type="pct"/>
            <w:tcBorders>
              <w:top w:val="nil"/>
              <w:left w:val="nil"/>
              <w:bottom w:val="nil"/>
              <w:right w:val="nil"/>
            </w:tcBorders>
            <w:shd w:val="clear" w:color="auto" w:fill="auto"/>
            <w:noWrap/>
            <w:hideMark/>
          </w:tcPr>
          <w:p w14:paraId="599EB832" w14:textId="77777777" w:rsidR="0095697F" w:rsidRPr="00AD5F47" w:rsidRDefault="0095697F" w:rsidP="00A47A7E">
            <w:pPr>
              <w:rPr>
                <w:color w:val="000000"/>
                <w:sz w:val="20"/>
              </w:rPr>
            </w:pPr>
            <w:r w:rsidRPr="00AD5F47">
              <w:rPr>
                <w:color w:val="000000"/>
                <w:sz w:val="20"/>
              </w:rPr>
              <w:t>-0.2</w:t>
            </w:r>
          </w:p>
        </w:tc>
        <w:tc>
          <w:tcPr>
            <w:tcW w:w="306" w:type="pct"/>
            <w:tcBorders>
              <w:top w:val="nil"/>
              <w:left w:val="nil"/>
              <w:bottom w:val="nil"/>
              <w:right w:val="nil"/>
            </w:tcBorders>
            <w:shd w:val="clear" w:color="auto" w:fill="auto"/>
            <w:noWrap/>
            <w:hideMark/>
          </w:tcPr>
          <w:p w14:paraId="390D4C1A" w14:textId="77777777" w:rsidR="0095697F" w:rsidRPr="00AD5F47" w:rsidRDefault="0095697F" w:rsidP="00A47A7E">
            <w:pPr>
              <w:rPr>
                <w:color w:val="000000"/>
                <w:sz w:val="20"/>
              </w:rPr>
            </w:pPr>
            <w:r w:rsidRPr="00AD5F47">
              <w:rPr>
                <w:color w:val="000000"/>
                <w:sz w:val="20"/>
              </w:rPr>
              <w:t>0.2</w:t>
            </w:r>
          </w:p>
        </w:tc>
        <w:tc>
          <w:tcPr>
            <w:tcW w:w="613" w:type="pct"/>
            <w:tcBorders>
              <w:top w:val="nil"/>
              <w:left w:val="nil"/>
              <w:bottom w:val="nil"/>
              <w:right w:val="nil"/>
            </w:tcBorders>
            <w:shd w:val="clear" w:color="auto" w:fill="auto"/>
            <w:noWrap/>
            <w:hideMark/>
          </w:tcPr>
          <w:p w14:paraId="4E2D578A" w14:textId="77777777" w:rsidR="0095697F" w:rsidRPr="00AD5F47" w:rsidRDefault="0095697F" w:rsidP="00A47A7E">
            <w:pPr>
              <w:rPr>
                <w:color w:val="000000"/>
                <w:sz w:val="20"/>
              </w:rPr>
            </w:pPr>
            <w:r w:rsidRPr="00AD5F47">
              <w:rPr>
                <w:color w:val="000000"/>
                <w:sz w:val="20"/>
              </w:rPr>
              <w:t>Expert Judgment</w:t>
            </w:r>
          </w:p>
        </w:tc>
      </w:tr>
      <w:tr w:rsidR="0095697F" w:rsidRPr="00AD5F47" w14:paraId="59B2B997" w14:textId="77777777" w:rsidTr="00A47A7E">
        <w:trPr>
          <w:trHeight w:val="227"/>
        </w:trPr>
        <w:tc>
          <w:tcPr>
            <w:tcW w:w="510" w:type="pct"/>
            <w:tcBorders>
              <w:top w:val="nil"/>
              <w:left w:val="nil"/>
              <w:bottom w:val="nil"/>
              <w:right w:val="nil"/>
            </w:tcBorders>
            <w:shd w:val="clear" w:color="auto" w:fill="auto"/>
            <w:noWrap/>
            <w:hideMark/>
          </w:tcPr>
          <w:p w14:paraId="328C6FA9" w14:textId="77777777" w:rsidR="0095697F" w:rsidRPr="00AD5F47" w:rsidRDefault="0095697F" w:rsidP="00A47A7E">
            <w:pPr>
              <w:rPr>
                <w:color w:val="000000"/>
                <w:sz w:val="20"/>
              </w:rPr>
            </w:pPr>
            <w:r w:rsidRPr="00AD5F47">
              <w:rPr>
                <w:color w:val="000000"/>
                <w:sz w:val="20"/>
              </w:rPr>
              <w:t>Earthquake</w:t>
            </w:r>
          </w:p>
        </w:tc>
        <w:tc>
          <w:tcPr>
            <w:tcW w:w="1021" w:type="pct"/>
            <w:tcBorders>
              <w:top w:val="nil"/>
              <w:left w:val="nil"/>
              <w:bottom w:val="nil"/>
              <w:right w:val="nil"/>
            </w:tcBorders>
            <w:shd w:val="clear" w:color="auto" w:fill="auto"/>
            <w:noWrap/>
            <w:hideMark/>
          </w:tcPr>
          <w:p w14:paraId="50A461E3" w14:textId="77777777" w:rsidR="0095697F" w:rsidRPr="00AD5F47" w:rsidRDefault="0095697F" w:rsidP="00A47A7E">
            <w:pPr>
              <w:rPr>
                <w:color w:val="000000"/>
                <w:sz w:val="20"/>
              </w:rPr>
            </w:pPr>
            <w:r w:rsidRPr="00AD5F47">
              <w:rPr>
                <w:color w:val="000000"/>
                <w:sz w:val="20"/>
              </w:rPr>
              <w:t>Fragility Liquid earthquake</w:t>
            </w:r>
          </w:p>
        </w:tc>
        <w:tc>
          <w:tcPr>
            <w:tcW w:w="1837" w:type="pct"/>
            <w:tcBorders>
              <w:top w:val="nil"/>
              <w:left w:val="nil"/>
              <w:bottom w:val="nil"/>
              <w:right w:val="nil"/>
            </w:tcBorders>
            <w:shd w:val="clear" w:color="auto" w:fill="auto"/>
            <w:noWrap/>
            <w:hideMark/>
          </w:tcPr>
          <w:p w14:paraId="4D4C23D8"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7D080243"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374BBAA7"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6F446B50"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2ED5C351" w14:textId="75D0DFCF"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{"citationItems":[{"id":"ITEM-1","itemData":{"DOI":"10.2788/19605","ISBN":"9789279289668","abstract":"The objective of SYNER-G in regards to the fragility functions is to propose the most appropriate functions for the construction typologies in Europe. To this end, fragility curves from literature were collected, reviewed and, where possible, validated against observed damage and harmonised. In some cases these functions were modified and adapted, and in other cases new curves were developed. The most appropriate fragility functions are proposed for buildings, lifelines, transportation infrastructures and critical facilities. A software tool was also developed for the storage, harmonisation and estimation of the uncertainty of fragility functions.","author":[{"dropping-particle":"","family":"Kaynia","given":"Amir M","non-dropping-particle":"","parse-names":false,"suffix":""}],"container-title":"JRC Scientific and Policy Reports","id":"ITEM-1","issued":{"date-parts":[["2013"]]},"number-of-pages":"1-250","title":"Guidelines for deriving seismic fragility functions of elements at risk: Buildings, lifelines, transportation networks and critical facilities, SYNER-G Reference Report 4","type":"book"},"uris":["http://www.mendeley.com/documents/?uuid=50d1ad84-c012-405a-9410-0f616beb4ea6"]}],"mendeley":{"formattedCitation":"&lt;sup&gt;26&lt;/sup&gt;","plainTextFormattedCitation":"26","previouslyFormattedCitation":"(&lt;i&gt;26&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26</w:t>
            </w:r>
            <w:r w:rsidRPr="00AD5F47">
              <w:rPr>
                <w:color w:val="000000"/>
                <w:sz w:val="20"/>
              </w:rPr>
              <w:fldChar w:fldCharType="end"/>
            </w:r>
          </w:p>
        </w:tc>
      </w:tr>
      <w:tr w:rsidR="0095697F" w:rsidRPr="00AD5F47" w14:paraId="61101329" w14:textId="77777777" w:rsidTr="00A47A7E">
        <w:trPr>
          <w:trHeight w:val="227"/>
        </w:trPr>
        <w:tc>
          <w:tcPr>
            <w:tcW w:w="510" w:type="pct"/>
            <w:tcBorders>
              <w:top w:val="nil"/>
              <w:left w:val="nil"/>
              <w:bottom w:val="nil"/>
              <w:right w:val="nil"/>
            </w:tcBorders>
            <w:shd w:val="clear" w:color="auto" w:fill="auto"/>
            <w:noWrap/>
            <w:hideMark/>
          </w:tcPr>
          <w:p w14:paraId="3886B46A"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22C42931" w14:textId="77777777" w:rsidR="0095697F" w:rsidRPr="00AD5F47" w:rsidRDefault="0095697F" w:rsidP="00A47A7E">
            <w:pPr>
              <w:rPr>
                <w:color w:val="000000"/>
                <w:sz w:val="20"/>
              </w:rPr>
            </w:pPr>
            <w:r w:rsidRPr="00AD5F47">
              <w:rPr>
                <w:color w:val="000000"/>
                <w:sz w:val="20"/>
              </w:rPr>
              <w:t>Fragility Bulk earthquake</w:t>
            </w:r>
          </w:p>
        </w:tc>
        <w:tc>
          <w:tcPr>
            <w:tcW w:w="1837" w:type="pct"/>
            <w:tcBorders>
              <w:top w:val="nil"/>
              <w:left w:val="nil"/>
              <w:bottom w:val="nil"/>
              <w:right w:val="nil"/>
            </w:tcBorders>
            <w:shd w:val="clear" w:color="auto" w:fill="auto"/>
            <w:noWrap/>
            <w:hideMark/>
          </w:tcPr>
          <w:p w14:paraId="5A6CF8BE"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218F76DA"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17CF5D45"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0939CBE7"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09501A5D" w14:textId="002AF4FF"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{"citationItems":[{"id":"ITEM-1","itemData":{"DOI":"10.1002/tal.1295","ISBN":"8415683111","ISSN":"15417794","abstract":"In a strong earthquake, a standard reinforced concrete (RC) column may develop plastic deformations in regions often termed as plastic hinge regions. A plastic hinge is basically an energy dampening device that dampens energy through the plastic rotation of a rigid column connection, which triggers redistribution of bending moments. The formation of a plastic hinge in an RC column in regions that experience inelastic actions depends on the characteristics of the earthquakes as well as the column details. Recordings from recent earthquakes have provided evidence that ground motions in the near field of a rupturing fault can contain a large energy or ‘directivity’ pulse. A directivity pulse occurs when the propagation of the fault proceeds at nearly the same rate as the shear wave velocity. This pulse is seen in the forward direction of the rupture and can cause considerable damage during an earthquake, especially to structures with natural periods that are close to those of the pulse. In the present paper, 1316 inelastic time-history analyses have been performed to predict the nonlinear behaviour of RC columns under both far-fault and near-fault ground motions. The effects of axial load, height over depth ratio and amount of longitudinal reinforcement, as well as different characteristics of earthquakes, were evaluated analytically by finite element methods and the results were compared with corresponding experimental data. Based on the results, simple expressions were proposed that can be used to estimate plastic hinge length of RC columns subjected to both far-fault and near-fault earthquakes that contain a forward-directivity effect. Copyright © 2011 John Wiley &amp; Sons, Ltd.","author":[{"dropping-particle":"","family":"Guo","given":"Kunpeng","non-dropping-particle":"","parse-names":false,"suffix":""},{"dropping-particle":"","family":"Zhou","given":"Changdong","non-dropping-particle":"","parse-names":false,"suffix":""},{"dropping-particle":"","family":"Meng","given":"Lingkai","non-dropping-particle":"","parse-names":false,"suffix":""},{"dropping-particle":"","family":"Zhang","given":"Xiaoyang","non-dropping-particle":"","parse-names":false,"suffix":""}],"container-title":"The Structural Design of Tall and Special Buildings","id":"ITEM-1","issue":"18","issued":{"date-parts":[["2016","12","25"]]},"page":"1011-1030","title":"Seismic vulnerability assessment of reinforced concrete silo considering granular material-structure interaction","type":"article-journal","volume":"25"},"uris":["http://www.mendeley.com/documents/?uuid=fef4013c-3584-410f-a3dc-d3542279f76a"]}],"mendeley":{"formattedCitation":"&lt;sup&gt;27&lt;/sup&gt;","plainTextFormattedCitation":"27","previouslyFormattedCitation":"(&lt;i&gt;27&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27</w:t>
            </w:r>
            <w:r w:rsidRPr="00AD5F47">
              <w:rPr>
                <w:color w:val="000000"/>
                <w:sz w:val="20"/>
              </w:rPr>
              <w:fldChar w:fldCharType="end"/>
            </w:r>
          </w:p>
        </w:tc>
      </w:tr>
      <w:tr w:rsidR="0095697F" w:rsidRPr="00AD5F47" w14:paraId="623A8938" w14:textId="77777777" w:rsidTr="00A47A7E">
        <w:trPr>
          <w:trHeight w:val="227"/>
        </w:trPr>
        <w:tc>
          <w:tcPr>
            <w:tcW w:w="510" w:type="pct"/>
            <w:tcBorders>
              <w:top w:val="nil"/>
              <w:left w:val="nil"/>
              <w:bottom w:val="nil"/>
              <w:right w:val="nil"/>
            </w:tcBorders>
            <w:shd w:val="clear" w:color="auto" w:fill="auto"/>
            <w:noWrap/>
            <w:hideMark/>
          </w:tcPr>
          <w:p w14:paraId="40BC00A2"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0771208B" w14:textId="77777777" w:rsidR="0095697F" w:rsidRPr="00AD5F47" w:rsidRDefault="0095697F" w:rsidP="00A47A7E">
            <w:pPr>
              <w:rPr>
                <w:color w:val="000000"/>
                <w:sz w:val="20"/>
              </w:rPr>
            </w:pPr>
            <w:r w:rsidRPr="00AD5F47">
              <w:rPr>
                <w:color w:val="000000"/>
                <w:sz w:val="20"/>
              </w:rPr>
              <w:t>Fragility Warehouse earthquake</w:t>
            </w:r>
          </w:p>
        </w:tc>
        <w:tc>
          <w:tcPr>
            <w:tcW w:w="1837" w:type="pct"/>
            <w:tcBorders>
              <w:top w:val="nil"/>
              <w:left w:val="nil"/>
              <w:bottom w:val="nil"/>
              <w:right w:val="nil"/>
            </w:tcBorders>
            <w:shd w:val="clear" w:color="auto" w:fill="auto"/>
            <w:noWrap/>
            <w:hideMark/>
          </w:tcPr>
          <w:p w14:paraId="19FA383C"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2F4C1111"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143786A8"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31358777"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6D9AAF0D" w14:textId="24D72774"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{"citationItems":[{"id":"ITEM-1","itemData":{"DOI":"10.2788/19605","ISBN":"9789279289668","abstract":"The objective of SYNER-G in regards to the fragility functions is to propose the most appropriate functions for the construction typologies in Europe. To this end, fragility curves from literature were collected, reviewed and, where possible, validated against observed damage and harmonised. In some cases these functions were modified and adapted, and in other cases new curves were developed. The most appropriate fragility functions are proposed for buildings, lifelines, transportation infrastructures and critical facilities. A software tool was also developed for the storage, harmonisation and estimation of the uncertainty of fragility functions.","author":[{"dropping-particle":"","family":"Kaynia","given":"Amir M","non-dropping-particle":"","parse-names":false,"suffix":""}],"container-title":"JRC Scientific and Policy Reports","id":"ITEM-1","issued":{"date-parts":[["2013"]]},"number-of-pages":"1-250","title":"Guidelines for deriving seismic fragility functions of elements at risk: Buildings, lifelines, transportation networks and critical facilities, SYNER-G Reference Report 4","type":"book"},"uris":["http://www.mendeley.com/documents/?uuid=50d1ad84-c012-405a-9410-0f616beb4ea6"]}],"mendeley":{"formattedCitation":"&lt;sup&gt;26&lt;/sup&gt;","plainTextFormattedCitation":"26","previouslyFormattedCitation":"(&lt;i&gt;26&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26</w:t>
            </w:r>
            <w:r w:rsidRPr="00AD5F47">
              <w:rPr>
                <w:color w:val="000000"/>
                <w:sz w:val="20"/>
              </w:rPr>
              <w:fldChar w:fldCharType="end"/>
            </w:r>
          </w:p>
        </w:tc>
      </w:tr>
      <w:tr w:rsidR="0095697F" w:rsidRPr="00AD5F47" w14:paraId="58F0B29C" w14:textId="77777777" w:rsidTr="00A47A7E">
        <w:trPr>
          <w:trHeight w:val="227"/>
        </w:trPr>
        <w:tc>
          <w:tcPr>
            <w:tcW w:w="510" w:type="pct"/>
            <w:tcBorders>
              <w:top w:val="nil"/>
              <w:left w:val="nil"/>
              <w:bottom w:val="nil"/>
              <w:right w:val="nil"/>
            </w:tcBorders>
            <w:shd w:val="clear" w:color="auto" w:fill="auto"/>
            <w:noWrap/>
            <w:hideMark/>
          </w:tcPr>
          <w:p w14:paraId="7AAF2127"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2B97C004" w14:textId="77777777" w:rsidR="0095697F" w:rsidRPr="00AD5F47" w:rsidRDefault="0095697F" w:rsidP="00A47A7E">
            <w:pPr>
              <w:rPr>
                <w:color w:val="000000"/>
                <w:sz w:val="20"/>
              </w:rPr>
            </w:pPr>
            <w:r w:rsidRPr="00AD5F47">
              <w:rPr>
                <w:color w:val="000000"/>
                <w:sz w:val="20"/>
              </w:rPr>
              <w:t>Fragility Quay walls earthquake</w:t>
            </w:r>
          </w:p>
        </w:tc>
        <w:tc>
          <w:tcPr>
            <w:tcW w:w="1837" w:type="pct"/>
            <w:tcBorders>
              <w:top w:val="nil"/>
              <w:left w:val="nil"/>
              <w:bottom w:val="nil"/>
              <w:right w:val="nil"/>
            </w:tcBorders>
            <w:shd w:val="clear" w:color="auto" w:fill="auto"/>
            <w:noWrap/>
            <w:hideMark/>
          </w:tcPr>
          <w:p w14:paraId="77AE3430"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7115145D"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50BB2899"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37115651"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2F292802" w14:textId="5BDD3DEE"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{"citationItems":[{"id":"ITEM-1","itemData":{"DOI":"10.1016/j.ress.2008.07.005","ISSN":"09518320","abstract":"Seaport transportation system is one of the major lifeline systems in modern society and its reliable operation is crucial for the well-being of the public. However, past experiences showed that earthquake damage to port components can severely disrupt terminal operation, and thus negatively impact on the regional economy. The main purpose of this study is to provide a methodology for estimating the effects of the earthquake on the performance of the operation system of a container terminal in seaports. To evaluate the economic loss of damaged system, an analytical framework is developed by integrating simulation models for terminal operation and fragility curves of port components in the context of seismic risk analysis. For this purpose, computerized simulation model is developed and verified with actual terminal operation records. Based on the analytical procedure to assess the seismic performance of the terminal, system fragility curves are also developed. This simulation-based loss estimation methodology can be used not only for estimating the seismically induced revenue loss but also serve as a decision-making tool to select specific seismic retrofit technique on the basis of benefit-cost analysis. © 2009 Elsevier Ltd. All rights reserved.","author":[{"dropping-particle":"","family":"Na","given":"Ung Jin","non-dropping-particle":"","parse-names":false,"suffix":""},{"dropping-particle":"","family":"Shinozuka","given":"Masanobu","non-dropping-particle":"","parse-names":false,"suffix":""}],"container-title":"Reliability Engineering and System Safety","id":"ITEM-1","issue":"3","issued":{"date-parts":[["2009"]]},"page":"722-731","title":"Simulation-based seismic loss estimation of seaport transportation system","type":"article-journal","volume":"94"},"uris":["http://www.mendeley.com/documents/?uuid=9ffd4a23-91d4-4046-99bb-9bb9531e73b9"]}],"mendeley":{"formattedCitation":"&lt;sup&gt;28&lt;/sup&gt;","plainTextFormattedCitation":"28","previouslyFormattedCitation":"(&lt;i&gt;28&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28</w:t>
            </w:r>
            <w:r w:rsidRPr="00AD5F47">
              <w:rPr>
                <w:color w:val="000000"/>
                <w:sz w:val="20"/>
              </w:rPr>
              <w:fldChar w:fldCharType="end"/>
            </w:r>
          </w:p>
        </w:tc>
      </w:tr>
      <w:tr w:rsidR="0095697F" w:rsidRPr="00AD5F47" w14:paraId="5700AEE6" w14:textId="77777777" w:rsidTr="00A47A7E">
        <w:trPr>
          <w:trHeight w:val="227"/>
        </w:trPr>
        <w:tc>
          <w:tcPr>
            <w:tcW w:w="510" w:type="pct"/>
            <w:tcBorders>
              <w:top w:val="nil"/>
              <w:left w:val="nil"/>
              <w:bottom w:val="nil"/>
              <w:right w:val="nil"/>
            </w:tcBorders>
            <w:shd w:val="clear" w:color="auto" w:fill="auto"/>
            <w:noWrap/>
            <w:hideMark/>
          </w:tcPr>
          <w:p w14:paraId="2500FB5E"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31B7FFD2" w14:textId="77777777" w:rsidR="0095697F" w:rsidRPr="00AD5F47" w:rsidRDefault="0095697F" w:rsidP="00A47A7E">
            <w:pPr>
              <w:rPr>
                <w:color w:val="000000"/>
                <w:sz w:val="20"/>
              </w:rPr>
            </w:pPr>
            <w:r w:rsidRPr="00AD5F47">
              <w:rPr>
                <w:color w:val="000000"/>
                <w:sz w:val="20"/>
              </w:rPr>
              <w:t>Fragility Road earthquake</w:t>
            </w:r>
          </w:p>
        </w:tc>
        <w:tc>
          <w:tcPr>
            <w:tcW w:w="1837" w:type="pct"/>
            <w:tcBorders>
              <w:top w:val="nil"/>
              <w:left w:val="nil"/>
              <w:bottom w:val="nil"/>
              <w:right w:val="nil"/>
            </w:tcBorders>
            <w:shd w:val="clear" w:color="auto" w:fill="auto"/>
            <w:noWrap/>
            <w:hideMark/>
          </w:tcPr>
          <w:p w14:paraId="7ADDD761"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2B9C9801"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31802A44"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1CE24C9F"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30A2220A" w14:textId="05AE345E"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{"citationItems":[{"id":"ITEM-1","itemData":{"DOI":"10.1007/978-94-007-7872-6_10","ISBN":"978-94-007-7872-6","abstract":"The experience of past earthquakes has revealed that highway and railway elements are quite vulnerable to earthquake shaking and induced phenomena such as soil liquefaction or landslide; damages to these elements can seriously affect the transportation of products and people in both short-term (emergency actions) and long-term period. The objective of this chapter is to propose appropriate fragility functions for roadway and railway components other than bridges that are presented separately in Chap. 9. To this end, the main typological features are summarized and a short review of earthquake damages together with damage states definitions are provided for these elements. Fragility curves from literature are collected and reviewed. In some cases these functions are modified and adapted, while in other cases new fragility curves are developed. A general procedure for the derivation of analytical fragility curves that was followed in SYNER-G is described. This approach takes into account the effect of structure geometry, ground motion characteristics, soil conditions and associated uncertainties. New fragility curves are presented for tunnels in soil, embankments, cuttings and bridge abutments based on numerical analyses due to ground shaking. Finally, the proposed fragility functions are summarized and a general scheme to identify the functionality of roadway and railway elements due to different damage levels is outlined.","author":[{"dropping-particle":"","family":"Argyroudis","given":"Sotiris","non-dropping-particle":"","parse-names":false,"suffix":""},{"dropping-particle":"","family":"Kaynia","given":"Amir M","non-dropping-particle":"","parse-names":false,"suffix":""}],"editor":[{"dropping-particle":"","family":"Pitilakis","given":"K","non-dropping-particle":"","parse-names":false,"suffix":""},{"dropping-particle":"","family":"Crowley","given":"H","non-dropping-particle":"","parse-names":false,"suffix":""},{"dropping-particle":"","family":"Kaynia","given":"A M","non-dropping-particle":"","parse-names":false,"suffix":""}],"id":"ITEM-1","issued":{"date-parts":[["2014"]]},"page":"299-326","publisher":"Springer Netherlands","publisher-place":"Dordrecht","title":"Fragility Functions of Highway and Railway Infrastructure","type":"chapter"},"uris":["http://www.mendeley.com/documents/?uuid=9ccc4dff-ac46-4f6e-ae49-443a2e497265"]}],"mendeley":{"formattedCitation":"&lt;sup&gt;29&lt;/sup&gt;","plainTextFormattedCitation":"29","previouslyFormattedCitation":"(&lt;i&gt;29&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29</w:t>
            </w:r>
            <w:r w:rsidRPr="00AD5F47">
              <w:rPr>
                <w:color w:val="000000"/>
                <w:sz w:val="20"/>
              </w:rPr>
              <w:fldChar w:fldCharType="end"/>
            </w:r>
          </w:p>
        </w:tc>
      </w:tr>
      <w:tr w:rsidR="0095697F" w:rsidRPr="00AD5F47" w14:paraId="7AD7F9DA" w14:textId="77777777" w:rsidTr="00A47A7E">
        <w:trPr>
          <w:trHeight w:val="227"/>
        </w:trPr>
        <w:tc>
          <w:tcPr>
            <w:tcW w:w="510" w:type="pct"/>
            <w:tcBorders>
              <w:top w:val="nil"/>
              <w:left w:val="nil"/>
              <w:bottom w:val="nil"/>
              <w:right w:val="nil"/>
            </w:tcBorders>
            <w:shd w:val="clear" w:color="auto" w:fill="auto"/>
            <w:noWrap/>
            <w:hideMark/>
          </w:tcPr>
          <w:p w14:paraId="5042A284"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2761908D" w14:textId="77777777" w:rsidR="0095697F" w:rsidRPr="00AD5F47" w:rsidRDefault="0095697F" w:rsidP="00A47A7E">
            <w:pPr>
              <w:rPr>
                <w:color w:val="000000"/>
                <w:sz w:val="20"/>
              </w:rPr>
            </w:pPr>
            <w:r w:rsidRPr="00AD5F47">
              <w:rPr>
                <w:color w:val="000000"/>
                <w:sz w:val="20"/>
              </w:rPr>
              <w:t>Fragility Rail earthquake</w:t>
            </w:r>
          </w:p>
        </w:tc>
        <w:tc>
          <w:tcPr>
            <w:tcW w:w="1837" w:type="pct"/>
            <w:tcBorders>
              <w:top w:val="nil"/>
              <w:left w:val="nil"/>
              <w:bottom w:val="nil"/>
              <w:right w:val="nil"/>
            </w:tcBorders>
            <w:shd w:val="clear" w:color="auto" w:fill="auto"/>
            <w:noWrap/>
            <w:hideMark/>
          </w:tcPr>
          <w:p w14:paraId="64F32898"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5F6931F9"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61AF06BB"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12A215A5"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6F250905" w14:textId="55AA71FE"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{"citationItems":[{"id":"ITEM-1","itemData":{"DOI":"10.2788/19605","ISBN":"9789279289668","abstract":"The objective of SYNER-G in regards to the fragility functions is to propose the most appropriate functions for the construction typologies in Europe. To this end, fragility curves from literature were collected, reviewed and, where possible, validated against observed damage and harmonised. In some cases these functions were modified and adapted, and in other cases new curves were developed. The most appropriate fragility functions are proposed for buildings, lifelines, transportation infrastructures and critical facilities. A software tool was also developed for the storage, harmonisation and estimation of the uncertainty of fragility functions.","author":[{"dropping-particle":"","family":"Kaynia","given":"Amir M","non-dropping-particle":"","parse-names":false,"suffix":""}],"container-title":"JRC Scientific and Policy Reports","id":"ITEM-1","issued":{"date-parts":[["2013"]]},"number-of-pages":"1-250","title":"Guidelines for deriving seismic fragility functions of elements at risk: Buildings, lifelines, transportation networks and critical facilities, SYNER-G Reference Report 4","type":"book"},"uris":["http://www.mendeley.com/documents/?uuid=50d1ad84-c012-405a-9410-0f616beb4ea6"]}],"mendeley":{"formattedCitation":"&lt;sup&gt;26&lt;/sup&gt;","plainTextFormattedCitation":"26","previouslyFormattedCitation":"(&lt;i&gt;26&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26</w:t>
            </w:r>
            <w:r w:rsidRPr="00AD5F47">
              <w:rPr>
                <w:color w:val="000000"/>
                <w:sz w:val="20"/>
              </w:rPr>
              <w:fldChar w:fldCharType="end"/>
            </w:r>
            <w:r w:rsidRPr="00AD5F47">
              <w:rPr>
                <w:color w:val="000000"/>
                <w:sz w:val="20"/>
              </w:rPr>
              <w:t>)</w:t>
            </w:r>
          </w:p>
        </w:tc>
      </w:tr>
      <w:tr w:rsidR="0095697F" w:rsidRPr="00AD5F47" w14:paraId="3E432D6E" w14:textId="77777777" w:rsidTr="00A47A7E">
        <w:trPr>
          <w:trHeight w:val="227"/>
        </w:trPr>
        <w:tc>
          <w:tcPr>
            <w:tcW w:w="510" w:type="pct"/>
            <w:tcBorders>
              <w:top w:val="nil"/>
              <w:left w:val="nil"/>
              <w:bottom w:val="nil"/>
              <w:right w:val="nil"/>
            </w:tcBorders>
            <w:shd w:val="clear" w:color="auto" w:fill="auto"/>
            <w:noWrap/>
            <w:hideMark/>
          </w:tcPr>
          <w:p w14:paraId="4A9915E8"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6DEA4CE8" w14:textId="77777777" w:rsidR="0095697F" w:rsidRPr="00AD5F47" w:rsidRDefault="0095697F" w:rsidP="00A47A7E">
            <w:pPr>
              <w:rPr>
                <w:color w:val="000000"/>
                <w:sz w:val="20"/>
              </w:rPr>
            </w:pPr>
            <w:r w:rsidRPr="00AD5F47">
              <w:rPr>
                <w:color w:val="000000"/>
                <w:sz w:val="20"/>
              </w:rPr>
              <w:t>Fragility Electricity earthquake</w:t>
            </w:r>
          </w:p>
        </w:tc>
        <w:tc>
          <w:tcPr>
            <w:tcW w:w="1837" w:type="pct"/>
            <w:tcBorders>
              <w:top w:val="nil"/>
              <w:left w:val="nil"/>
              <w:bottom w:val="nil"/>
              <w:right w:val="nil"/>
            </w:tcBorders>
            <w:shd w:val="clear" w:color="auto" w:fill="auto"/>
            <w:noWrap/>
            <w:hideMark/>
          </w:tcPr>
          <w:p w14:paraId="50954223"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09171B40"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567D1441"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177EEFB0"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7BBDDFE4" w14:textId="05B658B0"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{"citationItems":[{"id":"ITEM-1","itemData":{"abstract":"The Overview of Engineering Options for Increasing Infrastructure Resilience Project, Contract #7189546, is funded by the World Bank Group with the Global Facility for Disaster Reduction and Recovery. The objective of this project is to prepare a flagship report about infrastructure resilience that investigates the impacts of natural disasters from the loss of (lifeline) infrastructure services and from supply-chain effects. This project also aims to support the development of public policies and interventions that make economic systems more resilient. About the World Bank Group The World Bank Group is one of the world's largest sources of funding and knowledge for developing countries. Its five institutions share a commitment to reducing poverty, increasing shared prosperity, and promoting sustainable development. The World Bank Group is committed to open development and has opened its data, knowledge, and research to foster innovation and increase transparency in development. About the Global Facility for Disaster Reduction and Recovery The Global Facility for Disaster Reduction and Recovery (GFDRR) is a global partnership that helps developing countries better understand and reduce their vulnerability to natural hazards and climate change. Launched in 2006, GFDRR provides technical and financial assistance to help disaster-prone countries decrease their vulnerability and adapt to climate change. Miyamoto International Miyamoto International is a global earthquake + structural engineering, project management, and construction management company that provides critical services that sustain industries and safeguard communities around the world. Miyamoto specializes in Disaster Resiliency Engineering along with disaster risk mitigation, response, and reconstruction. Disclaimer The opinions, findings, and conclusions stated herein are those of the authors and do not necessarily reflect the views of the World Bank Group or GFDRR. Acknowledgment","author":[{"dropping-particle":"","family":"Miyamoto International","given":"","non-dropping-particle":"","parse-names":false,"suffix":""}],"id":"ITEM-1","issue":"February","issued":{"date-parts":[["2019"]]},"title":"Overview of Engineering Options for Increasing Infrastructure Resilience","type":"report"},"uris":["http://www.mendeley.com/documents/?uuid=1032a529-843b-48d2-86ff-8aed3e711111"]}],"mendeley":{"formattedCitation":"&lt;sup&gt;25&lt;/sup&gt;","plainTextFormattedCitation":"25","previouslyFormattedCitation":"(&lt;i&gt;25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25</w:t>
            </w:r>
            <w:r w:rsidRPr="00AD5F47">
              <w:rPr>
                <w:color w:val="000000"/>
                <w:sz w:val="20"/>
              </w:rPr>
              <w:fldChar w:fldCharType="end"/>
            </w:r>
          </w:p>
        </w:tc>
      </w:tr>
      <w:tr w:rsidR="0095697F" w:rsidRPr="00AD5F47" w14:paraId="4617B5BD" w14:textId="77777777" w:rsidTr="00A47A7E">
        <w:trPr>
          <w:trHeight w:val="227"/>
        </w:trPr>
        <w:tc>
          <w:tcPr>
            <w:tcW w:w="510" w:type="pct"/>
            <w:tcBorders>
              <w:top w:val="nil"/>
              <w:left w:val="nil"/>
              <w:bottom w:val="nil"/>
              <w:right w:val="nil"/>
            </w:tcBorders>
            <w:shd w:val="clear" w:color="auto" w:fill="auto"/>
            <w:noWrap/>
            <w:hideMark/>
          </w:tcPr>
          <w:p w14:paraId="3232BBB0"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5F5729E6" w14:textId="77777777" w:rsidR="0095697F" w:rsidRPr="00AD5F47" w:rsidRDefault="0095697F" w:rsidP="00A47A7E">
            <w:pPr>
              <w:rPr>
                <w:color w:val="000000"/>
                <w:sz w:val="20"/>
              </w:rPr>
            </w:pPr>
            <w:r w:rsidRPr="00AD5F47">
              <w:rPr>
                <w:color w:val="000000"/>
                <w:sz w:val="20"/>
              </w:rPr>
              <w:t xml:space="preserve">Fragility Power </w:t>
            </w:r>
          </w:p>
        </w:tc>
        <w:tc>
          <w:tcPr>
            <w:tcW w:w="1837" w:type="pct"/>
            <w:tcBorders>
              <w:top w:val="nil"/>
              <w:left w:val="nil"/>
              <w:bottom w:val="nil"/>
              <w:right w:val="nil"/>
            </w:tcBorders>
            <w:shd w:val="clear" w:color="auto" w:fill="auto"/>
            <w:noWrap/>
            <w:hideMark/>
          </w:tcPr>
          <w:p w14:paraId="2DEF4A07"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4FF7B07B"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6C3A3287"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0FB148B3"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1F3EC4FC" w14:textId="75D3BC24"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{"citationItems":[{"id":"ITEM-1","itemData":{"abstract":"The Overview of Engineering Options for Increasing Infrastructure Resilience Project, Contract #7189546, is funded by the World Bank Group with the Global Facility for Disaster Reduction and Recovery. The objective of this project is to prepare a flagship report about infrastructure resilience that investigates the impacts of natural disasters from the loss of (lifeline) infrastructure services and from supply-chain effects. This project also aims to support the development of public policies and interventions that make economic systems more resilient. About the World Bank Group The World Bank Group is one of the world's largest sources of funding and knowledge for developing countries. Its five institutions share a commitment to reducing poverty, increasing shared prosperity, and promoting sustainable development. The World Bank Group is committed to open development and has opened its data, knowledge, and research to foster innovation and increase transparency in development. About the Global Facility for Disaster Reduction and Recovery The Global Facility for Disaster Reduction and Recovery (GFDRR) is a global partnership that helps developing countries better understand and reduce their vulnerability to natural hazards and climate change. Launched in 2006, GFDRR provides technical and financial assistance to help disaster-prone countries decrease their vulnerability and adapt to climate change. Miyamoto International Miyamoto International is a global earthquake + structural engineering, project management, and construction management company that provides critical services that sustain industries and safeguard communities around the world. Miyamoto specializes in Disaster Resiliency Engineering along with disaster risk mitigation, response, and reconstruction. Disclaimer The opinions, findings, and conclusions stated herein are those of the authors and do not necessarily reflect the views of the World Bank Group or GFDRR. Acknowledgment","author":[{"dropping-particle":"","family":"Miyamoto International","given":"","non-dropping-particle":"","parse-names":false,"suffix":""}],"id":"ITEM-1","issue":"February","issued":{"date-parts":[["2019"]]},"title":"Overview of Engineering Options for Increasing Infrastructure Resilience","type":"report"},"uris":["http://www.mendeley.com/documents/?uuid=1032a529-843b-48d2-86ff-8aed3e711111"]}],"mendeley":{"formattedCitation":"&lt;sup&gt;25&lt;/sup&gt;","plainTextFormattedCitation":"25","previouslyFormattedCitation":"(&lt;i&gt;25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25</w:t>
            </w:r>
            <w:r w:rsidRPr="00AD5F47">
              <w:rPr>
                <w:color w:val="000000"/>
                <w:sz w:val="20"/>
              </w:rPr>
              <w:fldChar w:fldCharType="end"/>
            </w:r>
          </w:p>
        </w:tc>
      </w:tr>
      <w:tr w:rsidR="0095697F" w:rsidRPr="00AD5F47" w14:paraId="4634C04A" w14:textId="77777777" w:rsidTr="00A47A7E">
        <w:trPr>
          <w:trHeight w:val="227"/>
        </w:trPr>
        <w:tc>
          <w:tcPr>
            <w:tcW w:w="510" w:type="pct"/>
            <w:tcBorders>
              <w:top w:val="nil"/>
              <w:left w:val="nil"/>
              <w:bottom w:val="nil"/>
              <w:right w:val="nil"/>
            </w:tcBorders>
            <w:shd w:val="clear" w:color="auto" w:fill="auto"/>
            <w:noWrap/>
            <w:hideMark/>
          </w:tcPr>
          <w:p w14:paraId="16A3E45C"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287C68F4" w14:textId="77777777" w:rsidR="0095697F" w:rsidRPr="00AD5F47" w:rsidRDefault="0095697F" w:rsidP="00A47A7E">
            <w:pPr>
              <w:rPr>
                <w:sz w:val="20"/>
              </w:rPr>
            </w:pPr>
          </w:p>
        </w:tc>
        <w:tc>
          <w:tcPr>
            <w:tcW w:w="1837" w:type="pct"/>
            <w:tcBorders>
              <w:top w:val="nil"/>
              <w:left w:val="nil"/>
              <w:bottom w:val="nil"/>
              <w:right w:val="nil"/>
            </w:tcBorders>
            <w:shd w:val="clear" w:color="auto" w:fill="auto"/>
            <w:noWrap/>
            <w:hideMark/>
          </w:tcPr>
          <w:p w14:paraId="47D30FB6" w14:textId="77777777" w:rsidR="0095697F" w:rsidRPr="00AD5F47" w:rsidRDefault="0095697F" w:rsidP="00A47A7E">
            <w:pPr>
              <w:rPr>
                <w:sz w:val="20"/>
              </w:rPr>
            </w:pPr>
          </w:p>
        </w:tc>
        <w:tc>
          <w:tcPr>
            <w:tcW w:w="407" w:type="pct"/>
            <w:tcBorders>
              <w:top w:val="nil"/>
              <w:left w:val="nil"/>
              <w:bottom w:val="nil"/>
              <w:right w:val="nil"/>
            </w:tcBorders>
            <w:shd w:val="clear" w:color="auto" w:fill="auto"/>
            <w:noWrap/>
            <w:hideMark/>
          </w:tcPr>
          <w:p w14:paraId="070EA65E"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5811112E"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21CCF1EC"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4E69A6E7" w14:textId="77777777" w:rsidR="0095697F" w:rsidRPr="00AD5F47" w:rsidRDefault="0095697F" w:rsidP="00A47A7E">
            <w:pPr>
              <w:rPr>
                <w:sz w:val="20"/>
              </w:rPr>
            </w:pPr>
          </w:p>
        </w:tc>
      </w:tr>
      <w:tr w:rsidR="0095697F" w:rsidRPr="00AD5F47" w14:paraId="680B4C30" w14:textId="77777777" w:rsidTr="00A47A7E">
        <w:trPr>
          <w:trHeight w:val="227"/>
        </w:trPr>
        <w:tc>
          <w:tcPr>
            <w:tcW w:w="510" w:type="pct"/>
            <w:tcBorders>
              <w:top w:val="nil"/>
              <w:left w:val="nil"/>
              <w:bottom w:val="nil"/>
              <w:right w:val="nil"/>
            </w:tcBorders>
            <w:shd w:val="clear" w:color="auto" w:fill="auto"/>
            <w:noWrap/>
            <w:hideMark/>
          </w:tcPr>
          <w:p w14:paraId="70C19E96" w14:textId="77777777" w:rsidR="0095697F" w:rsidRPr="00AD5F47" w:rsidRDefault="0095697F" w:rsidP="00A47A7E">
            <w:pPr>
              <w:rPr>
                <w:color w:val="000000"/>
                <w:sz w:val="20"/>
              </w:rPr>
            </w:pPr>
            <w:r w:rsidRPr="00AD5F47">
              <w:rPr>
                <w:color w:val="000000"/>
                <w:sz w:val="20"/>
              </w:rPr>
              <w:t>Depth-damage curve</w:t>
            </w:r>
          </w:p>
        </w:tc>
        <w:tc>
          <w:tcPr>
            <w:tcW w:w="1021" w:type="pct"/>
            <w:tcBorders>
              <w:top w:val="nil"/>
              <w:left w:val="nil"/>
              <w:bottom w:val="nil"/>
              <w:right w:val="nil"/>
            </w:tcBorders>
            <w:shd w:val="clear" w:color="auto" w:fill="auto"/>
            <w:noWrap/>
            <w:hideMark/>
          </w:tcPr>
          <w:p w14:paraId="4EEDDA2D" w14:textId="77777777" w:rsidR="0095697F" w:rsidRPr="00AD5F47" w:rsidRDefault="0095697F" w:rsidP="00A47A7E">
            <w:pPr>
              <w:rPr>
                <w:color w:val="000000"/>
                <w:sz w:val="20"/>
              </w:rPr>
            </w:pPr>
            <w:r w:rsidRPr="00AD5F47">
              <w:rPr>
                <w:color w:val="000000"/>
                <w:sz w:val="20"/>
              </w:rPr>
              <w:t>Uncertainty fragility TC</w:t>
            </w:r>
          </w:p>
        </w:tc>
        <w:tc>
          <w:tcPr>
            <w:tcW w:w="1837" w:type="pct"/>
            <w:tcBorders>
              <w:top w:val="nil"/>
              <w:left w:val="nil"/>
              <w:bottom w:val="nil"/>
              <w:right w:val="nil"/>
            </w:tcBorders>
            <w:shd w:val="clear" w:color="auto" w:fill="auto"/>
            <w:noWrap/>
            <w:hideMark/>
          </w:tcPr>
          <w:p w14:paraId="15D7C997" w14:textId="77777777" w:rsidR="0095697F" w:rsidRPr="00AD5F47" w:rsidRDefault="0095697F" w:rsidP="00A47A7E">
            <w:pPr>
              <w:rPr>
                <w:color w:val="000000"/>
                <w:sz w:val="20"/>
              </w:rPr>
            </w:pPr>
            <w:r w:rsidRPr="00AD5F47">
              <w:rPr>
                <w:color w:val="000000"/>
                <w:sz w:val="20"/>
              </w:rPr>
              <w:t>Uncertainty in the fragility curves adopted (m/s)</w:t>
            </w:r>
          </w:p>
        </w:tc>
        <w:tc>
          <w:tcPr>
            <w:tcW w:w="407" w:type="pct"/>
            <w:tcBorders>
              <w:top w:val="nil"/>
              <w:left w:val="nil"/>
              <w:bottom w:val="nil"/>
              <w:right w:val="nil"/>
            </w:tcBorders>
            <w:shd w:val="clear" w:color="auto" w:fill="auto"/>
            <w:noWrap/>
            <w:hideMark/>
          </w:tcPr>
          <w:p w14:paraId="125D6626" w14:textId="77777777" w:rsidR="0095697F" w:rsidRPr="00AD5F47" w:rsidRDefault="0095697F" w:rsidP="00A47A7E">
            <w:pPr>
              <w:rPr>
                <w:color w:val="000000"/>
                <w:sz w:val="20"/>
              </w:rPr>
            </w:pPr>
            <w:r w:rsidRPr="00AD5F47">
              <w:rPr>
                <w:color w:val="000000"/>
                <w:sz w:val="20"/>
              </w:rPr>
              <w:t>0</w:t>
            </w:r>
          </w:p>
        </w:tc>
        <w:tc>
          <w:tcPr>
            <w:tcW w:w="306" w:type="pct"/>
            <w:tcBorders>
              <w:top w:val="nil"/>
              <w:left w:val="nil"/>
              <w:bottom w:val="nil"/>
              <w:right w:val="nil"/>
            </w:tcBorders>
            <w:shd w:val="clear" w:color="auto" w:fill="auto"/>
            <w:noWrap/>
            <w:hideMark/>
          </w:tcPr>
          <w:p w14:paraId="24246D70" w14:textId="77777777" w:rsidR="0095697F" w:rsidRPr="00AD5F47" w:rsidRDefault="0095697F" w:rsidP="00A47A7E">
            <w:pPr>
              <w:rPr>
                <w:color w:val="000000"/>
                <w:sz w:val="20"/>
              </w:rPr>
            </w:pPr>
            <w:r w:rsidRPr="00AD5F47">
              <w:rPr>
                <w:color w:val="000000"/>
                <w:sz w:val="20"/>
              </w:rPr>
              <w:t>-10</w:t>
            </w:r>
          </w:p>
        </w:tc>
        <w:tc>
          <w:tcPr>
            <w:tcW w:w="306" w:type="pct"/>
            <w:tcBorders>
              <w:top w:val="nil"/>
              <w:left w:val="nil"/>
              <w:bottom w:val="nil"/>
              <w:right w:val="nil"/>
            </w:tcBorders>
            <w:shd w:val="clear" w:color="auto" w:fill="auto"/>
            <w:noWrap/>
            <w:hideMark/>
          </w:tcPr>
          <w:p w14:paraId="24872CEB" w14:textId="77777777" w:rsidR="0095697F" w:rsidRPr="00AD5F47" w:rsidRDefault="0095697F" w:rsidP="00A47A7E">
            <w:pPr>
              <w:rPr>
                <w:color w:val="000000"/>
                <w:sz w:val="20"/>
              </w:rPr>
            </w:pPr>
            <w:r w:rsidRPr="00AD5F47">
              <w:rPr>
                <w:color w:val="000000"/>
                <w:sz w:val="20"/>
              </w:rPr>
              <w:t>10</w:t>
            </w:r>
          </w:p>
        </w:tc>
        <w:tc>
          <w:tcPr>
            <w:tcW w:w="613" w:type="pct"/>
            <w:tcBorders>
              <w:top w:val="nil"/>
              <w:left w:val="nil"/>
              <w:bottom w:val="nil"/>
              <w:right w:val="nil"/>
            </w:tcBorders>
            <w:shd w:val="clear" w:color="auto" w:fill="auto"/>
            <w:noWrap/>
            <w:hideMark/>
          </w:tcPr>
          <w:p w14:paraId="70D2F4EE" w14:textId="77777777" w:rsidR="0095697F" w:rsidRPr="00AD5F47" w:rsidRDefault="0095697F" w:rsidP="00A47A7E">
            <w:pPr>
              <w:rPr>
                <w:color w:val="000000"/>
                <w:sz w:val="20"/>
              </w:rPr>
            </w:pPr>
            <w:r w:rsidRPr="00AD5F47">
              <w:rPr>
                <w:color w:val="000000"/>
                <w:sz w:val="20"/>
              </w:rPr>
              <w:t>Expert Judgment</w:t>
            </w:r>
          </w:p>
        </w:tc>
      </w:tr>
      <w:tr w:rsidR="0095697F" w:rsidRPr="00AD5F47" w14:paraId="48C667DB" w14:textId="77777777" w:rsidTr="00A47A7E">
        <w:trPr>
          <w:trHeight w:val="227"/>
        </w:trPr>
        <w:tc>
          <w:tcPr>
            <w:tcW w:w="510" w:type="pct"/>
            <w:tcBorders>
              <w:top w:val="nil"/>
              <w:left w:val="nil"/>
              <w:bottom w:val="nil"/>
              <w:right w:val="nil"/>
            </w:tcBorders>
            <w:shd w:val="clear" w:color="auto" w:fill="auto"/>
            <w:noWrap/>
            <w:hideMark/>
          </w:tcPr>
          <w:p w14:paraId="1476C5DA" w14:textId="77777777" w:rsidR="0095697F" w:rsidRPr="00AD5F47" w:rsidRDefault="0095697F" w:rsidP="00A47A7E">
            <w:pPr>
              <w:rPr>
                <w:color w:val="000000"/>
                <w:sz w:val="20"/>
              </w:rPr>
            </w:pPr>
            <w:r w:rsidRPr="00AD5F47">
              <w:rPr>
                <w:color w:val="000000"/>
                <w:sz w:val="20"/>
              </w:rPr>
              <w:t>Tropical cyclones</w:t>
            </w:r>
          </w:p>
        </w:tc>
        <w:tc>
          <w:tcPr>
            <w:tcW w:w="1021" w:type="pct"/>
            <w:tcBorders>
              <w:top w:val="nil"/>
              <w:left w:val="nil"/>
              <w:bottom w:val="nil"/>
              <w:right w:val="nil"/>
            </w:tcBorders>
            <w:shd w:val="clear" w:color="auto" w:fill="auto"/>
            <w:noWrap/>
            <w:hideMark/>
          </w:tcPr>
          <w:p w14:paraId="2B90EBB4" w14:textId="77777777" w:rsidR="0095697F" w:rsidRPr="00AD5F47" w:rsidRDefault="0095697F" w:rsidP="00A47A7E">
            <w:pPr>
              <w:rPr>
                <w:color w:val="000000"/>
                <w:sz w:val="20"/>
              </w:rPr>
            </w:pPr>
            <w:r w:rsidRPr="00AD5F47">
              <w:rPr>
                <w:color w:val="000000"/>
                <w:sz w:val="20"/>
              </w:rPr>
              <w:t>Fragility Liquid TC</w:t>
            </w:r>
          </w:p>
        </w:tc>
        <w:tc>
          <w:tcPr>
            <w:tcW w:w="1837" w:type="pct"/>
            <w:tcBorders>
              <w:top w:val="nil"/>
              <w:left w:val="nil"/>
              <w:bottom w:val="nil"/>
              <w:right w:val="nil"/>
            </w:tcBorders>
            <w:shd w:val="clear" w:color="auto" w:fill="auto"/>
            <w:noWrap/>
            <w:hideMark/>
          </w:tcPr>
          <w:p w14:paraId="71AF1202"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6452CAB7"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5737AF36"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0E499791"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38484D33" w14:textId="7EA7172C"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{"citationItems":[{"id":"ITEM-1","itemData":{"DOI":"10.1061/(asce)is.1943-555x.0000418","ISBN":"0000000302","ISSN":"1076-0342","abstract":"© 2018 American Society of Civil Engineers. This paper develops fragility functions and estimates of resilience indicators for aboveground storage tanks (ASTs) subjected to hurricanes, which can be efficiently applied to all the tanks in a regional portfolio of ASTs to assess their hurricane performance. Fragility and resilience assessment of a portfolio of ASTs is essential for planning mitigation strategies at the regional level and at the level of individual structures. Recently, studies have started assessing the fragility of ASTs under hurricane loads; most of the existing studies are focused on a specific AST type and a specific hurricane-related hazard. However, in order to facilitate performance assessment of an entire portfolio of ASTs, fragility functions for different types of tanks and hazards are necessary, which are lacking in the literature. Furthermore, estimates for resilience indicators such as repair costs and downtime are also not available in the literature. Therefore, to address these gaps, this study first develops fragility functions for different types of ASTs subjected to hurricane winds and storm surge. Next, estimates of repair costs and downtime are defined for different failure modes of ASTs by adapting costs and downtime for similar failure modes from different hazards. The fragility functions, repair costs, and downtime estimates developed herein are used to assess the performance of ASTs in the Houston Ship Chanel (HSC), which houses more than 4,500 ASTs, for two synthetic hurricane scenarios corresponding to 100 and 250-year return period events. For both scenarios, 100,000 Monte Carlo simulations are performed for each tank to determine the failure probability, repair costs, and downtime for all ASTs while propagating uncertainties in the fill level and density of contents stored in all ASTs. Furthermore, the influence of anchoring all tanks as a storm surge risk mitigation strategy on the performance of ASTs is also evaluated. The results provide several insights into the performance of tanks in the Houston Ship Channel during the two hurricanes: the tanks are not vulnerable to hurricane winds; however, failures are observed due to storm surge, which highlights the need for storm surge mitigation measures for the Houston Ship Channel region. Furthermore, tanks with the highest failure probability do not necessarily lead to high spill volumes or repair costs. Moreover, even minimum anchoring is observed to be effective…","author":[{"dropping-particle":"","family":"Kameshwar","given":"Sabarethinam","non-dropping-particle":"","parse-names":false,"suffix":""},{"dropping-particle":"","family":"Padgett","given":"Jamie E.","non-dropping-particle":"","parse-names":false,"suffix":""}],"container-title":"Journal of Infrastructure Systems","id":"ITEM-1","issue":"2","issued":{"date-parts":[["2018"]]},"page":"04018003","title":"Fragility and Resilience Indicators for Portfolio of Oil Storage Tanks Subjected to Hurricanes","type":"article-journal","volume":"24"},"uris":["http://www.mendeley.com/documents/?uuid=487529d2-7339-4ea0-aea3-1d6e7824bba6"]}],"mendeley":{"formattedCitation":"&lt;sup&gt;30&lt;/sup&gt;","plainTextFormattedCitation":"30","previouslyFormattedCitation":"(&lt;i&gt;30&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30</w:t>
            </w:r>
            <w:r w:rsidRPr="00AD5F47">
              <w:rPr>
                <w:color w:val="000000"/>
                <w:sz w:val="20"/>
              </w:rPr>
              <w:fldChar w:fldCharType="end"/>
            </w:r>
          </w:p>
        </w:tc>
      </w:tr>
      <w:tr w:rsidR="0095697F" w:rsidRPr="00AD5F47" w14:paraId="5BCEE6A6" w14:textId="77777777" w:rsidTr="00A47A7E">
        <w:trPr>
          <w:trHeight w:val="227"/>
        </w:trPr>
        <w:tc>
          <w:tcPr>
            <w:tcW w:w="510" w:type="pct"/>
            <w:tcBorders>
              <w:top w:val="nil"/>
              <w:left w:val="nil"/>
              <w:bottom w:val="nil"/>
              <w:right w:val="nil"/>
            </w:tcBorders>
            <w:shd w:val="clear" w:color="auto" w:fill="auto"/>
            <w:noWrap/>
            <w:hideMark/>
          </w:tcPr>
          <w:p w14:paraId="7E8B1D96"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39FB0C50" w14:textId="77777777" w:rsidR="0095697F" w:rsidRPr="00AD5F47" w:rsidRDefault="0095697F" w:rsidP="00A47A7E">
            <w:pPr>
              <w:rPr>
                <w:color w:val="000000"/>
                <w:sz w:val="20"/>
              </w:rPr>
            </w:pPr>
            <w:r w:rsidRPr="00AD5F47">
              <w:rPr>
                <w:color w:val="000000"/>
                <w:sz w:val="20"/>
              </w:rPr>
              <w:t>Fragility Bulk TC</w:t>
            </w:r>
          </w:p>
        </w:tc>
        <w:tc>
          <w:tcPr>
            <w:tcW w:w="1837" w:type="pct"/>
            <w:tcBorders>
              <w:top w:val="nil"/>
              <w:left w:val="nil"/>
              <w:bottom w:val="nil"/>
              <w:right w:val="nil"/>
            </w:tcBorders>
            <w:shd w:val="clear" w:color="auto" w:fill="auto"/>
            <w:noWrap/>
            <w:hideMark/>
          </w:tcPr>
          <w:p w14:paraId="6F14269C"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731A2ECC"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4E823953"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74DE10AC"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0632896E" w14:textId="29C29FFF"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{"citationItems":[{"id":"ITEM-1","itemData":{"DOI":"10.1061/(asce)is.1943-555x.0000418","ISBN":"0000000302","ISSN":"1076-0342","abstract":"© 2018 American Society of Civil Engineers. This paper develops fragility functions and estimates of resilience indicators for aboveground storage tanks (ASTs) subjected to hurricanes, which can be efficiently applied to all the tanks in a regional portfolio of ASTs to assess their hurricane performance. Fragility and resilience assessment of a portfolio of ASTs is essential for planning mitigation strategies at the regional level and at the level of individual structures. Recently, studies have started assessing the fragility of ASTs under hurricane loads; most of the existing studies are focused on a specific AST type and a specific hurricane-related hazard. However, in order to facilitate performance assessment of an entire portfolio of ASTs, fragility functions for different types of tanks and hazards are necessary, which are lacking in the literature. Furthermore, estimates for resilience indicators such as repair costs and downtime are also not available in the literature. Therefore, to address these gaps, this study first develops fragility functions for different types of ASTs subjected to hurricane winds and storm surge. Next, estimates of repair costs and downtime are defined for different failure modes of ASTs by adapting costs and downtime for similar failure modes from different hazards. The fragility functions, repair costs, and downtime estimates developed herein are used to assess the performance of ASTs in the Houston Ship Chanel (HSC), which houses more than 4,500 ASTs, for two synthetic hurricane scenarios corresponding to 100 and 250-year return period events. For both scenarios, 100,000 Monte Carlo simulations are performed for each tank to determine the failure probability, repair costs, and downtime for all ASTs while propagating uncertainties in the fill level and density of contents stored in all ASTs. Furthermore, the influence of anchoring all tanks as a storm surge risk mitigation strategy on the performance of ASTs is also evaluated. The results provide several insights into the performance of tanks in the Houston Ship Channel during the two hurricanes: the tanks are not vulnerable to hurricane winds; however, failures are observed due to storm surge, which highlights the need for storm surge mitigation measures for the Houston Ship Channel region. Furthermore, tanks with the highest failure probability do not necessarily lead to high spill volumes or repair costs. Moreover, even minimum anchoring is observed to be effective…","author":[{"dropping-particle":"","family":"Kameshwar","given":"Sabarethinam","non-dropping-particle":"","parse-names":false,"suffix":""},{"dropping-particle":"","family":"Padgett","given":"Jamie E.","non-dropping-particle":"","parse-names":false,"suffix":""}],"container-title":"Journal of Infrastructure Systems","id":"ITEM-1","issue":"2","issued":{"date-parts":[["2018"]]},"page":"04018003","title":"Fragility and Resilience Indicators for Portfolio of Oil Storage Tanks Subjected to Hurricanes","type":"article-journal","volume":"24"},"uris":["http://www.mendeley.com/documents/?uuid=487529d2-7339-4ea0-aea3-1d6e7824bba6"]}],"mendeley":{"formattedCitation":"&lt;sup&gt;30&lt;/sup&gt;","plainTextFormattedCitation":"30","previouslyFormattedCitation":"(&lt;i&gt;30&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30</w:t>
            </w:r>
            <w:r w:rsidRPr="00AD5F47">
              <w:rPr>
                <w:color w:val="000000"/>
                <w:sz w:val="20"/>
              </w:rPr>
              <w:fldChar w:fldCharType="end"/>
            </w:r>
          </w:p>
        </w:tc>
      </w:tr>
      <w:tr w:rsidR="0095697F" w:rsidRPr="00AD5F47" w14:paraId="46200250" w14:textId="77777777" w:rsidTr="00A47A7E">
        <w:trPr>
          <w:trHeight w:val="227"/>
        </w:trPr>
        <w:tc>
          <w:tcPr>
            <w:tcW w:w="510" w:type="pct"/>
            <w:tcBorders>
              <w:top w:val="nil"/>
              <w:left w:val="nil"/>
              <w:bottom w:val="nil"/>
              <w:right w:val="nil"/>
            </w:tcBorders>
            <w:shd w:val="clear" w:color="auto" w:fill="auto"/>
            <w:noWrap/>
            <w:hideMark/>
          </w:tcPr>
          <w:p w14:paraId="2B735628"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02BD0CEF" w14:textId="77777777" w:rsidR="0095697F" w:rsidRPr="00AD5F47" w:rsidRDefault="0095697F" w:rsidP="00A47A7E">
            <w:pPr>
              <w:rPr>
                <w:color w:val="000000"/>
                <w:sz w:val="20"/>
              </w:rPr>
            </w:pPr>
            <w:r w:rsidRPr="00AD5F47">
              <w:rPr>
                <w:color w:val="000000"/>
                <w:sz w:val="20"/>
              </w:rPr>
              <w:t>Fragility Warehouse TC</w:t>
            </w:r>
          </w:p>
        </w:tc>
        <w:tc>
          <w:tcPr>
            <w:tcW w:w="1837" w:type="pct"/>
            <w:tcBorders>
              <w:top w:val="nil"/>
              <w:left w:val="nil"/>
              <w:bottom w:val="nil"/>
              <w:right w:val="nil"/>
            </w:tcBorders>
            <w:shd w:val="clear" w:color="auto" w:fill="auto"/>
            <w:noWrap/>
            <w:hideMark/>
          </w:tcPr>
          <w:p w14:paraId="29A5DC7B"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5B08223E"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621680E9"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145C4310"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32857D2D" w14:textId="3345C640"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{"citationItems":[{"id":"ITEM-1","itemData":{"DOI":"10.3130/jaabe.12.65","ISSN":"13472852","abstract":"This paper presents a fragility assessment for the cladding in steel-framed constructions built in extreme wind speed regions. A fragility assessment methodology is developed to assess the performance of sandwich wall/roof panels and openings subjected to wind-induced building pressures. The majority of industrial buildings in Korea are of steel-framed construction. A review of the performance of industrial buildings after recent typhoons Maemi, Kompasu and Bolaven has shown that most of wind damage originated in the building envelope. The goal of this study is to develop a fragility model for building cladding, using available resistance test data, developed wind load statistics, and a recent building code. Six baseline structures considering different roof shapes, building sizes and geographic locations were investigated using a fully probabilistic Monte Carlo simulation engine. The fragilities of each baseline building considering four different levels of damage were developed as a function of a 3-second gust wind speed. The fragility assessment methodology described in this paper can be used to measure the performances of industrial buildings in extreme wind speed regions, as well as to provide information for risk and loss assessments.","author":[{"dropping-particle":"","family":"Lee","given":"Sungsu","non-dropping-particle":"","parse-names":false,"suffix":""},{"dropping-particle":"","family":"Ham","given":"Hee Jung","non-dropping-particle":"","parse-names":false,"suffix":""},{"dropping-particle":"","family":"Kim","given":"Ho Jeong","non-dropping-particle":"","parse-names":false,"suffix":""}],"container-title":"Journal of Asian Architecture and Building Engineering","id":"ITEM-1","issue":"1","issued":{"date-parts":[["2013"]]},"page":"65-72","title":"Fragility assessment for cladding of industrial buildings subjected to extreme wind","type":"article-journal","volume":"12"},"uris":["http://www.mendeley.com/documents/?uuid=2b4bbf15-9ed5-4640-b144-9620b445f903"]}],"mendeley":{"formattedCitation":"&lt;sup&gt;31&lt;/sup&gt;","plainTextFormattedCitation":"31","previouslyFormattedCitation":"(&lt;i&gt;31&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31</w:t>
            </w:r>
            <w:r w:rsidRPr="00AD5F47">
              <w:rPr>
                <w:color w:val="000000"/>
                <w:sz w:val="20"/>
              </w:rPr>
              <w:fldChar w:fldCharType="end"/>
            </w:r>
          </w:p>
        </w:tc>
      </w:tr>
      <w:tr w:rsidR="0095697F" w:rsidRPr="00AD5F47" w14:paraId="304D7A95" w14:textId="77777777" w:rsidTr="00A47A7E">
        <w:trPr>
          <w:trHeight w:val="227"/>
        </w:trPr>
        <w:tc>
          <w:tcPr>
            <w:tcW w:w="510" w:type="pct"/>
            <w:tcBorders>
              <w:top w:val="nil"/>
              <w:left w:val="nil"/>
              <w:bottom w:val="nil"/>
              <w:right w:val="nil"/>
            </w:tcBorders>
            <w:shd w:val="clear" w:color="auto" w:fill="auto"/>
            <w:noWrap/>
            <w:hideMark/>
          </w:tcPr>
          <w:p w14:paraId="55057E2B"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4EC61FEC" w14:textId="77777777" w:rsidR="0095697F" w:rsidRPr="00AD5F47" w:rsidRDefault="0095697F" w:rsidP="00A47A7E">
            <w:pPr>
              <w:rPr>
                <w:color w:val="000000"/>
                <w:sz w:val="20"/>
              </w:rPr>
            </w:pPr>
            <w:r w:rsidRPr="00AD5F47">
              <w:rPr>
                <w:color w:val="000000"/>
                <w:sz w:val="20"/>
              </w:rPr>
              <w:t>Fragility Quay walls TC</w:t>
            </w:r>
          </w:p>
        </w:tc>
        <w:tc>
          <w:tcPr>
            <w:tcW w:w="1837" w:type="pct"/>
            <w:tcBorders>
              <w:top w:val="nil"/>
              <w:left w:val="nil"/>
              <w:bottom w:val="nil"/>
              <w:right w:val="nil"/>
            </w:tcBorders>
            <w:shd w:val="clear" w:color="auto" w:fill="auto"/>
            <w:noWrap/>
            <w:hideMark/>
          </w:tcPr>
          <w:p w14:paraId="21C37495"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625C356B" w14:textId="77777777" w:rsidR="0095697F" w:rsidRPr="00AD5F47" w:rsidRDefault="0095697F" w:rsidP="00A47A7E">
            <w:pPr>
              <w:rPr>
                <w:color w:val="000000"/>
                <w:sz w:val="20"/>
              </w:rPr>
            </w:pPr>
            <w:r w:rsidRPr="00AD5F47">
              <w:rPr>
                <w:color w:val="000000"/>
                <w:sz w:val="20"/>
              </w:rPr>
              <w:t>Unaffected</w:t>
            </w:r>
          </w:p>
        </w:tc>
        <w:tc>
          <w:tcPr>
            <w:tcW w:w="306" w:type="pct"/>
            <w:tcBorders>
              <w:top w:val="nil"/>
              <w:left w:val="nil"/>
              <w:bottom w:val="nil"/>
              <w:right w:val="nil"/>
            </w:tcBorders>
            <w:shd w:val="clear" w:color="auto" w:fill="auto"/>
            <w:noWrap/>
            <w:hideMark/>
          </w:tcPr>
          <w:p w14:paraId="067A3A0B"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1A116841"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28D93831" w14:textId="77777777" w:rsidR="0095697F" w:rsidRPr="00AD5F47" w:rsidRDefault="0095697F" w:rsidP="00A47A7E">
            <w:pPr>
              <w:rPr>
                <w:sz w:val="20"/>
              </w:rPr>
            </w:pPr>
          </w:p>
        </w:tc>
      </w:tr>
      <w:tr w:rsidR="0095697F" w:rsidRPr="00AD5F47" w14:paraId="3E4AB118" w14:textId="77777777" w:rsidTr="00A47A7E">
        <w:trPr>
          <w:trHeight w:val="227"/>
        </w:trPr>
        <w:tc>
          <w:tcPr>
            <w:tcW w:w="510" w:type="pct"/>
            <w:tcBorders>
              <w:top w:val="nil"/>
              <w:left w:val="nil"/>
              <w:bottom w:val="nil"/>
              <w:right w:val="nil"/>
            </w:tcBorders>
            <w:shd w:val="clear" w:color="auto" w:fill="auto"/>
            <w:noWrap/>
            <w:hideMark/>
          </w:tcPr>
          <w:p w14:paraId="2764643F" w14:textId="77777777" w:rsidR="0095697F" w:rsidRPr="00AD5F47" w:rsidRDefault="0095697F" w:rsidP="00A47A7E">
            <w:pPr>
              <w:rPr>
                <w:sz w:val="20"/>
              </w:rPr>
            </w:pPr>
          </w:p>
        </w:tc>
        <w:tc>
          <w:tcPr>
            <w:tcW w:w="1021" w:type="pct"/>
            <w:tcBorders>
              <w:top w:val="nil"/>
              <w:left w:val="nil"/>
              <w:bottom w:val="nil"/>
              <w:right w:val="nil"/>
            </w:tcBorders>
            <w:shd w:val="clear" w:color="auto" w:fill="auto"/>
            <w:noWrap/>
            <w:hideMark/>
          </w:tcPr>
          <w:p w14:paraId="51668E9E" w14:textId="77777777" w:rsidR="0095697F" w:rsidRPr="00AD5F47" w:rsidRDefault="0095697F" w:rsidP="00A47A7E">
            <w:pPr>
              <w:rPr>
                <w:color w:val="000000"/>
                <w:sz w:val="20"/>
              </w:rPr>
            </w:pPr>
            <w:r w:rsidRPr="00AD5F47">
              <w:rPr>
                <w:color w:val="000000"/>
                <w:sz w:val="20"/>
              </w:rPr>
              <w:t>Fragility Road TC</w:t>
            </w:r>
          </w:p>
        </w:tc>
        <w:tc>
          <w:tcPr>
            <w:tcW w:w="1837" w:type="pct"/>
            <w:tcBorders>
              <w:top w:val="nil"/>
              <w:left w:val="nil"/>
              <w:bottom w:val="nil"/>
              <w:right w:val="nil"/>
            </w:tcBorders>
            <w:shd w:val="clear" w:color="auto" w:fill="auto"/>
            <w:noWrap/>
            <w:hideMark/>
          </w:tcPr>
          <w:p w14:paraId="667A130C"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7439906B" w14:textId="77777777" w:rsidR="0095697F" w:rsidRPr="00AD5F47" w:rsidRDefault="0095697F" w:rsidP="00A47A7E">
            <w:pPr>
              <w:rPr>
                <w:color w:val="000000"/>
                <w:sz w:val="20"/>
              </w:rPr>
            </w:pPr>
            <w:r w:rsidRPr="00AD5F47">
              <w:rPr>
                <w:color w:val="000000"/>
                <w:sz w:val="20"/>
              </w:rPr>
              <w:t>Unaffected</w:t>
            </w:r>
          </w:p>
        </w:tc>
        <w:tc>
          <w:tcPr>
            <w:tcW w:w="306" w:type="pct"/>
            <w:tcBorders>
              <w:top w:val="nil"/>
              <w:left w:val="nil"/>
              <w:bottom w:val="nil"/>
              <w:right w:val="nil"/>
            </w:tcBorders>
            <w:shd w:val="clear" w:color="auto" w:fill="auto"/>
            <w:noWrap/>
            <w:hideMark/>
          </w:tcPr>
          <w:p w14:paraId="5F6649A3"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7223DA4A"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647A2E2F" w14:textId="77777777" w:rsidR="0095697F" w:rsidRPr="00AD5F47" w:rsidRDefault="0095697F" w:rsidP="00A47A7E">
            <w:pPr>
              <w:rPr>
                <w:sz w:val="20"/>
              </w:rPr>
            </w:pPr>
          </w:p>
        </w:tc>
      </w:tr>
      <w:tr w:rsidR="0095697F" w:rsidRPr="00AD5F47" w14:paraId="46FC2987" w14:textId="77777777" w:rsidTr="00A47A7E">
        <w:trPr>
          <w:trHeight w:val="227"/>
        </w:trPr>
        <w:tc>
          <w:tcPr>
            <w:tcW w:w="510" w:type="pct"/>
            <w:tcBorders>
              <w:top w:val="nil"/>
              <w:left w:val="nil"/>
              <w:bottom w:val="nil"/>
              <w:right w:val="nil"/>
            </w:tcBorders>
            <w:shd w:val="clear" w:color="auto" w:fill="auto"/>
            <w:noWrap/>
            <w:hideMark/>
          </w:tcPr>
          <w:p w14:paraId="5278AE66" w14:textId="77777777" w:rsidR="0095697F" w:rsidRPr="00AD5F47" w:rsidRDefault="0095697F" w:rsidP="00A47A7E">
            <w:pPr>
              <w:rPr>
                <w:sz w:val="20"/>
              </w:rPr>
            </w:pPr>
          </w:p>
        </w:tc>
        <w:tc>
          <w:tcPr>
            <w:tcW w:w="1021" w:type="pct"/>
            <w:tcBorders>
              <w:top w:val="nil"/>
              <w:left w:val="nil"/>
              <w:bottom w:val="nil"/>
              <w:right w:val="nil"/>
            </w:tcBorders>
            <w:shd w:val="clear" w:color="auto" w:fill="auto"/>
            <w:noWrap/>
            <w:hideMark/>
          </w:tcPr>
          <w:p w14:paraId="7AC7603C" w14:textId="77777777" w:rsidR="0095697F" w:rsidRPr="00AD5F47" w:rsidRDefault="0095697F" w:rsidP="00A47A7E">
            <w:pPr>
              <w:rPr>
                <w:color w:val="000000"/>
                <w:sz w:val="20"/>
              </w:rPr>
            </w:pPr>
            <w:r w:rsidRPr="00AD5F47">
              <w:rPr>
                <w:color w:val="000000"/>
                <w:sz w:val="20"/>
              </w:rPr>
              <w:t>Fragility Rail TC</w:t>
            </w:r>
          </w:p>
        </w:tc>
        <w:tc>
          <w:tcPr>
            <w:tcW w:w="1837" w:type="pct"/>
            <w:tcBorders>
              <w:top w:val="nil"/>
              <w:left w:val="nil"/>
              <w:bottom w:val="nil"/>
              <w:right w:val="nil"/>
            </w:tcBorders>
            <w:shd w:val="clear" w:color="auto" w:fill="auto"/>
            <w:noWrap/>
            <w:hideMark/>
          </w:tcPr>
          <w:p w14:paraId="4DC3CE30"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6BC9F2F5" w14:textId="77777777" w:rsidR="0095697F" w:rsidRPr="00AD5F47" w:rsidRDefault="0095697F" w:rsidP="00A47A7E">
            <w:pPr>
              <w:rPr>
                <w:color w:val="000000"/>
                <w:sz w:val="20"/>
              </w:rPr>
            </w:pPr>
            <w:r w:rsidRPr="00AD5F47">
              <w:rPr>
                <w:color w:val="000000"/>
                <w:sz w:val="20"/>
              </w:rPr>
              <w:t>Unaffected</w:t>
            </w:r>
          </w:p>
        </w:tc>
        <w:tc>
          <w:tcPr>
            <w:tcW w:w="306" w:type="pct"/>
            <w:tcBorders>
              <w:top w:val="nil"/>
              <w:left w:val="nil"/>
              <w:bottom w:val="nil"/>
              <w:right w:val="nil"/>
            </w:tcBorders>
            <w:shd w:val="clear" w:color="auto" w:fill="auto"/>
            <w:noWrap/>
            <w:hideMark/>
          </w:tcPr>
          <w:p w14:paraId="3D7A93F2"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228A76F8"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3502C995" w14:textId="77777777" w:rsidR="0095697F" w:rsidRPr="00AD5F47" w:rsidRDefault="0095697F" w:rsidP="00A47A7E">
            <w:pPr>
              <w:rPr>
                <w:sz w:val="20"/>
              </w:rPr>
            </w:pPr>
          </w:p>
        </w:tc>
      </w:tr>
      <w:tr w:rsidR="0095697F" w:rsidRPr="00AD5F47" w14:paraId="2026F7DE" w14:textId="77777777" w:rsidTr="00A47A7E">
        <w:trPr>
          <w:trHeight w:val="227"/>
        </w:trPr>
        <w:tc>
          <w:tcPr>
            <w:tcW w:w="510" w:type="pct"/>
            <w:tcBorders>
              <w:top w:val="nil"/>
              <w:left w:val="nil"/>
              <w:bottom w:val="nil"/>
              <w:right w:val="nil"/>
            </w:tcBorders>
            <w:shd w:val="clear" w:color="auto" w:fill="auto"/>
            <w:noWrap/>
            <w:hideMark/>
          </w:tcPr>
          <w:p w14:paraId="52D1F60F" w14:textId="77777777" w:rsidR="0095697F" w:rsidRPr="00AD5F47" w:rsidRDefault="0095697F" w:rsidP="00A47A7E">
            <w:pPr>
              <w:rPr>
                <w:sz w:val="20"/>
              </w:rPr>
            </w:pPr>
          </w:p>
        </w:tc>
        <w:tc>
          <w:tcPr>
            <w:tcW w:w="1021" w:type="pct"/>
            <w:tcBorders>
              <w:top w:val="nil"/>
              <w:left w:val="nil"/>
              <w:bottom w:val="nil"/>
              <w:right w:val="nil"/>
            </w:tcBorders>
            <w:shd w:val="clear" w:color="auto" w:fill="auto"/>
            <w:noWrap/>
            <w:hideMark/>
          </w:tcPr>
          <w:p w14:paraId="5BD98B5E" w14:textId="77777777" w:rsidR="0095697F" w:rsidRPr="00AD5F47" w:rsidRDefault="0095697F" w:rsidP="00A47A7E">
            <w:pPr>
              <w:rPr>
                <w:color w:val="000000"/>
                <w:sz w:val="20"/>
              </w:rPr>
            </w:pPr>
            <w:r w:rsidRPr="00AD5F47">
              <w:rPr>
                <w:color w:val="000000"/>
                <w:sz w:val="20"/>
              </w:rPr>
              <w:t>Fragility Electricity TC</w:t>
            </w:r>
          </w:p>
        </w:tc>
        <w:tc>
          <w:tcPr>
            <w:tcW w:w="1837" w:type="pct"/>
            <w:tcBorders>
              <w:top w:val="nil"/>
              <w:left w:val="nil"/>
              <w:bottom w:val="nil"/>
              <w:right w:val="nil"/>
            </w:tcBorders>
            <w:shd w:val="clear" w:color="auto" w:fill="auto"/>
            <w:noWrap/>
            <w:hideMark/>
          </w:tcPr>
          <w:p w14:paraId="43C480E5"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6491B2AC"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44805663"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0A7EEF02"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42A3C770" w14:textId="77777777" w:rsidR="0095697F" w:rsidRPr="00AD5F47" w:rsidRDefault="0095697F" w:rsidP="00A47A7E">
            <w:pPr>
              <w:rPr>
                <w:color w:val="000000"/>
                <w:sz w:val="20"/>
              </w:rPr>
            </w:pPr>
          </w:p>
        </w:tc>
      </w:tr>
      <w:tr w:rsidR="0095697F" w:rsidRPr="00AD5F47" w14:paraId="0DF5CE4D" w14:textId="77777777" w:rsidTr="00A47A7E">
        <w:trPr>
          <w:trHeight w:val="227"/>
        </w:trPr>
        <w:tc>
          <w:tcPr>
            <w:tcW w:w="510" w:type="pct"/>
            <w:tcBorders>
              <w:top w:val="nil"/>
              <w:left w:val="nil"/>
              <w:bottom w:val="nil"/>
              <w:right w:val="nil"/>
            </w:tcBorders>
            <w:shd w:val="clear" w:color="auto" w:fill="auto"/>
            <w:noWrap/>
            <w:hideMark/>
          </w:tcPr>
          <w:p w14:paraId="11FFD3DF"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1E6FCBC9" w14:textId="77777777" w:rsidR="0095697F" w:rsidRPr="00AD5F47" w:rsidRDefault="0095697F" w:rsidP="00A47A7E">
            <w:pPr>
              <w:rPr>
                <w:color w:val="000000"/>
                <w:sz w:val="20"/>
              </w:rPr>
            </w:pPr>
            <w:r w:rsidRPr="00AD5F47">
              <w:rPr>
                <w:color w:val="000000"/>
                <w:sz w:val="20"/>
              </w:rPr>
              <w:t>Fragility Power TC</w:t>
            </w:r>
          </w:p>
        </w:tc>
        <w:tc>
          <w:tcPr>
            <w:tcW w:w="1837" w:type="pct"/>
            <w:tcBorders>
              <w:top w:val="nil"/>
              <w:left w:val="nil"/>
              <w:bottom w:val="nil"/>
              <w:right w:val="nil"/>
            </w:tcBorders>
            <w:shd w:val="clear" w:color="auto" w:fill="auto"/>
            <w:noWrap/>
            <w:hideMark/>
          </w:tcPr>
          <w:p w14:paraId="41E99338"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nil"/>
              <w:right w:val="nil"/>
            </w:tcBorders>
            <w:shd w:val="clear" w:color="auto" w:fill="auto"/>
            <w:noWrap/>
            <w:hideMark/>
          </w:tcPr>
          <w:p w14:paraId="38C1A3D6"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77B71012"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44F07FBF"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596189F1" w14:textId="41AF5254"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{"citationItems":[{"id":"ITEM-1","itemData":{"abstract":"The Overview of Engineering Options for Increasing Infrastructure Resilience Project, Contract #7189546, is funded by the World Bank Group with the Global Facility for Disaster Reduction and Recovery. The objective of this project is to prepare a flagship report about infrastructure resilience that investigates the impacts of natural disasters from the loss of (lifeline) infrastructure services and from supply-chain effects. This project also aims to support the development of public policies and interventions that make economic systems more resilient. About the World Bank Group The World Bank Group is one of the world's largest sources of funding and knowledge for developing countries. Its five institutions share a commitment to reducing poverty, increasing shared prosperity, and promoting sustainable development. The World Bank Group is committed to open development and has opened its data, knowledge, and research to foster innovation and increase transparency in development. About the Global Facility for Disaster Reduction and Recovery The Global Facility for Disaster Reduction and Recovery (GFDRR) is a global partnership that helps developing countries better understand and reduce their vulnerability to natural hazards and climate change. Launched in 2006, GFDRR provides technical and financial assistance to help disaster-prone countries decrease their vulnerability and adapt to climate change. Miyamoto International Miyamoto International is a global earthquake + structural engineering, project management, and construction management company that provides critical services that sustain industries and safeguard communities around the world. Miyamoto specializes in Disaster Resiliency Engineering along with disaster risk mitigation, response, and reconstruction. Disclaimer The opinions, findings, and conclusions stated herein are those of the authors and do not necessarily reflect the views of the World Bank Group or GFDRR. Acknowledgment","author":[{"dropping-particle":"","family":"Miyamoto International","given":"","non-dropping-particle":"","parse-names":false,"suffix":""}],"id":"ITEM-1","issue":"February","issued":{"date-parts":[["2019"]]},"title":"Overview of Engineering Options for Increasing Infrastructure Resilience","type":"report"},"uris":["http://www.mendeley.com/documents/?uuid=1032a529-843b-48d2-86ff-8aed3e711111"]}],"mendeley":{"formattedCitation":"&lt;sup&gt;25&lt;/sup&gt;","plainTextFormattedCitation":"25","previouslyFormattedCitation":"(&lt;i&gt;25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25</w:t>
            </w:r>
            <w:r w:rsidRPr="00AD5F47">
              <w:rPr>
                <w:color w:val="000000"/>
                <w:sz w:val="20"/>
              </w:rPr>
              <w:fldChar w:fldCharType="end"/>
            </w:r>
          </w:p>
        </w:tc>
      </w:tr>
      <w:tr w:rsidR="0095697F" w:rsidRPr="00AD5F47" w14:paraId="660928FE" w14:textId="77777777" w:rsidTr="00A47A7E">
        <w:trPr>
          <w:trHeight w:val="227"/>
        </w:trPr>
        <w:tc>
          <w:tcPr>
            <w:tcW w:w="510" w:type="pct"/>
            <w:tcBorders>
              <w:top w:val="nil"/>
              <w:left w:val="nil"/>
              <w:bottom w:val="single" w:sz="4" w:space="0" w:color="auto"/>
              <w:right w:val="nil"/>
            </w:tcBorders>
            <w:shd w:val="clear" w:color="auto" w:fill="auto"/>
            <w:noWrap/>
            <w:hideMark/>
          </w:tcPr>
          <w:p w14:paraId="29F81B18" w14:textId="77777777" w:rsidR="0095697F" w:rsidRPr="00AD5F47" w:rsidRDefault="0095697F" w:rsidP="00A47A7E">
            <w:pPr>
              <w:rPr>
                <w:color w:val="000000"/>
                <w:sz w:val="20"/>
              </w:rPr>
            </w:pPr>
            <w:r w:rsidRPr="00AD5F47">
              <w:rPr>
                <w:color w:val="000000"/>
                <w:sz w:val="20"/>
              </w:rPr>
              <w:t> </w:t>
            </w:r>
          </w:p>
        </w:tc>
        <w:tc>
          <w:tcPr>
            <w:tcW w:w="1021" w:type="pct"/>
            <w:tcBorders>
              <w:top w:val="nil"/>
              <w:left w:val="nil"/>
              <w:bottom w:val="single" w:sz="4" w:space="0" w:color="auto"/>
              <w:right w:val="nil"/>
            </w:tcBorders>
            <w:shd w:val="clear" w:color="auto" w:fill="auto"/>
            <w:noWrap/>
            <w:hideMark/>
          </w:tcPr>
          <w:p w14:paraId="2E342742" w14:textId="77777777" w:rsidR="0095697F" w:rsidRPr="00AD5F47" w:rsidRDefault="0095697F" w:rsidP="00A47A7E">
            <w:pPr>
              <w:rPr>
                <w:color w:val="000000"/>
                <w:sz w:val="20"/>
              </w:rPr>
            </w:pPr>
            <w:r w:rsidRPr="00AD5F47">
              <w:rPr>
                <w:color w:val="000000"/>
                <w:sz w:val="20"/>
              </w:rPr>
              <w:t>Fragility Container crane TC</w:t>
            </w:r>
          </w:p>
        </w:tc>
        <w:tc>
          <w:tcPr>
            <w:tcW w:w="1837" w:type="pct"/>
            <w:tcBorders>
              <w:top w:val="nil"/>
              <w:left w:val="nil"/>
              <w:bottom w:val="single" w:sz="4" w:space="0" w:color="auto"/>
              <w:right w:val="nil"/>
            </w:tcBorders>
            <w:shd w:val="clear" w:color="auto" w:fill="auto"/>
            <w:noWrap/>
            <w:hideMark/>
          </w:tcPr>
          <w:p w14:paraId="21D2EA04" w14:textId="77777777" w:rsidR="0095697F" w:rsidRPr="00AD5F47" w:rsidRDefault="0095697F" w:rsidP="00A47A7E">
            <w:pPr>
              <w:rPr>
                <w:color w:val="000000"/>
                <w:sz w:val="20"/>
              </w:rPr>
            </w:pPr>
            <w:r w:rsidRPr="00AD5F47">
              <w:rPr>
                <w:color w:val="000000"/>
                <w:sz w:val="20"/>
              </w:rPr>
              <w:t xml:space="preserve">Fragility curve used in risk analysis </w:t>
            </w:r>
          </w:p>
        </w:tc>
        <w:tc>
          <w:tcPr>
            <w:tcW w:w="407" w:type="pct"/>
            <w:tcBorders>
              <w:top w:val="nil"/>
              <w:left w:val="nil"/>
              <w:bottom w:val="single" w:sz="4" w:space="0" w:color="auto"/>
              <w:right w:val="nil"/>
            </w:tcBorders>
            <w:shd w:val="clear" w:color="auto" w:fill="auto"/>
            <w:noWrap/>
            <w:hideMark/>
          </w:tcPr>
          <w:p w14:paraId="33686988" w14:textId="77777777" w:rsidR="0095697F" w:rsidRPr="00AD5F47" w:rsidRDefault="0095697F" w:rsidP="00A47A7E">
            <w:pPr>
              <w:rPr>
                <w:color w:val="000000"/>
                <w:sz w:val="20"/>
              </w:rPr>
            </w:pPr>
            <w:r w:rsidRPr="00AD5F47">
              <w:rPr>
                <w:color w:val="000000"/>
                <w:sz w:val="20"/>
              </w:rPr>
              <w:t> </w:t>
            </w:r>
          </w:p>
        </w:tc>
        <w:tc>
          <w:tcPr>
            <w:tcW w:w="306" w:type="pct"/>
            <w:tcBorders>
              <w:top w:val="nil"/>
              <w:left w:val="nil"/>
              <w:bottom w:val="single" w:sz="4" w:space="0" w:color="auto"/>
              <w:right w:val="nil"/>
            </w:tcBorders>
            <w:shd w:val="clear" w:color="auto" w:fill="auto"/>
            <w:noWrap/>
            <w:hideMark/>
          </w:tcPr>
          <w:p w14:paraId="47A54439" w14:textId="77777777" w:rsidR="0095697F" w:rsidRPr="00AD5F47" w:rsidRDefault="0095697F" w:rsidP="00A47A7E">
            <w:pPr>
              <w:rPr>
                <w:color w:val="000000"/>
                <w:sz w:val="20"/>
              </w:rPr>
            </w:pPr>
            <w:r w:rsidRPr="00AD5F47">
              <w:rPr>
                <w:color w:val="000000"/>
                <w:sz w:val="20"/>
              </w:rPr>
              <w:t> </w:t>
            </w:r>
          </w:p>
        </w:tc>
        <w:tc>
          <w:tcPr>
            <w:tcW w:w="306" w:type="pct"/>
            <w:tcBorders>
              <w:top w:val="nil"/>
              <w:left w:val="nil"/>
              <w:bottom w:val="single" w:sz="4" w:space="0" w:color="auto"/>
              <w:right w:val="nil"/>
            </w:tcBorders>
            <w:shd w:val="clear" w:color="auto" w:fill="auto"/>
            <w:noWrap/>
            <w:hideMark/>
          </w:tcPr>
          <w:p w14:paraId="2A3712EE" w14:textId="77777777" w:rsidR="0095697F" w:rsidRPr="00AD5F47" w:rsidRDefault="0095697F" w:rsidP="00A47A7E">
            <w:pPr>
              <w:rPr>
                <w:color w:val="000000"/>
                <w:sz w:val="20"/>
              </w:rPr>
            </w:pPr>
            <w:r w:rsidRPr="00AD5F47">
              <w:rPr>
                <w:color w:val="000000"/>
                <w:sz w:val="20"/>
              </w:rPr>
              <w:t> </w:t>
            </w:r>
          </w:p>
        </w:tc>
        <w:tc>
          <w:tcPr>
            <w:tcW w:w="613" w:type="pct"/>
            <w:tcBorders>
              <w:top w:val="nil"/>
              <w:left w:val="nil"/>
              <w:bottom w:val="single" w:sz="4" w:space="0" w:color="auto"/>
              <w:right w:val="nil"/>
            </w:tcBorders>
            <w:shd w:val="clear" w:color="auto" w:fill="auto"/>
            <w:noWrap/>
            <w:hideMark/>
          </w:tcPr>
          <w:p w14:paraId="1DDDEE3C" w14:textId="6399C139"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{"citationItems":[{"id":"ITEM-1","itemData":{"DOI":"10.1080/15732479.2013.834943","ISSN":"17448980","abstract":"Container cranes, an essential component in any seaport facility system, are highly susceptible to failure during natural disasters such as severe windstorms. Damage or collapse of these structures can lead to significant amount of economic loss in terms of both repair or replacement and downtime. To study how various parameters such as boom position, yaw angle, gradient height and gradient wind speed affect the failure vulnerability of a crane, in this work, a representative container crane has been modelled in a commercial software considering both material and geometric nonlinearities. Stochastic wind fields are simulated as a stationary process by means of the spectral representation method using power spectrum in conjunction with along- and across-wind coherence functions. Wind fields are also simulated as a non-stationary stochastic process utilising the modulation functions from the available literature to consider the situations of thunderstorm downbursts. Nonlinear time history analyses are then performed and a few responses are compared for stationary and non-stationary wind field cases. It is observed that for the given simulation parameters, the responses considering stationary wind fields are larger than those of the non-stationary wind fields. Failure vulnerability of the crane is then assessed in terms of fragility curves. The results of this study show that the failure vulnerability may not be maximum for the set of parameter values for which the aerodynamic forces are maximum. This study provides a better understanding of crane vulnerability that may be utilised to achieve a better crane design.","author":[{"dropping-particle":"","family":"Gur","given":"Sourav","non-dropping-particle":"","parse-names":false,"suffix":""},{"dropping-particle":"","family":"Ray-Chaudhuri","given":"Samit","non-dropping-particle":"","parse-names":false,"suffix":""}],"container-title":"Structure and Infrastructure Engineering","id":"ITEM-1","issue":"12","issued":{"date-parts":[["2014"]]},"page":"1511-1530","publisher":"Taylor &amp; Francis","title":"Vulnerability assessment of container cranes under stochastic wind loading","type":"article-journal","volume":"10"},"uris":["http://www.mendeley.com/documents/?uuid=2c2d443c-241e-4478-9ab7-f2387de91e28"]}],"mendeley":{"formattedCitation":"&lt;sup&gt;32&lt;/sup&gt;","plainTextFormattedCitation":"32","previouslyFormattedCitation":"(&lt;i&gt;32&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32</w:t>
            </w:r>
            <w:r w:rsidRPr="00AD5F47">
              <w:rPr>
                <w:color w:val="000000"/>
                <w:sz w:val="20"/>
              </w:rPr>
              <w:fldChar w:fldCharType="end"/>
            </w:r>
          </w:p>
        </w:tc>
      </w:tr>
      <w:tr w:rsidR="0095697F" w:rsidRPr="00AD5F47" w14:paraId="2B36CD34" w14:textId="77777777" w:rsidTr="00A47A7E">
        <w:trPr>
          <w:trHeight w:val="227"/>
        </w:trPr>
        <w:tc>
          <w:tcPr>
            <w:tcW w:w="510" w:type="pct"/>
            <w:tcBorders>
              <w:top w:val="nil"/>
              <w:left w:val="nil"/>
              <w:bottom w:val="nil"/>
              <w:right w:val="nil"/>
            </w:tcBorders>
            <w:shd w:val="clear" w:color="auto" w:fill="auto"/>
            <w:noWrap/>
            <w:hideMark/>
          </w:tcPr>
          <w:p w14:paraId="08769721" w14:textId="77777777" w:rsidR="0095697F" w:rsidRPr="00AD5F47" w:rsidRDefault="0095697F" w:rsidP="00A47A7E">
            <w:pPr>
              <w:rPr>
                <w:color w:val="000000"/>
                <w:sz w:val="20"/>
              </w:rPr>
            </w:pPr>
            <w:r w:rsidRPr="00AD5F47">
              <w:rPr>
                <w:color w:val="000000"/>
                <w:sz w:val="20"/>
              </w:rPr>
              <w:t>Recovery</w:t>
            </w:r>
          </w:p>
        </w:tc>
        <w:tc>
          <w:tcPr>
            <w:tcW w:w="1021" w:type="pct"/>
            <w:tcBorders>
              <w:top w:val="nil"/>
              <w:left w:val="nil"/>
              <w:bottom w:val="nil"/>
              <w:right w:val="nil"/>
            </w:tcBorders>
            <w:shd w:val="clear" w:color="auto" w:fill="auto"/>
            <w:noWrap/>
            <w:hideMark/>
          </w:tcPr>
          <w:p w14:paraId="48909452" w14:textId="77777777" w:rsidR="0095697F" w:rsidRPr="00AD5F47" w:rsidRDefault="0095697F" w:rsidP="00A47A7E">
            <w:pPr>
              <w:rPr>
                <w:color w:val="000000"/>
                <w:sz w:val="20"/>
              </w:rPr>
            </w:pPr>
            <w:r w:rsidRPr="00AD5F47">
              <w:rPr>
                <w:color w:val="000000"/>
                <w:sz w:val="20"/>
              </w:rPr>
              <w:t>Recovery duration flooding</w:t>
            </w:r>
          </w:p>
        </w:tc>
        <w:tc>
          <w:tcPr>
            <w:tcW w:w="1837" w:type="pct"/>
            <w:tcBorders>
              <w:top w:val="nil"/>
              <w:left w:val="nil"/>
              <w:bottom w:val="nil"/>
              <w:right w:val="nil"/>
            </w:tcBorders>
            <w:shd w:val="clear" w:color="auto" w:fill="auto"/>
            <w:noWrap/>
            <w:hideMark/>
          </w:tcPr>
          <w:p w14:paraId="6D96E4A1" w14:textId="77777777" w:rsidR="0095697F" w:rsidRPr="00AD5F47" w:rsidRDefault="0095697F" w:rsidP="00A47A7E">
            <w:pPr>
              <w:rPr>
                <w:color w:val="000000"/>
                <w:sz w:val="20"/>
              </w:rPr>
            </w:pPr>
            <w:r w:rsidRPr="00AD5F47">
              <w:rPr>
                <w:color w:val="000000"/>
                <w:sz w:val="20"/>
              </w:rPr>
              <w:t xml:space="preserve">Recovery curve used for damage essential port land use </w:t>
            </w:r>
          </w:p>
        </w:tc>
        <w:tc>
          <w:tcPr>
            <w:tcW w:w="407" w:type="pct"/>
            <w:tcBorders>
              <w:top w:val="nil"/>
              <w:left w:val="nil"/>
              <w:bottom w:val="nil"/>
              <w:right w:val="nil"/>
            </w:tcBorders>
            <w:shd w:val="clear" w:color="auto" w:fill="auto"/>
            <w:noWrap/>
            <w:hideMark/>
          </w:tcPr>
          <w:p w14:paraId="50CDE255"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0570BBD0"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50E1C160"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7FC45D28" w14:textId="77777777" w:rsidR="0095697F" w:rsidRPr="00AD5F47" w:rsidRDefault="0095697F" w:rsidP="00A47A7E">
            <w:pPr>
              <w:rPr>
                <w:color w:val="000000"/>
                <w:sz w:val="20"/>
              </w:rPr>
            </w:pPr>
            <w:r w:rsidRPr="00AD5F47">
              <w:rPr>
                <w:color w:val="000000"/>
                <w:sz w:val="20"/>
              </w:rPr>
              <w:t>Expert Judgment</w:t>
            </w:r>
          </w:p>
        </w:tc>
      </w:tr>
      <w:tr w:rsidR="0095697F" w:rsidRPr="00AD5F47" w14:paraId="0BAB0EB7" w14:textId="77777777" w:rsidTr="00A47A7E">
        <w:trPr>
          <w:trHeight w:val="227"/>
        </w:trPr>
        <w:tc>
          <w:tcPr>
            <w:tcW w:w="510" w:type="pct"/>
            <w:tcBorders>
              <w:top w:val="nil"/>
              <w:left w:val="nil"/>
              <w:bottom w:val="nil"/>
              <w:right w:val="nil"/>
            </w:tcBorders>
            <w:shd w:val="clear" w:color="auto" w:fill="auto"/>
            <w:noWrap/>
            <w:hideMark/>
          </w:tcPr>
          <w:p w14:paraId="706B1F86" w14:textId="77777777" w:rsidR="0095697F" w:rsidRPr="00AD5F47" w:rsidRDefault="0095697F" w:rsidP="00A47A7E">
            <w:pPr>
              <w:rPr>
                <w:color w:val="000000"/>
                <w:sz w:val="20"/>
              </w:rPr>
            </w:pPr>
            <w:r w:rsidRPr="00AD5F47">
              <w:rPr>
                <w:color w:val="000000"/>
                <w:sz w:val="20"/>
              </w:rPr>
              <w:t>Flooding</w:t>
            </w:r>
          </w:p>
        </w:tc>
        <w:tc>
          <w:tcPr>
            <w:tcW w:w="1021" w:type="pct"/>
            <w:tcBorders>
              <w:top w:val="nil"/>
              <w:left w:val="nil"/>
              <w:bottom w:val="nil"/>
              <w:right w:val="nil"/>
            </w:tcBorders>
            <w:shd w:val="clear" w:color="auto" w:fill="auto"/>
            <w:noWrap/>
            <w:hideMark/>
          </w:tcPr>
          <w:p w14:paraId="58A55D80" w14:textId="77777777" w:rsidR="0095697F" w:rsidRPr="00AD5F47" w:rsidRDefault="0095697F" w:rsidP="00A47A7E">
            <w:pPr>
              <w:rPr>
                <w:color w:val="000000"/>
                <w:sz w:val="20"/>
              </w:rPr>
            </w:pPr>
            <w:r w:rsidRPr="00AD5F47">
              <w:rPr>
                <w:color w:val="000000"/>
                <w:sz w:val="20"/>
              </w:rPr>
              <w:t>Uncertainty recovery curve</w:t>
            </w:r>
          </w:p>
        </w:tc>
        <w:tc>
          <w:tcPr>
            <w:tcW w:w="1837" w:type="pct"/>
            <w:tcBorders>
              <w:top w:val="nil"/>
              <w:left w:val="nil"/>
              <w:bottom w:val="nil"/>
              <w:right w:val="nil"/>
            </w:tcBorders>
            <w:shd w:val="clear" w:color="auto" w:fill="auto"/>
            <w:noWrap/>
            <w:hideMark/>
          </w:tcPr>
          <w:p w14:paraId="5B00E139" w14:textId="77777777" w:rsidR="0095697F" w:rsidRPr="00AD5F47" w:rsidRDefault="0095697F" w:rsidP="00A47A7E">
            <w:pPr>
              <w:rPr>
                <w:color w:val="000000"/>
                <w:sz w:val="20"/>
              </w:rPr>
            </w:pPr>
            <w:r w:rsidRPr="00AD5F47">
              <w:rPr>
                <w:color w:val="000000"/>
                <w:sz w:val="20"/>
              </w:rPr>
              <w:t>Uncertainty in the recovery curves adopted (%)</w:t>
            </w:r>
          </w:p>
        </w:tc>
        <w:tc>
          <w:tcPr>
            <w:tcW w:w="407" w:type="pct"/>
            <w:tcBorders>
              <w:top w:val="nil"/>
              <w:left w:val="nil"/>
              <w:bottom w:val="nil"/>
              <w:right w:val="nil"/>
            </w:tcBorders>
            <w:shd w:val="clear" w:color="auto" w:fill="auto"/>
            <w:noWrap/>
            <w:hideMark/>
          </w:tcPr>
          <w:p w14:paraId="4BCD2CDC" w14:textId="77777777" w:rsidR="0095697F" w:rsidRPr="00AD5F47" w:rsidRDefault="0095697F" w:rsidP="00A47A7E">
            <w:pPr>
              <w:rPr>
                <w:color w:val="000000"/>
                <w:sz w:val="20"/>
              </w:rPr>
            </w:pPr>
            <w:r w:rsidRPr="00AD5F47">
              <w:rPr>
                <w:color w:val="000000"/>
                <w:sz w:val="20"/>
              </w:rPr>
              <w:t>0</w:t>
            </w:r>
          </w:p>
        </w:tc>
        <w:tc>
          <w:tcPr>
            <w:tcW w:w="306" w:type="pct"/>
            <w:tcBorders>
              <w:top w:val="nil"/>
              <w:left w:val="nil"/>
              <w:bottom w:val="nil"/>
              <w:right w:val="nil"/>
            </w:tcBorders>
            <w:shd w:val="clear" w:color="auto" w:fill="auto"/>
            <w:noWrap/>
            <w:hideMark/>
          </w:tcPr>
          <w:p w14:paraId="193ED601" w14:textId="77777777" w:rsidR="0095697F" w:rsidRPr="00AD5F47" w:rsidRDefault="0095697F" w:rsidP="00A47A7E">
            <w:pPr>
              <w:rPr>
                <w:color w:val="000000"/>
                <w:sz w:val="20"/>
              </w:rPr>
            </w:pPr>
            <w:r w:rsidRPr="00AD5F47">
              <w:rPr>
                <w:color w:val="000000"/>
                <w:sz w:val="20"/>
              </w:rPr>
              <w:t>-10</w:t>
            </w:r>
          </w:p>
        </w:tc>
        <w:tc>
          <w:tcPr>
            <w:tcW w:w="306" w:type="pct"/>
            <w:tcBorders>
              <w:top w:val="nil"/>
              <w:left w:val="nil"/>
              <w:bottom w:val="nil"/>
              <w:right w:val="nil"/>
            </w:tcBorders>
            <w:shd w:val="clear" w:color="auto" w:fill="auto"/>
            <w:noWrap/>
            <w:hideMark/>
          </w:tcPr>
          <w:p w14:paraId="1AA4B54A" w14:textId="77777777" w:rsidR="0095697F" w:rsidRPr="00AD5F47" w:rsidRDefault="0095697F" w:rsidP="00A47A7E">
            <w:pPr>
              <w:rPr>
                <w:color w:val="000000"/>
                <w:sz w:val="20"/>
              </w:rPr>
            </w:pPr>
            <w:r w:rsidRPr="00AD5F47">
              <w:rPr>
                <w:color w:val="000000"/>
                <w:sz w:val="20"/>
              </w:rPr>
              <w:t>10</w:t>
            </w:r>
          </w:p>
        </w:tc>
        <w:tc>
          <w:tcPr>
            <w:tcW w:w="613" w:type="pct"/>
            <w:tcBorders>
              <w:top w:val="nil"/>
              <w:left w:val="nil"/>
              <w:bottom w:val="nil"/>
              <w:right w:val="nil"/>
            </w:tcBorders>
            <w:shd w:val="clear" w:color="auto" w:fill="auto"/>
            <w:noWrap/>
            <w:hideMark/>
          </w:tcPr>
          <w:p w14:paraId="3BCB91F4" w14:textId="77777777" w:rsidR="0095697F" w:rsidRPr="00AD5F47" w:rsidRDefault="0095697F" w:rsidP="00A47A7E">
            <w:pPr>
              <w:rPr>
                <w:color w:val="000000"/>
                <w:sz w:val="20"/>
              </w:rPr>
            </w:pPr>
            <w:r w:rsidRPr="00AD5F47">
              <w:rPr>
                <w:color w:val="000000"/>
                <w:sz w:val="20"/>
              </w:rPr>
              <w:t>Expert Judgment</w:t>
            </w:r>
          </w:p>
        </w:tc>
      </w:tr>
      <w:tr w:rsidR="0095697F" w:rsidRPr="00AD5F47" w14:paraId="0CC24A70" w14:textId="77777777" w:rsidTr="00A47A7E">
        <w:trPr>
          <w:trHeight w:val="227"/>
        </w:trPr>
        <w:tc>
          <w:tcPr>
            <w:tcW w:w="510" w:type="pct"/>
            <w:tcBorders>
              <w:top w:val="nil"/>
              <w:left w:val="nil"/>
              <w:bottom w:val="nil"/>
              <w:right w:val="nil"/>
            </w:tcBorders>
            <w:shd w:val="clear" w:color="auto" w:fill="auto"/>
            <w:noWrap/>
            <w:hideMark/>
          </w:tcPr>
          <w:p w14:paraId="3C604A7D"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5516663D" w14:textId="77777777" w:rsidR="0095697F" w:rsidRPr="00AD5F47" w:rsidRDefault="0095697F" w:rsidP="00A47A7E">
            <w:pPr>
              <w:rPr>
                <w:color w:val="000000"/>
                <w:sz w:val="20"/>
              </w:rPr>
            </w:pPr>
            <w:r w:rsidRPr="00AD5F47">
              <w:rPr>
                <w:color w:val="000000"/>
                <w:sz w:val="20"/>
              </w:rPr>
              <w:t>Maximum recovery port flooding</w:t>
            </w:r>
          </w:p>
        </w:tc>
        <w:tc>
          <w:tcPr>
            <w:tcW w:w="1837" w:type="pct"/>
            <w:tcBorders>
              <w:top w:val="nil"/>
              <w:left w:val="nil"/>
              <w:bottom w:val="nil"/>
              <w:right w:val="nil"/>
            </w:tcBorders>
            <w:shd w:val="clear" w:color="auto" w:fill="auto"/>
            <w:noWrap/>
            <w:hideMark/>
          </w:tcPr>
          <w:p w14:paraId="575D2147" w14:textId="77777777" w:rsidR="0095697F" w:rsidRPr="00AD5F47" w:rsidRDefault="0095697F" w:rsidP="00A47A7E">
            <w:pPr>
              <w:rPr>
                <w:color w:val="000000"/>
                <w:sz w:val="20"/>
              </w:rPr>
            </w:pPr>
            <w:r w:rsidRPr="00AD5F47">
              <w:rPr>
                <w:color w:val="000000"/>
                <w:sz w:val="20"/>
              </w:rPr>
              <w:t>Maximum downtime when a port is flooded (#days)</w:t>
            </w:r>
          </w:p>
        </w:tc>
        <w:tc>
          <w:tcPr>
            <w:tcW w:w="407" w:type="pct"/>
            <w:tcBorders>
              <w:top w:val="nil"/>
              <w:left w:val="nil"/>
              <w:bottom w:val="nil"/>
              <w:right w:val="nil"/>
            </w:tcBorders>
            <w:shd w:val="clear" w:color="auto" w:fill="auto"/>
            <w:noWrap/>
            <w:hideMark/>
          </w:tcPr>
          <w:p w14:paraId="2AD288F2" w14:textId="77777777" w:rsidR="0095697F" w:rsidRPr="00AD5F47" w:rsidRDefault="0095697F" w:rsidP="00A47A7E">
            <w:pPr>
              <w:rPr>
                <w:color w:val="000000"/>
                <w:sz w:val="20"/>
              </w:rPr>
            </w:pPr>
            <w:r w:rsidRPr="00AD5F47">
              <w:rPr>
                <w:color w:val="000000"/>
                <w:sz w:val="20"/>
              </w:rPr>
              <w:t>120</w:t>
            </w:r>
          </w:p>
        </w:tc>
        <w:tc>
          <w:tcPr>
            <w:tcW w:w="306" w:type="pct"/>
            <w:tcBorders>
              <w:top w:val="nil"/>
              <w:left w:val="nil"/>
              <w:bottom w:val="nil"/>
              <w:right w:val="nil"/>
            </w:tcBorders>
            <w:shd w:val="clear" w:color="auto" w:fill="auto"/>
            <w:noWrap/>
            <w:hideMark/>
          </w:tcPr>
          <w:p w14:paraId="69DC71D2" w14:textId="77777777" w:rsidR="0095697F" w:rsidRPr="00AD5F47" w:rsidRDefault="0095697F" w:rsidP="00A47A7E">
            <w:pPr>
              <w:rPr>
                <w:color w:val="000000"/>
                <w:sz w:val="20"/>
              </w:rPr>
            </w:pPr>
            <w:r w:rsidRPr="00AD5F47">
              <w:rPr>
                <w:color w:val="000000"/>
                <w:sz w:val="20"/>
              </w:rPr>
              <w:t>90</w:t>
            </w:r>
          </w:p>
        </w:tc>
        <w:tc>
          <w:tcPr>
            <w:tcW w:w="306" w:type="pct"/>
            <w:tcBorders>
              <w:top w:val="nil"/>
              <w:left w:val="nil"/>
              <w:bottom w:val="nil"/>
              <w:right w:val="nil"/>
            </w:tcBorders>
            <w:shd w:val="clear" w:color="auto" w:fill="auto"/>
            <w:noWrap/>
            <w:hideMark/>
          </w:tcPr>
          <w:p w14:paraId="49077130" w14:textId="77777777" w:rsidR="0095697F" w:rsidRPr="00AD5F47" w:rsidRDefault="0095697F" w:rsidP="00A47A7E">
            <w:pPr>
              <w:rPr>
                <w:color w:val="000000"/>
                <w:sz w:val="20"/>
              </w:rPr>
            </w:pPr>
            <w:r w:rsidRPr="00AD5F47">
              <w:rPr>
                <w:color w:val="000000"/>
                <w:sz w:val="20"/>
              </w:rPr>
              <w:t>150</w:t>
            </w:r>
          </w:p>
        </w:tc>
        <w:tc>
          <w:tcPr>
            <w:tcW w:w="613" w:type="pct"/>
            <w:tcBorders>
              <w:top w:val="nil"/>
              <w:left w:val="nil"/>
              <w:bottom w:val="nil"/>
              <w:right w:val="nil"/>
            </w:tcBorders>
            <w:shd w:val="clear" w:color="auto" w:fill="auto"/>
            <w:noWrap/>
            <w:hideMark/>
          </w:tcPr>
          <w:p w14:paraId="3D8E077E" w14:textId="77777777" w:rsidR="0095697F" w:rsidRPr="00AD5F47" w:rsidRDefault="0095697F" w:rsidP="00A47A7E">
            <w:pPr>
              <w:rPr>
                <w:color w:val="000000"/>
                <w:sz w:val="20"/>
              </w:rPr>
            </w:pPr>
            <w:r w:rsidRPr="00AD5F47">
              <w:rPr>
                <w:color w:val="000000"/>
                <w:sz w:val="20"/>
              </w:rPr>
              <w:t>Expert Judgment</w:t>
            </w:r>
          </w:p>
        </w:tc>
      </w:tr>
      <w:tr w:rsidR="0095697F" w:rsidRPr="00AD5F47" w14:paraId="3B49B8EC" w14:textId="77777777" w:rsidTr="00A47A7E">
        <w:trPr>
          <w:trHeight w:val="227"/>
        </w:trPr>
        <w:tc>
          <w:tcPr>
            <w:tcW w:w="510" w:type="pct"/>
            <w:tcBorders>
              <w:top w:val="nil"/>
              <w:left w:val="nil"/>
              <w:bottom w:val="nil"/>
              <w:right w:val="nil"/>
            </w:tcBorders>
            <w:shd w:val="clear" w:color="auto" w:fill="auto"/>
            <w:noWrap/>
            <w:hideMark/>
          </w:tcPr>
          <w:p w14:paraId="14AE601D"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00A9FF92" w14:textId="77777777" w:rsidR="0095697F" w:rsidRPr="00AD5F47" w:rsidRDefault="0095697F" w:rsidP="00A47A7E">
            <w:pPr>
              <w:rPr>
                <w:color w:val="000000"/>
                <w:sz w:val="20"/>
              </w:rPr>
            </w:pPr>
            <w:r w:rsidRPr="00AD5F47">
              <w:rPr>
                <w:color w:val="000000"/>
                <w:sz w:val="20"/>
              </w:rPr>
              <w:t>Maximum recovery road flooding</w:t>
            </w:r>
          </w:p>
        </w:tc>
        <w:tc>
          <w:tcPr>
            <w:tcW w:w="1837" w:type="pct"/>
            <w:tcBorders>
              <w:top w:val="nil"/>
              <w:left w:val="nil"/>
              <w:bottom w:val="nil"/>
              <w:right w:val="nil"/>
            </w:tcBorders>
            <w:shd w:val="clear" w:color="auto" w:fill="auto"/>
            <w:noWrap/>
            <w:hideMark/>
          </w:tcPr>
          <w:p w14:paraId="14BE3F03" w14:textId="77777777" w:rsidR="0095697F" w:rsidRPr="00AD5F47" w:rsidRDefault="0095697F" w:rsidP="00A47A7E">
            <w:pPr>
              <w:rPr>
                <w:color w:val="000000"/>
                <w:sz w:val="20"/>
              </w:rPr>
            </w:pPr>
            <w:r w:rsidRPr="00AD5F47">
              <w:rPr>
                <w:color w:val="000000"/>
                <w:sz w:val="20"/>
              </w:rPr>
              <w:t>Maximum downtime when a road is flooded (#days)</w:t>
            </w:r>
          </w:p>
        </w:tc>
        <w:tc>
          <w:tcPr>
            <w:tcW w:w="407" w:type="pct"/>
            <w:tcBorders>
              <w:top w:val="nil"/>
              <w:left w:val="nil"/>
              <w:bottom w:val="nil"/>
              <w:right w:val="nil"/>
            </w:tcBorders>
            <w:shd w:val="clear" w:color="auto" w:fill="auto"/>
            <w:noWrap/>
            <w:hideMark/>
          </w:tcPr>
          <w:p w14:paraId="618407B1" w14:textId="77777777" w:rsidR="0095697F" w:rsidRPr="00AD5F47" w:rsidRDefault="0095697F" w:rsidP="00A47A7E">
            <w:pPr>
              <w:rPr>
                <w:color w:val="000000"/>
                <w:sz w:val="20"/>
              </w:rPr>
            </w:pPr>
            <w:r w:rsidRPr="00AD5F47">
              <w:rPr>
                <w:color w:val="000000"/>
                <w:sz w:val="20"/>
              </w:rPr>
              <w:t>45</w:t>
            </w:r>
          </w:p>
        </w:tc>
        <w:tc>
          <w:tcPr>
            <w:tcW w:w="306" w:type="pct"/>
            <w:tcBorders>
              <w:top w:val="nil"/>
              <w:left w:val="nil"/>
              <w:bottom w:val="nil"/>
              <w:right w:val="nil"/>
            </w:tcBorders>
            <w:shd w:val="clear" w:color="auto" w:fill="auto"/>
            <w:noWrap/>
            <w:hideMark/>
          </w:tcPr>
          <w:p w14:paraId="21280016" w14:textId="77777777" w:rsidR="0095697F" w:rsidRPr="00AD5F47" w:rsidRDefault="0095697F" w:rsidP="00A47A7E">
            <w:pPr>
              <w:rPr>
                <w:color w:val="000000"/>
                <w:sz w:val="20"/>
              </w:rPr>
            </w:pPr>
            <w:r w:rsidRPr="00AD5F47">
              <w:rPr>
                <w:color w:val="000000"/>
                <w:sz w:val="20"/>
              </w:rPr>
              <w:t>30</w:t>
            </w:r>
          </w:p>
        </w:tc>
        <w:tc>
          <w:tcPr>
            <w:tcW w:w="306" w:type="pct"/>
            <w:tcBorders>
              <w:top w:val="nil"/>
              <w:left w:val="nil"/>
              <w:bottom w:val="nil"/>
              <w:right w:val="nil"/>
            </w:tcBorders>
            <w:shd w:val="clear" w:color="auto" w:fill="auto"/>
            <w:noWrap/>
            <w:hideMark/>
          </w:tcPr>
          <w:p w14:paraId="169801A5" w14:textId="77777777" w:rsidR="0095697F" w:rsidRPr="00AD5F47" w:rsidRDefault="0095697F" w:rsidP="00A47A7E">
            <w:pPr>
              <w:rPr>
                <w:color w:val="000000"/>
                <w:sz w:val="20"/>
              </w:rPr>
            </w:pPr>
            <w:r w:rsidRPr="00AD5F47">
              <w:rPr>
                <w:color w:val="000000"/>
                <w:sz w:val="20"/>
              </w:rPr>
              <w:t>60</w:t>
            </w:r>
          </w:p>
        </w:tc>
        <w:tc>
          <w:tcPr>
            <w:tcW w:w="613" w:type="pct"/>
            <w:tcBorders>
              <w:top w:val="nil"/>
              <w:left w:val="nil"/>
              <w:bottom w:val="nil"/>
              <w:right w:val="nil"/>
            </w:tcBorders>
            <w:shd w:val="clear" w:color="auto" w:fill="auto"/>
            <w:noWrap/>
            <w:hideMark/>
          </w:tcPr>
          <w:p w14:paraId="6083CC83" w14:textId="77777777" w:rsidR="0095697F" w:rsidRPr="00AD5F47" w:rsidRDefault="0095697F" w:rsidP="00A47A7E">
            <w:pPr>
              <w:rPr>
                <w:color w:val="000000"/>
                <w:sz w:val="20"/>
              </w:rPr>
            </w:pPr>
            <w:r w:rsidRPr="00AD5F47">
              <w:rPr>
                <w:color w:val="000000"/>
                <w:sz w:val="20"/>
              </w:rPr>
              <w:t>Expert Judgment</w:t>
            </w:r>
          </w:p>
        </w:tc>
      </w:tr>
      <w:tr w:rsidR="0095697F" w:rsidRPr="00AD5F47" w14:paraId="508B104F" w14:textId="77777777" w:rsidTr="00A47A7E">
        <w:trPr>
          <w:trHeight w:val="227"/>
        </w:trPr>
        <w:tc>
          <w:tcPr>
            <w:tcW w:w="510" w:type="pct"/>
            <w:tcBorders>
              <w:top w:val="nil"/>
              <w:left w:val="nil"/>
              <w:bottom w:val="nil"/>
              <w:right w:val="nil"/>
            </w:tcBorders>
            <w:shd w:val="clear" w:color="auto" w:fill="auto"/>
            <w:noWrap/>
            <w:hideMark/>
          </w:tcPr>
          <w:p w14:paraId="16480ED4"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656D8D5E" w14:textId="77777777" w:rsidR="0095697F" w:rsidRPr="00AD5F47" w:rsidRDefault="0095697F" w:rsidP="00A47A7E">
            <w:pPr>
              <w:rPr>
                <w:color w:val="000000"/>
                <w:sz w:val="20"/>
              </w:rPr>
            </w:pPr>
            <w:r w:rsidRPr="00AD5F47">
              <w:rPr>
                <w:color w:val="000000"/>
                <w:sz w:val="20"/>
              </w:rPr>
              <w:t>Maximum recovery rail flooding</w:t>
            </w:r>
          </w:p>
        </w:tc>
        <w:tc>
          <w:tcPr>
            <w:tcW w:w="1837" w:type="pct"/>
            <w:tcBorders>
              <w:top w:val="nil"/>
              <w:left w:val="nil"/>
              <w:bottom w:val="nil"/>
              <w:right w:val="nil"/>
            </w:tcBorders>
            <w:shd w:val="clear" w:color="auto" w:fill="auto"/>
            <w:noWrap/>
            <w:hideMark/>
          </w:tcPr>
          <w:p w14:paraId="36D52B63" w14:textId="77777777" w:rsidR="0095697F" w:rsidRPr="00AD5F47" w:rsidRDefault="0095697F" w:rsidP="00A47A7E">
            <w:pPr>
              <w:rPr>
                <w:color w:val="000000"/>
                <w:sz w:val="20"/>
              </w:rPr>
            </w:pPr>
            <w:r w:rsidRPr="00AD5F47">
              <w:rPr>
                <w:color w:val="000000"/>
                <w:sz w:val="20"/>
              </w:rPr>
              <w:t>Maximum downtime when a rail is flooded  (#days)</w:t>
            </w:r>
          </w:p>
        </w:tc>
        <w:tc>
          <w:tcPr>
            <w:tcW w:w="407" w:type="pct"/>
            <w:tcBorders>
              <w:top w:val="nil"/>
              <w:left w:val="nil"/>
              <w:bottom w:val="nil"/>
              <w:right w:val="nil"/>
            </w:tcBorders>
            <w:shd w:val="clear" w:color="auto" w:fill="auto"/>
            <w:noWrap/>
            <w:hideMark/>
          </w:tcPr>
          <w:p w14:paraId="2AEE3F72" w14:textId="77777777" w:rsidR="0095697F" w:rsidRPr="00AD5F47" w:rsidRDefault="0095697F" w:rsidP="00A47A7E">
            <w:pPr>
              <w:rPr>
                <w:color w:val="000000"/>
                <w:sz w:val="20"/>
              </w:rPr>
            </w:pPr>
            <w:r w:rsidRPr="00AD5F47">
              <w:rPr>
                <w:color w:val="000000"/>
                <w:sz w:val="20"/>
              </w:rPr>
              <w:t>45</w:t>
            </w:r>
          </w:p>
        </w:tc>
        <w:tc>
          <w:tcPr>
            <w:tcW w:w="306" w:type="pct"/>
            <w:tcBorders>
              <w:top w:val="nil"/>
              <w:left w:val="nil"/>
              <w:bottom w:val="nil"/>
              <w:right w:val="nil"/>
            </w:tcBorders>
            <w:shd w:val="clear" w:color="auto" w:fill="auto"/>
            <w:noWrap/>
            <w:hideMark/>
          </w:tcPr>
          <w:p w14:paraId="1104C106" w14:textId="77777777" w:rsidR="0095697F" w:rsidRPr="00AD5F47" w:rsidRDefault="0095697F" w:rsidP="00A47A7E">
            <w:pPr>
              <w:rPr>
                <w:color w:val="000000"/>
                <w:sz w:val="20"/>
              </w:rPr>
            </w:pPr>
            <w:r w:rsidRPr="00AD5F47">
              <w:rPr>
                <w:color w:val="000000"/>
                <w:sz w:val="20"/>
              </w:rPr>
              <w:t>30</w:t>
            </w:r>
          </w:p>
        </w:tc>
        <w:tc>
          <w:tcPr>
            <w:tcW w:w="306" w:type="pct"/>
            <w:tcBorders>
              <w:top w:val="nil"/>
              <w:left w:val="nil"/>
              <w:bottom w:val="nil"/>
              <w:right w:val="nil"/>
            </w:tcBorders>
            <w:shd w:val="clear" w:color="auto" w:fill="auto"/>
            <w:noWrap/>
            <w:hideMark/>
          </w:tcPr>
          <w:p w14:paraId="7E6DB707" w14:textId="77777777" w:rsidR="0095697F" w:rsidRPr="00AD5F47" w:rsidRDefault="0095697F" w:rsidP="00A47A7E">
            <w:pPr>
              <w:rPr>
                <w:color w:val="000000"/>
                <w:sz w:val="20"/>
              </w:rPr>
            </w:pPr>
            <w:r w:rsidRPr="00AD5F47">
              <w:rPr>
                <w:color w:val="000000"/>
                <w:sz w:val="20"/>
              </w:rPr>
              <w:t>60</w:t>
            </w:r>
          </w:p>
        </w:tc>
        <w:tc>
          <w:tcPr>
            <w:tcW w:w="613" w:type="pct"/>
            <w:tcBorders>
              <w:top w:val="nil"/>
              <w:left w:val="nil"/>
              <w:bottom w:val="nil"/>
              <w:right w:val="nil"/>
            </w:tcBorders>
            <w:shd w:val="clear" w:color="auto" w:fill="auto"/>
            <w:noWrap/>
            <w:hideMark/>
          </w:tcPr>
          <w:p w14:paraId="52137C0E" w14:textId="77777777" w:rsidR="0095697F" w:rsidRPr="00AD5F47" w:rsidRDefault="0095697F" w:rsidP="00A47A7E">
            <w:pPr>
              <w:rPr>
                <w:color w:val="000000"/>
                <w:sz w:val="20"/>
              </w:rPr>
            </w:pPr>
            <w:r w:rsidRPr="00AD5F47">
              <w:rPr>
                <w:color w:val="000000"/>
                <w:sz w:val="20"/>
              </w:rPr>
              <w:t>Expert Judgment</w:t>
            </w:r>
          </w:p>
        </w:tc>
      </w:tr>
      <w:tr w:rsidR="0095697F" w:rsidRPr="00AD5F47" w14:paraId="3DA56E39" w14:textId="77777777" w:rsidTr="00A47A7E">
        <w:trPr>
          <w:trHeight w:val="227"/>
        </w:trPr>
        <w:tc>
          <w:tcPr>
            <w:tcW w:w="510" w:type="pct"/>
            <w:tcBorders>
              <w:top w:val="nil"/>
              <w:left w:val="nil"/>
              <w:bottom w:val="nil"/>
              <w:right w:val="nil"/>
            </w:tcBorders>
            <w:shd w:val="clear" w:color="auto" w:fill="auto"/>
            <w:noWrap/>
            <w:hideMark/>
          </w:tcPr>
          <w:p w14:paraId="01FD7DC5"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74CEA496" w14:textId="77777777" w:rsidR="0095697F" w:rsidRPr="00AD5F47" w:rsidRDefault="0095697F" w:rsidP="00A47A7E">
            <w:pPr>
              <w:rPr>
                <w:color w:val="000000"/>
                <w:sz w:val="20"/>
              </w:rPr>
            </w:pPr>
            <w:r w:rsidRPr="00AD5F47">
              <w:rPr>
                <w:color w:val="000000"/>
                <w:sz w:val="20"/>
              </w:rPr>
              <w:t>Maximum recovery power flooding</w:t>
            </w:r>
          </w:p>
        </w:tc>
        <w:tc>
          <w:tcPr>
            <w:tcW w:w="1837" w:type="pct"/>
            <w:tcBorders>
              <w:top w:val="nil"/>
              <w:left w:val="nil"/>
              <w:bottom w:val="nil"/>
              <w:right w:val="nil"/>
            </w:tcBorders>
            <w:shd w:val="clear" w:color="auto" w:fill="auto"/>
            <w:noWrap/>
            <w:hideMark/>
          </w:tcPr>
          <w:p w14:paraId="368D0D46" w14:textId="77777777" w:rsidR="0095697F" w:rsidRPr="00AD5F47" w:rsidRDefault="0095697F" w:rsidP="00A47A7E">
            <w:pPr>
              <w:rPr>
                <w:color w:val="000000"/>
                <w:sz w:val="20"/>
              </w:rPr>
            </w:pPr>
            <w:r w:rsidRPr="00AD5F47">
              <w:rPr>
                <w:color w:val="000000"/>
                <w:sz w:val="20"/>
              </w:rPr>
              <w:t>Maximum downtime  when power is flooded (#days)</w:t>
            </w:r>
          </w:p>
        </w:tc>
        <w:tc>
          <w:tcPr>
            <w:tcW w:w="407" w:type="pct"/>
            <w:tcBorders>
              <w:top w:val="nil"/>
              <w:left w:val="nil"/>
              <w:bottom w:val="nil"/>
              <w:right w:val="nil"/>
            </w:tcBorders>
            <w:shd w:val="clear" w:color="auto" w:fill="auto"/>
            <w:noWrap/>
            <w:hideMark/>
          </w:tcPr>
          <w:p w14:paraId="5C430DDF" w14:textId="77777777" w:rsidR="0095697F" w:rsidRPr="00AD5F47" w:rsidRDefault="0095697F" w:rsidP="00A47A7E">
            <w:pPr>
              <w:rPr>
                <w:color w:val="000000"/>
                <w:sz w:val="20"/>
              </w:rPr>
            </w:pPr>
            <w:r w:rsidRPr="00AD5F47">
              <w:rPr>
                <w:color w:val="000000"/>
                <w:sz w:val="20"/>
              </w:rPr>
              <w:t>50</w:t>
            </w:r>
          </w:p>
        </w:tc>
        <w:tc>
          <w:tcPr>
            <w:tcW w:w="306" w:type="pct"/>
            <w:tcBorders>
              <w:top w:val="nil"/>
              <w:left w:val="nil"/>
              <w:bottom w:val="nil"/>
              <w:right w:val="nil"/>
            </w:tcBorders>
            <w:shd w:val="clear" w:color="auto" w:fill="auto"/>
            <w:noWrap/>
            <w:hideMark/>
          </w:tcPr>
          <w:p w14:paraId="1377FCE1" w14:textId="77777777" w:rsidR="0095697F" w:rsidRPr="00AD5F47" w:rsidRDefault="0095697F" w:rsidP="00A47A7E">
            <w:pPr>
              <w:rPr>
                <w:color w:val="000000"/>
                <w:sz w:val="20"/>
              </w:rPr>
            </w:pPr>
            <w:r w:rsidRPr="00AD5F47">
              <w:rPr>
                <w:color w:val="000000"/>
                <w:sz w:val="20"/>
              </w:rPr>
              <w:t>40</w:t>
            </w:r>
          </w:p>
        </w:tc>
        <w:tc>
          <w:tcPr>
            <w:tcW w:w="306" w:type="pct"/>
            <w:tcBorders>
              <w:top w:val="nil"/>
              <w:left w:val="nil"/>
              <w:bottom w:val="nil"/>
              <w:right w:val="nil"/>
            </w:tcBorders>
            <w:shd w:val="clear" w:color="auto" w:fill="auto"/>
            <w:noWrap/>
            <w:hideMark/>
          </w:tcPr>
          <w:p w14:paraId="7D2D078C" w14:textId="77777777" w:rsidR="0095697F" w:rsidRPr="00AD5F47" w:rsidRDefault="0095697F" w:rsidP="00A47A7E">
            <w:pPr>
              <w:rPr>
                <w:color w:val="000000"/>
                <w:sz w:val="20"/>
              </w:rPr>
            </w:pPr>
            <w:r w:rsidRPr="00AD5F47">
              <w:rPr>
                <w:color w:val="000000"/>
                <w:sz w:val="20"/>
              </w:rPr>
              <w:t>60</w:t>
            </w:r>
          </w:p>
        </w:tc>
        <w:tc>
          <w:tcPr>
            <w:tcW w:w="613" w:type="pct"/>
            <w:tcBorders>
              <w:top w:val="nil"/>
              <w:left w:val="nil"/>
              <w:bottom w:val="nil"/>
              <w:right w:val="nil"/>
            </w:tcBorders>
            <w:shd w:val="clear" w:color="auto" w:fill="auto"/>
            <w:noWrap/>
            <w:hideMark/>
          </w:tcPr>
          <w:p w14:paraId="43876E76" w14:textId="77777777" w:rsidR="0095697F" w:rsidRPr="00AD5F47" w:rsidRDefault="0095697F" w:rsidP="00A47A7E">
            <w:pPr>
              <w:rPr>
                <w:color w:val="000000"/>
                <w:sz w:val="20"/>
              </w:rPr>
            </w:pPr>
            <w:r w:rsidRPr="00AD5F47">
              <w:rPr>
                <w:color w:val="000000"/>
                <w:sz w:val="20"/>
              </w:rPr>
              <w:t>Expert Judgment</w:t>
            </w:r>
          </w:p>
        </w:tc>
      </w:tr>
      <w:tr w:rsidR="0095697F" w:rsidRPr="00AD5F47" w14:paraId="6323CD4C" w14:textId="77777777" w:rsidTr="00A47A7E">
        <w:trPr>
          <w:trHeight w:val="227"/>
        </w:trPr>
        <w:tc>
          <w:tcPr>
            <w:tcW w:w="510" w:type="pct"/>
            <w:tcBorders>
              <w:top w:val="nil"/>
              <w:left w:val="nil"/>
              <w:bottom w:val="nil"/>
              <w:right w:val="nil"/>
            </w:tcBorders>
            <w:shd w:val="clear" w:color="auto" w:fill="auto"/>
            <w:noWrap/>
            <w:hideMark/>
          </w:tcPr>
          <w:p w14:paraId="0E8253E1"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38D8AA0B" w14:textId="77777777" w:rsidR="0095697F" w:rsidRPr="00AD5F47" w:rsidRDefault="0095697F" w:rsidP="00A47A7E">
            <w:pPr>
              <w:rPr>
                <w:sz w:val="20"/>
              </w:rPr>
            </w:pPr>
          </w:p>
        </w:tc>
        <w:tc>
          <w:tcPr>
            <w:tcW w:w="1837" w:type="pct"/>
            <w:tcBorders>
              <w:top w:val="nil"/>
              <w:left w:val="nil"/>
              <w:bottom w:val="nil"/>
              <w:right w:val="nil"/>
            </w:tcBorders>
            <w:shd w:val="clear" w:color="auto" w:fill="auto"/>
            <w:noWrap/>
            <w:hideMark/>
          </w:tcPr>
          <w:p w14:paraId="6B003086" w14:textId="77777777" w:rsidR="0095697F" w:rsidRPr="00AD5F47" w:rsidRDefault="0095697F" w:rsidP="00A47A7E">
            <w:pPr>
              <w:rPr>
                <w:sz w:val="20"/>
              </w:rPr>
            </w:pPr>
          </w:p>
        </w:tc>
        <w:tc>
          <w:tcPr>
            <w:tcW w:w="407" w:type="pct"/>
            <w:tcBorders>
              <w:top w:val="nil"/>
              <w:left w:val="nil"/>
              <w:bottom w:val="nil"/>
              <w:right w:val="nil"/>
            </w:tcBorders>
            <w:shd w:val="clear" w:color="auto" w:fill="auto"/>
            <w:noWrap/>
            <w:hideMark/>
          </w:tcPr>
          <w:p w14:paraId="01527E4B"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54C3AF3A"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722635CF"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3EEB4787" w14:textId="77777777" w:rsidR="0095697F" w:rsidRPr="00AD5F47" w:rsidRDefault="0095697F" w:rsidP="00A47A7E">
            <w:pPr>
              <w:rPr>
                <w:sz w:val="20"/>
              </w:rPr>
            </w:pPr>
          </w:p>
        </w:tc>
      </w:tr>
      <w:tr w:rsidR="0095697F" w:rsidRPr="00AD5F47" w14:paraId="6E7AE699" w14:textId="77777777" w:rsidTr="00A47A7E">
        <w:trPr>
          <w:trHeight w:val="227"/>
        </w:trPr>
        <w:tc>
          <w:tcPr>
            <w:tcW w:w="510" w:type="pct"/>
            <w:tcBorders>
              <w:top w:val="nil"/>
              <w:left w:val="nil"/>
              <w:bottom w:val="nil"/>
              <w:right w:val="nil"/>
            </w:tcBorders>
            <w:shd w:val="clear" w:color="auto" w:fill="auto"/>
            <w:noWrap/>
            <w:hideMark/>
          </w:tcPr>
          <w:p w14:paraId="6F87D2D8" w14:textId="77777777" w:rsidR="0095697F" w:rsidRPr="00AD5F47" w:rsidRDefault="0095697F" w:rsidP="00A47A7E">
            <w:pPr>
              <w:rPr>
                <w:color w:val="000000"/>
                <w:sz w:val="20"/>
              </w:rPr>
            </w:pPr>
            <w:r w:rsidRPr="00AD5F47">
              <w:rPr>
                <w:color w:val="000000"/>
                <w:sz w:val="20"/>
              </w:rPr>
              <w:t>Recovery</w:t>
            </w:r>
          </w:p>
        </w:tc>
        <w:tc>
          <w:tcPr>
            <w:tcW w:w="1021" w:type="pct"/>
            <w:tcBorders>
              <w:top w:val="nil"/>
              <w:left w:val="nil"/>
              <w:bottom w:val="nil"/>
              <w:right w:val="nil"/>
            </w:tcBorders>
            <w:shd w:val="clear" w:color="auto" w:fill="auto"/>
            <w:noWrap/>
            <w:hideMark/>
          </w:tcPr>
          <w:p w14:paraId="48B09A6F" w14:textId="77777777" w:rsidR="0095697F" w:rsidRPr="00AD5F47" w:rsidRDefault="0095697F" w:rsidP="00A47A7E">
            <w:pPr>
              <w:rPr>
                <w:color w:val="000000"/>
                <w:sz w:val="20"/>
              </w:rPr>
            </w:pPr>
            <w:r w:rsidRPr="00AD5F47">
              <w:rPr>
                <w:color w:val="000000"/>
                <w:sz w:val="20"/>
              </w:rPr>
              <w:t>Recovery duration earthquake</w:t>
            </w:r>
          </w:p>
        </w:tc>
        <w:tc>
          <w:tcPr>
            <w:tcW w:w="1837" w:type="pct"/>
            <w:tcBorders>
              <w:top w:val="nil"/>
              <w:left w:val="nil"/>
              <w:bottom w:val="nil"/>
              <w:right w:val="nil"/>
            </w:tcBorders>
            <w:shd w:val="clear" w:color="auto" w:fill="auto"/>
            <w:noWrap/>
            <w:hideMark/>
          </w:tcPr>
          <w:p w14:paraId="3A2178CE" w14:textId="77777777" w:rsidR="0095697F" w:rsidRPr="00AD5F47" w:rsidRDefault="0095697F" w:rsidP="00A47A7E">
            <w:pPr>
              <w:rPr>
                <w:color w:val="000000"/>
                <w:sz w:val="20"/>
              </w:rPr>
            </w:pPr>
            <w:r w:rsidRPr="00AD5F47">
              <w:rPr>
                <w:color w:val="000000"/>
                <w:sz w:val="20"/>
              </w:rPr>
              <w:t>Recovery curve used for damage essential port land use</w:t>
            </w:r>
          </w:p>
        </w:tc>
        <w:tc>
          <w:tcPr>
            <w:tcW w:w="407" w:type="pct"/>
            <w:tcBorders>
              <w:top w:val="nil"/>
              <w:left w:val="nil"/>
              <w:bottom w:val="nil"/>
              <w:right w:val="nil"/>
            </w:tcBorders>
            <w:shd w:val="clear" w:color="auto" w:fill="auto"/>
            <w:noWrap/>
            <w:hideMark/>
          </w:tcPr>
          <w:p w14:paraId="31244091"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56CDCA53"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2FD7AF37"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00699B63" w14:textId="3696DF82"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{"citationItems":[{"id":"ITEM-1","itemData":{"author":[{"dropping-particle":"","family":"FEMA","given":"","non-dropping-particle":"","parse-names":false,"suffix":""}],"container-title":"HAZUS 4.2 SP3","id":"ITEM-1","issue":"October","issued":{"date-parts":[["2020"]]},"publisher-place":"Washington, D.C.","title":"Hazus Earthquake Model Technical Manual","type":"report"},"uris":["http://www.mendeley.com/documents/?uuid=ef4458d5-b375-4733-b9af-7c5062aa32b0"]}],"mendeley":{"formattedCitation":"&lt;sup&gt;33&lt;/sup&gt;","plainTextFormattedCitation":"33","previouslyFormattedCitation":"(&lt;i&gt;33&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33</w:t>
            </w:r>
            <w:r w:rsidRPr="00AD5F47">
              <w:rPr>
                <w:color w:val="000000"/>
                <w:sz w:val="20"/>
              </w:rPr>
              <w:fldChar w:fldCharType="end"/>
            </w:r>
          </w:p>
        </w:tc>
      </w:tr>
      <w:tr w:rsidR="0095697F" w:rsidRPr="00AD5F47" w14:paraId="0DD60400" w14:textId="77777777" w:rsidTr="00A47A7E">
        <w:trPr>
          <w:trHeight w:val="227"/>
        </w:trPr>
        <w:tc>
          <w:tcPr>
            <w:tcW w:w="510" w:type="pct"/>
            <w:tcBorders>
              <w:top w:val="nil"/>
              <w:left w:val="nil"/>
              <w:bottom w:val="nil"/>
              <w:right w:val="nil"/>
            </w:tcBorders>
            <w:shd w:val="clear" w:color="auto" w:fill="auto"/>
            <w:noWrap/>
            <w:hideMark/>
          </w:tcPr>
          <w:p w14:paraId="7BED8047" w14:textId="77777777" w:rsidR="0095697F" w:rsidRPr="00AD5F47" w:rsidRDefault="0095697F" w:rsidP="00A47A7E">
            <w:pPr>
              <w:rPr>
                <w:color w:val="000000"/>
                <w:sz w:val="20"/>
              </w:rPr>
            </w:pPr>
            <w:r w:rsidRPr="00AD5F47">
              <w:rPr>
                <w:color w:val="000000"/>
                <w:sz w:val="20"/>
              </w:rPr>
              <w:t>Earthquake</w:t>
            </w:r>
          </w:p>
        </w:tc>
        <w:tc>
          <w:tcPr>
            <w:tcW w:w="1021" w:type="pct"/>
            <w:tcBorders>
              <w:top w:val="nil"/>
              <w:left w:val="nil"/>
              <w:bottom w:val="nil"/>
              <w:right w:val="nil"/>
            </w:tcBorders>
            <w:shd w:val="clear" w:color="auto" w:fill="auto"/>
            <w:noWrap/>
            <w:hideMark/>
          </w:tcPr>
          <w:p w14:paraId="615F2664" w14:textId="77777777" w:rsidR="0095697F" w:rsidRPr="00AD5F47" w:rsidRDefault="0095697F" w:rsidP="00A47A7E">
            <w:pPr>
              <w:rPr>
                <w:color w:val="000000"/>
                <w:sz w:val="20"/>
              </w:rPr>
            </w:pPr>
            <w:r w:rsidRPr="00AD5F47">
              <w:rPr>
                <w:color w:val="000000"/>
                <w:sz w:val="20"/>
              </w:rPr>
              <w:t>Uncertainty recovery curve</w:t>
            </w:r>
          </w:p>
        </w:tc>
        <w:tc>
          <w:tcPr>
            <w:tcW w:w="1837" w:type="pct"/>
            <w:tcBorders>
              <w:top w:val="nil"/>
              <w:left w:val="nil"/>
              <w:bottom w:val="nil"/>
              <w:right w:val="nil"/>
            </w:tcBorders>
            <w:shd w:val="clear" w:color="auto" w:fill="auto"/>
            <w:noWrap/>
            <w:hideMark/>
          </w:tcPr>
          <w:p w14:paraId="1A50BB3F" w14:textId="77777777" w:rsidR="0095697F" w:rsidRPr="00AD5F47" w:rsidRDefault="0095697F" w:rsidP="00A47A7E">
            <w:pPr>
              <w:rPr>
                <w:color w:val="000000"/>
                <w:sz w:val="20"/>
              </w:rPr>
            </w:pPr>
            <w:r w:rsidRPr="00AD5F47">
              <w:rPr>
                <w:color w:val="000000"/>
                <w:sz w:val="20"/>
              </w:rPr>
              <w:t>Uncertainty in the recovery curves adopted (%)</w:t>
            </w:r>
          </w:p>
        </w:tc>
        <w:tc>
          <w:tcPr>
            <w:tcW w:w="407" w:type="pct"/>
            <w:tcBorders>
              <w:top w:val="nil"/>
              <w:left w:val="nil"/>
              <w:bottom w:val="nil"/>
              <w:right w:val="nil"/>
            </w:tcBorders>
            <w:shd w:val="clear" w:color="auto" w:fill="auto"/>
            <w:noWrap/>
            <w:hideMark/>
          </w:tcPr>
          <w:p w14:paraId="262C2F76" w14:textId="77777777" w:rsidR="0095697F" w:rsidRPr="00AD5F47" w:rsidRDefault="0095697F" w:rsidP="00A47A7E">
            <w:pPr>
              <w:rPr>
                <w:color w:val="000000"/>
                <w:sz w:val="20"/>
              </w:rPr>
            </w:pPr>
            <w:r w:rsidRPr="00AD5F47">
              <w:rPr>
                <w:color w:val="000000"/>
                <w:sz w:val="20"/>
              </w:rPr>
              <w:t>0</w:t>
            </w:r>
          </w:p>
        </w:tc>
        <w:tc>
          <w:tcPr>
            <w:tcW w:w="306" w:type="pct"/>
            <w:tcBorders>
              <w:top w:val="nil"/>
              <w:left w:val="nil"/>
              <w:bottom w:val="nil"/>
              <w:right w:val="nil"/>
            </w:tcBorders>
            <w:shd w:val="clear" w:color="auto" w:fill="auto"/>
            <w:noWrap/>
            <w:hideMark/>
          </w:tcPr>
          <w:p w14:paraId="082597F7" w14:textId="77777777" w:rsidR="0095697F" w:rsidRPr="00AD5F47" w:rsidRDefault="0095697F" w:rsidP="00A47A7E">
            <w:pPr>
              <w:rPr>
                <w:color w:val="000000"/>
                <w:sz w:val="20"/>
              </w:rPr>
            </w:pPr>
            <w:r w:rsidRPr="00AD5F47">
              <w:rPr>
                <w:color w:val="000000"/>
                <w:sz w:val="20"/>
              </w:rPr>
              <w:t>-10</w:t>
            </w:r>
          </w:p>
        </w:tc>
        <w:tc>
          <w:tcPr>
            <w:tcW w:w="306" w:type="pct"/>
            <w:tcBorders>
              <w:top w:val="nil"/>
              <w:left w:val="nil"/>
              <w:bottom w:val="nil"/>
              <w:right w:val="nil"/>
            </w:tcBorders>
            <w:shd w:val="clear" w:color="auto" w:fill="auto"/>
            <w:noWrap/>
            <w:hideMark/>
          </w:tcPr>
          <w:p w14:paraId="254386E5" w14:textId="77777777" w:rsidR="0095697F" w:rsidRPr="00AD5F47" w:rsidRDefault="0095697F" w:rsidP="00A47A7E">
            <w:pPr>
              <w:rPr>
                <w:color w:val="000000"/>
                <w:sz w:val="20"/>
              </w:rPr>
            </w:pPr>
            <w:r w:rsidRPr="00AD5F47">
              <w:rPr>
                <w:color w:val="000000"/>
                <w:sz w:val="20"/>
              </w:rPr>
              <w:t>10</w:t>
            </w:r>
          </w:p>
        </w:tc>
        <w:tc>
          <w:tcPr>
            <w:tcW w:w="613" w:type="pct"/>
            <w:tcBorders>
              <w:top w:val="nil"/>
              <w:left w:val="nil"/>
              <w:bottom w:val="nil"/>
              <w:right w:val="nil"/>
            </w:tcBorders>
            <w:shd w:val="clear" w:color="auto" w:fill="auto"/>
            <w:noWrap/>
            <w:hideMark/>
          </w:tcPr>
          <w:p w14:paraId="2A9AC075" w14:textId="77777777" w:rsidR="0095697F" w:rsidRPr="00AD5F47" w:rsidRDefault="0095697F" w:rsidP="00A47A7E">
            <w:pPr>
              <w:rPr>
                <w:color w:val="000000"/>
                <w:sz w:val="20"/>
              </w:rPr>
            </w:pPr>
            <w:r w:rsidRPr="00AD5F47">
              <w:rPr>
                <w:color w:val="000000"/>
                <w:sz w:val="20"/>
              </w:rPr>
              <w:t>Expert Judgment</w:t>
            </w:r>
          </w:p>
        </w:tc>
      </w:tr>
      <w:tr w:rsidR="0095697F" w:rsidRPr="00AD5F47" w14:paraId="5C5111A5" w14:textId="77777777" w:rsidTr="00A47A7E">
        <w:trPr>
          <w:trHeight w:val="227"/>
        </w:trPr>
        <w:tc>
          <w:tcPr>
            <w:tcW w:w="510" w:type="pct"/>
            <w:tcBorders>
              <w:top w:val="nil"/>
              <w:left w:val="nil"/>
              <w:bottom w:val="nil"/>
              <w:right w:val="nil"/>
            </w:tcBorders>
            <w:shd w:val="clear" w:color="auto" w:fill="auto"/>
            <w:noWrap/>
            <w:hideMark/>
          </w:tcPr>
          <w:p w14:paraId="66643004"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2C92F640" w14:textId="77777777" w:rsidR="0095697F" w:rsidRPr="00AD5F47" w:rsidRDefault="0095697F" w:rsidP="00A47A7E">
            <w:pPr>
              <w:rPr>
                <w:color w:val="000000"/>
                <w:sz w:val="20"/>
              </w:rPr>
            </w:pPr>
            <w:r w:rsidRPr="00AD5F47">
              <w:rPr>
                <w:color w:val="000000"/>
                <w:sz w:val="20"/>
              </w:rPr>
              <w:t>Maximum recovery port earthquake</w:t>
            </w:r>
          </w:p>
        </w:tc>
        <w:tc>
          <w:tcPr>
            <w:tcW w:w="1837" w:type="pct"/>
            <w:tcBorders>
              <w:top w:val="nil"/>
              <w:left w:val="nil"/>
              <w:bottom w:val="nil"/>
              <w:right w:val="nil"/>
            </w:tcBorders>
            <w:shd w:val="clear" w:color="auto" w:fill="auto"/>
            <w:noWrap/>
            <w:hideMark/>
          </w:tcPr>
          <w:p w14:paraId="1CFDC533" w14:textId="77777777" w:rsidR="0095697F" w:rsidRPr="00AD5F47" w:rsidRDefault="0095697F" w:rsidP="00A47A7E">
            <w:pPr>
              <w:rPr>
                <w:color w:val="000000"/>
                <w:sz w:val="20"/>
              </w:rPr>
            </w:pPr>
            <w:r w:rsidRPr="00AD5F47">
              <w:rPr>
                <w:color w:val="000000"/>
                <w:sz w:val="20"/>
              </w:rPr>
              <w:t>Maximum downtime when a port is hit by earthquake (#days)</w:t>
            </w:r>
          </w:p>
        </w:tc>
        <w:tc>
          <w:tcPr>
            <w:tcW w:w="407" w:type="pct"/>
            <w:tcBorders>
              <w:top w:val="nil"/>
              <w:left w:val="nil"/>
              <w:bottom w:val="nil"/>
              <w:right w:val="nil"/>
            </w:tcBorders>
            <w:shd w:val="clear" w:color="auto" w:fill="auto"/>
            <w:noWrap/>
            <w:hideMark/>
          </w:tcPr>
          <w:p w14:paraId="4E830819" w14:textId="77777777" w:rsidR="0095697F" w:rsidRPr="00AD5F47" w:rsidRDefault="0095697F" w:rsidP="00A47A7E">
            <w:pPr>
              <w:rPr>
                <w:color w:val="000000"/>
                <w:sz w:val="20"/>
              </w:rPr>
            </w:pPr>
            <w:r w:rsidRPr="00AD5F47">
              <w:rPr>
                <w:color w:val="000000"/>
                <w:sz w:val="20"/>
              </w:rPr>
              <w:t>300</w:t>
            </w:r>
          </w:p>
        </w:tc>
        <w:tc>
          <w:tcPr>
            <w:tcW w:w="306" w:type="pct"/>
            <w:tcBorders>
              <w:top w:val="nil"/>
              <w:left w:val="nil"/>
              <w:bottom w:val="nil"/>
              <w:right w:val="nil"/>
            </w:tcBorders>
            <w:shd w:val="clear" w:color="auto" w:fill="auto"/>
            <w:noWrap/>
            <w:hideMark/>
          </w:tcPr>
          <w:p w14:paraId="13DA875E" w14:textId="77777777" w:rsidR="0095697F" w:rsidRPr="00AD5F47" w:rsidRDefault="0095697F" w:rsidP="00A47A7E">
            <w:pPr>
              <w:rPr>
                <w:color w:val="000000"/>
                <w:sz w:val="20"/>
              </w:rPr>
            </w:pPr>
            <w:r w:rsidRPr="00AD5F47">
              <w:rPr>
                <w:color w:val="000000"/>
                <w:sz w:val="20"/>
              </w:rPr>
              <w:t>250</w:t>
            </w:r>
          </w:p>
        </w:tc>
        <w:tc>
          <w:tcPr>
            <w:tcW w:w="306" w:type="pct"/>
            <w:tcBorders>
              <w:top w:val="nil"/>
              <w:left w:val="nil"/>
              <w:bottom w:val="nil"/>
              <w:right w:val="nil"/>
            </w:tcBorders>
            <w:shd w:val="clear" w:color="auto" w:fill="auto"/>
            <w:noWrap/>
            <w:hideMark/>
          </w:tcPr>
          <w:p w14:paraId="4187E449" w14:textId="77777777" w:rsidR="0095697F" w:rsidRPr="00AD5F47" w:rsidRDefault="0095697F" w:rsidP="00A47A7E">
            <w:pPr>
              <w:rPr>
                <w:color w:val="000000"/>
                <w:sz w:val="20"/>
              </w:rPr>
            </w:pPr>
            <w:r w:rsidRPr="00AD5F47">
              <w:rPr>
                <w:color w:val="000000"/>
                <w:sz w:val="20"/>
              </w:rPr>
              <w:t>350</w:t>
            </w:r>
          </w:p>
        </w:tc>
        <w:tc>
          <w:tcPr>
            <w:tcW w:w="613" w:type="pct"/>
            <w:tcBorders>
              <w:top w:val="nil"/>
              <w:left w:val="nil"/>
              <w:bottom w:val="nil"/>
              <w:right w:val="nil"/>
            </w:tcBorders>
            <w:shd w:val="clear" w:color="auto" w:fill="auto"/>
            <w:noWrap/>
            <w:hideMark/>
          </w:tcPr>
          <w:p w14:paraId="154D94C5" w14:textId="30B36CD1"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{"citationItems":[{"id":"ITEM-1","itemData":{"author":[{"dropping-particle":"","family":"FEMA","given":"","non-dropping-particle":"","parse-names":false,"suffix":""}],"container-title":"HAZUS 4.2 SP3","id":"ITEM-1","issue":"October","issued":{"date-parts":[["2020"]]},"publisher-place":"Washington, D.C.","title":"Hazus Earthquake Model Technical Manual","type":"report"},"uris":["http://www.mendeley.com/documents/?uuid=ef4458d5-b375-4733-b9af-7c5062aa32b0"]}],"mendeley":{"formattedCitation":"&lt;sup&gt;33&lt;/sup&gt;","plainTextFormattedCitation":"33","previouslyFormattedCitation":"(&lt;i&gt;33&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33</w:t>
            </w:r>
            <w:r w:rsidRPr="00AD5F47">
              <w:rPr>
                <w:color w:val="000000"/>
                <w:sz w:val="20"/>
              </w:rPr>
              <w:fldChar w:fldCharType="end"/>
            </w:r>
          </w:p>
        </w:tc>
      </w:tr>
      <w:tr w:rsidR="0095697F" w:rsidRPr="00AD5F47" w14:paraId="4C190AD2" w14:textId="77777777" w:rsidTr="00A47A7E">
        <w:trPr>
          <w:trHeight w:val="227"/>
        </w:trPr>
        <w:tc>
          <w:tcPr>
            <w:tcW w:w="510" w:type="pct"/>
            <w:tcBorders>
              <w:top w:val="nil"/>
              <w:left w:val="nil"/>
              <w:bottom w:val="nil"/>
              <w:right w:val="nil"/>
            </w:tcBorders>
            <w:shd w:val="clear" w:color="auto" w:fill="auto"/>
            <w:noWrap/>
            <w:hideMark/>
          </w:tcPr>
          <w:p w14:paraId="2D1EDD1B"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14151972" w14:textId="77777777" w:rsidR="0095697F" w:rsidRPr="00AD5F47" w:rsidRDefault="0095697F" w:rsidP="00A47A7E">
            <w:pPr>
              <w:rPr>
                <w:color w:val="000000"/>
                <w:sz w:val="20"/>
              </w:rPr>
            </w:pPr>
            <w:r w:rsidRPr="00AD5F47">
              <w:rPr>
                <w:color w:val="000000"/>
                <w:sz w:val="20"/>
              </w:rPr>
              <w:t>Maximum recovery road earthquake</w:t>
            </w:r>
          </w:p>
        </w:tc>
        <w:tc>
          <w:tcPr>
            <w:tcW w:w="1837" w:type="pct"/>
            <w:tcBorders>
              <w:top w:val="nil"/>
              <w:left w:val="nil"/>
              <w:bottom w:val="nil"/>
              <w:right w:val="nil"/>
            </w:tcBorders>
            <w:shd w:val="clear" w:color="auto" w:fill="auto"/>
            <w:noWrap/>
            <w:hideMark/>
          </w:tcPr>
          <w:p w14:paraId="087DEC94" w14:textId="77777777" w:rsidR="0095697F" w:rsidRPr="00AD5F47" w:rsidRDefault="0095697F" w:rsidP="00A47A7E">
            <w:pPr>
              <w:rPr>
                <w:color w:val="000000"/>
                <w:sz w:val="20"/>
              </w:rPr>
            </w:pPr>
            <w:r w:rsidRPr="00AD5F47">
              <w:rPr>
                <w:color w:val="000000"/>
                <w:sz w:val="20"/>
              </w:rPr>
              <w:t>Maximum downtime when a road is hit by earthquake (#days)</w:t>
            </w:r>
          </w:p>
        </w:tc>
        <w:tc>
          <w:tcPr>
            <w:tcW w:w="407" w:type="pct"/>
            <w:tcBorders>
              <w:top w:val="nil"/>
              <w:left w:val="nil"/>
              <w:bottom w:val="nil"/>
              <w:right w:val="nil"/>
            </w:tcBorders>
            <w:shd w:val="clear" w:color="auto" w:fill="auto"/>
            <w:noWrap/>
            <w:hideMark/>
          </w:tcPr>
          <w:p w14:paraId="61E9AC26" w14:textId="77777777" w:rsidR="0095697F" w:rsidRPr="00AD5F47" w:rsidRDefault="0095697F" w:rsidP="00A47A7E">
            <w:pPr>
              <w:rPr>
                <w:color w:val="000000"/>
                <w:sz w:val="20"/>
              </w:rPr>
            </w:pPr>
            <w:r w:rsidRPr="00AD5F47">
              <w:rPr>
                <w:color w:val="000000"/>
                <w:sz w:val="20"/>
              </w:rPr>
              <w:t>90</w:t>
            </w:r>
          </w:p>
        </w:tc>
        <w:tc>
          <w:tcPr>
            <w:tcW w:w="306" w:type="pct"/>
            <w:tcBorders>
              <w:top w:val="nil"/>
              <w:left w:val="nil"/>
              <w:bottom w:val="nil"/>
              <w:right w:val="nil"/>
            </w:tcBorders>
            <w:shd w:val="clear" w:color="auto" w:fill="auto"/>
            <w:noWrap/>
            <w:hideMark/>
          </w:tcPr>
          <w:p w14:paraId="5C7E2B75" w14:textId="77777777" w:rsidR="0095697F" w:rsidRPr="00AD5F47" w:rsidRDefault="0095697F" w:rsidP="00A47A7E">
            <w:pPr>
              <w:rPr>
                <w:color w:val="000000"/>
                <w:sz w:val="20"/>
              </w:rPr>
            </w:pPr>
            <w:r w:rsidRPr="00AD5F47">
              <w:rPr>
                <w:color w:val="000000"/>
                <w:sz w:val="20"/>
              </w:rPr>
              <w:t>60</w:t>
            </w:r>
          </w:p>
        </w:tc>
        <w:tc>
          <w:tcPr>
            <w:tcW w:w="306" w:type="pct"/>
            <w:tcBorders>
              <w:top w:val="nil"/>
              <w:left w:val="nil"/>
              <w:bottom w:val="nil"/>
              <w:right w:val="nil"/>
            </w:tcBorders>
            <w:shd w:val="clear" w:color="auto" w:fill="auto"/>
            <w:noWrap/>
            <w:hideMark/>
          </w:tcPr>
          <w:p w14:paraId="6F5618CB" w14:textId="77777777" w:rsidR="0095697F" w:rsidRPr="00AD5F47" w:rsidRDefault="0095697F" w:rsidP="00A47A7E">
            <w:pPr>
              <w:rPr>
                <w:color w:val="000000"/>
                <w:sz w:val="20"/>
              </w:rPr>
            </w:pPr>
            <w:r w:rsidRPr="00AD5F47">
              <w:rPr>
                <w:color w:val="000000"/>
                <w:sz w:val="20"/>
              </w:rPr>
              <w:t>120</w:t>
            </w:r>
          </w:p>
        </w:tc>
        <w:tc>
          <w:tcPr>
            <w:tcW w:w="613" w:type="pct"/>
            <w:tcBorders>
              <w:top w:val="nil"/>
              <w:left w:val="nil"/>
              <w:bottom w:val="nil"/>
              <w:right w:val="nil"/>
            </w:tcBorders>
            <w:shd w:val="clear" w:color="auto" w:fill="auto"/>
            <w:noWrap/>
            <w:hideMark/>
          </w:tcPr>
          <w:p w14:paraId="55021629" w14:textId="7470378D"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{"citationItems":[{"id":"ITEM-1","itemData":{"author":[{"dropping-particle":"","family":"FEMA","given":"","non-dropping-particle":"","parse-names":false,"suffix":""}],"container-title":"HAZUS 4.2 SP3","id":"ITEM-1","issue":"October","issued":{"date-parts":[["2020"]]},"publisher-place":"Washington, D.C.","title":"Hazus Earthquake Model Technical Manual","type":"report"},"uris":["http://www.mendeley.com/documents/?uuid=ef4458d5-b375-4733-b9af-7c5062aa32b0"]}],"mendeley":{"formattedCitation":"&lt;sup&gt;33&lt;/sup&gt;","plainTextFormattedCitation":"33","previouslyFormattedCitation":"(&lt;i&gt;33&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33</w:t>
            </w:r>
            <w:r w:rsidRPr="00AD5F47">
              <w:rPr>
                <w:color w:val="000000"/>
                <w:sz w:val="20"/>
              </w:rPr>
              <w:fldChar w:fldCharType="end"/>
            </w:r>
          </w:p>
        </w:tc>
      </w:tr>
      <w:tr w:rsidR="0095697F" w:rsidRPr="00AD5F47" w14:paraId="2CFB5BA2" w14:textId="77777777" w:rsidTr="00A47A7E">
        <w:trPr>
          <w:trHeight w:val="227"/>
        </w:trPr>
        <w:tc>
          <w:tcPr>
            <w:tcW w:w="510" w:type="pct"/>
            <w:tcBorders>
              <w:top w:val="nil"/>
              <w:left w:val="nil"/>
              <w:bottom w:val="nil"/>
              <w:right w:val="nil"/>
            </w:tcBorders>
            <w:shd w:val="clear" w:color="auto" w:fill="auto"/>
            <w:noWrap/>
            <w:hideMark/>
          </w:tcPr>
          <w:p w14:paraId="77C0F1A7"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40038BEE" w14:textId="77777777" w:rsidR="0095697F" w:rsidRPr="00AD5F47" w:rsidRDefault="0095697F" w:rsidP="00A47A7E">
            <w:pPr>
              <w:rPr>
                <w:color w:val="000000"/>
                <w:sz w:val="20"/>
              </w:rPr>
            </w:pPr>
            <w:r w:rsidRPr="00AD5F47">
              <w:rPr>
                <w:color w:val="000000"/>
                <w:sz w:val="20"/>
              </w:rPr>
              <w:t>Maximum recovery rail earthquake</w:t>
            </w:r>
          </w:p>
        </w:tc>
        <w:tc>
          <w:tcPr>
            <w:tcW w:w="1837" w:type="pct"/>
            <w:tcBorders>
              <w:top w:val="nil"/>
              <w:left w:val="nil"/>
              <w:bottom w:val="nil"/>
              <w:right w:val="nil"/>
            </w:tcBorders>
            <w:shd w:val="clear" w:color="auto" w:fill="auto"/>
            <w:noWrap/>
            <w:hideMark/>
          </w:tcPr>
          <w:p w14:paraId="631BF177" w14:textId="77777777" w:rsidR="0095697F" w:rsidRPr="00AD5F47" w:rsidRDefault="0095697F" w:rsidP="00A47A7E">
            <w:pPr>
              <w:rPr>
                <w:color w:val="000000"/>
                <w:sz w:val="20"/>
              </w:rPr>
            </w:pPr>
            <w:r w:rsidRPr="00AD5F47">
              <w:rPr>
                <w:color w:val="000000"/>
                <w:sz w:val="20"/>
              </w:rPr>
              <w:t>Maximum downtime when a rail is hit by earthquake (#days)</w:t>
            </w:r>
          </w:p>
        </w:tc>
        <w:tc>
          <w:tcPr>
            <w:tcW w:w="407" w:type="pct"/>
            <w:tcBorders>
              <w:top w:val="nil"/>
              <w:left w:val="nil"/>
              <w:bottom w:val="nil"/>
              <w:right w:val="nil"/>
            </w:tcBorders>
            <w:shd w:val="clear" w:color="auto" w:fill="auto"/>
            <w:noWrap/>
            <w:hideMark/>
          </w:tcPr>
          <w:p w14:paraId="420B516D" w14:textId="77777777" w:rsidR="0095697F" w:rsidRPr="00AD5F47" w:rsidRDefault="0095697F" w:rsidP="00A47A7E">
            <w:pPr>
              <w:rPr>
                <w:color w:val="000000"/>
                <w:sz w:val="20"/>
              </w:rPr>
            </w:pPr>
            <w:r w:rsidRPr="00AD5F47">
              <w:rPr>
                <w:color w:val="000000"/>
                <w:sz w:val="20"/>
              </w:rPr>
              <w:t>90</w:t>
            </w:r>
          </w:p>
        </w:tc>
        <w:tc>
          <w:tcPr>
            <w:tcW w:w="306" w:type="pct"/>
            <w:tcBorders>
              <w:top w:val="nil"/>
              <w:left w:val="nil"/>
              <w:bottom w:val="nil"/>
              <w:right w:val="nil"/>
            </w:tcBorders>
            <w:shd w:val="clear" w:color="auto" w:fill="auto"/>
            <w:noWrap/>
            <w:hideMark/>
          </w:tcPr>
          <w:p w14:paraId="473F8B5A" w14:textId="77777777" w:rsidR="0095697F" w:rsidRPr="00AD5F47" w:rsidRDefault="0095697F" w:rsidP="00A47A7E">
            <w:pPr>
              <w:rPr>
                <w:color w:val="000000"/>
                <w:sz w:val="20"/>
              </w:rPr>
            </w:pPr>
            <w:r w:rsidRPr="00AD5F47">
              <w:rPr>
                <w:color w:val="000000"/>
                <w:sz w:val="20"/>
              </w:rPr>
              <w:t>60</w:t>
            </w:r>
          </w:p>
        </w:tc>
        <w:tc>
          <w:tcPr>
            <w:tcW w:w="306" w:type="pct"/>
            <w:tcBorders>
              <w:top w:val="nil"/>
              <w:left w:val="nil"/>
              <w:bottom w:val="nil"/>
              <w:right w:val="nil"/>
            </w:tcBorders>
            <w:shd w:val="clear" w:color="auto" w:fill="auto"/>
            <w:noWrap/>
            <w:hideMark/>
          </w:tcPr>
          <w:p w14:paraId="6BD1E3D8" w14:textId="77777777" w:rsidR="0095697F" w:rsidRPr="00AD5F47" w:rsidRDefault="0095697F" w:rsidP="00A47A7E">
            <w:pPr>
              <w:rPr>
                <w:color w:val="000000"/>
                <w:sz w:val="20"/>
              </w:rPr>
            </w:pPr>
            <w:r w:rsidRPr="00AD5F47">
              <w:rPr>
                <w:color w:val="000000"/>
                <w:sz w:val="20"/>
              </w:rPr>
              <w:t>120</w:t>
            </w:r>
          </w:p>
        </w:tc>
        <w:tc>
          <w:tcPr>
            <w:tcW w:w="613" w:type="pct"/>
            <w:tcBorders>
              <w:top w:val="nil"/>
              <w:left w:val="nil"/>
              <w:bottom w:val="nil"/>
              <w:right w:val="nil"/>
            </w:tcBorders>
            <w:shd w:val="clear" w:color="auto" w:fill="auto"/>
            <w:noWrap/>
            <w:hideMark/>
          </w:tcPr>
          <w:p w14:paraId="6E1EC1BD" w14:textId="1B2F4446"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{"citationItems":[{"id":"ITEM-1","itemData":{"author":[{"dropping-particle":"","family":"FEMA","given":"","non-dropping-particle":"","parse-names":false,"suffix":""}],"container-title":"HAZUS 4.2 SP3","id":"ITEM-1","issue":"October","issued":{"date-parts":[["2020"]]},"publisher-place":"Washington, D.C.","title":"Hazus Earthquake Model Technical Manual","type":"report"},"uris":["http://www.mendeley.com/documents/?uuid=ef4458d5-b375-4733-b9af-7c5062aa32b0"]}],"mendeley":{"formattedCitation":"&lt;sup&gt;33&lt;/sup&gt;","plainTextFormattedCitation":"33","previouslyFormattedCitation":"(&lt;i&gt;33&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33</w:t>
            </w:r>
            <w:r w:rsidRPr="00AD5F47">
              <w:rPr>
                <w:color w:val="000000"/>
                <w:sz w:val="20"/>
              </w:rPr>
              <w:fldChar w:fldCharType="end"/>
            </w:r>
          </w:p>
        </w:tc>
      </w:tr>
      <w:tr w:rsidR="0095697F" w:rsidRPr="00AD5F47" w14:paraId="1E78E5ED" w14:textId="77777777" w:rsidTr="00A47A7E">
        <w:trPr>
          <w:trHeight w:val="227"/>
        </w:trPr>
        <w:tc>
          <w:tcPr>
            <w:tcW w:w="510" w:type="pct"/>
            <w:tcBorders>
              <w:top w:val="nil"/>
              <w:left w:val="nil"/>
              <w:bottom w:val="nil"/>
              <w:right w:val="nil"/>
            </w:tcBorders>
            <w:shd w:val="clear" w:color="auto" w:fill="auto"/>
            <w:noWrap/>
            <w:hideMark/>
          </w:tcPr>
          <w:p w14:paraId="41F725F3"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4177BBC9" w14:textId="77777777" w:rsidR="0095697F" w:rsidRPr="00AD5F47" w:rsidRDefault="0095697F" w:rsidP="00A47A7E">
            <w:pPr>
              <w:rPr>
                <w:color w:val="000000"/>
                <w:sz w:val="20"/>
              </w:rPr>
            </w:pPr>
            <w:r w:rsidRPr="00AD5F47">
              <w:rPr>
                <w:color w:val="000000"/>
                <w:sz w:val="20"/>
              </w:rPr>
              <w:t>Maximum recovery electricity earthquake</w:t>
            </w:r>
          </w:p>
        </w:tc>
        <w:tc>
          <w:tcPr>
            <w:tcW w:w="1837" w:type="pct"/>
            <w:tcBorders>
              <w:top w:val="nil"/>
              <w:left w:val="nil"/>
              <w:bottom w:val="nil"/>
              <w:right w:val="nil"/>
            </w:tcBorders>
            <w:shd w:val="clear" w:color="auto" w:fill="auto"/>
            <w:noWrap/>
            <w:hideMark/>
          </w:tcPr>
          <w:p w14:paraId="296BE610" w14:textId="77777777" w:rsidR="0095697F" w:rsidRPr="00AD5F47" w:rsidRDefault="0095697F" w:rsidP="00A47A7E">
            <w:pPr>
              <w:rPr>
                <w:color w:val="000000"/>
                <w:sz w:val="20"/>
              </w:rPr>
            </w:pPr>
            <w:r w:rsidRPr="00AD5F47">
              <w:rPr>
                <w:color w:val="000000"/>
                <w:sz w:val="20"/>
              </w:rPr>
              <w:t>Maximum downtime when a transmission line is hit by earthquake (#days)</w:t>
            </w:r>
          </w:p>
        </w:tc>
        <w:tc>
          <w:tcPr>
            <w:tcW w:w="407" w:type="pct"/>
            <w:tcBorders>
              <w:top w:val="nil"/>
              <w:left w:val="nil"/>
              <w:bottom w:val="nil"/>
              <w:right w:val="nil"/>
            </w:tcBorders>
            <w:shd w:val="clear" w:color="auto" w:fill="auto"/>
            <w:noWrap/>
            <w:hideMark/>
          </w:tcPr>
          <w:p w14:paraId="2B65B7B3" w14:textId="77777777" w:rsidR="0095697F" w:rsidRPr="00AD5F47" w:rsidRDefault="0095697F" w:rsidP="00A47A7E">
            <w:pPr>
              <w:rPr>
                <w:color w:val="000000"/>
                <w:sz w:val="20"/>
              </w:rPr>
            </w:pPr>
            <w:r w:rsidRPr="00AD5F47">
              <w:rPr>
                <w:color w:val="000000"/>
                <w:sz w:val="20"/>
              </w:rPr>
              <w:t>30</w:t>
            </w:r>
          </w:p>
        </w:tc>
        <w:tc>
          <w:tcPr>
            <w:tcW w:w="306" w:type="pct"/>
            <w:tcBorders>
              <w:top w:val="nil"/>
              <w:left w:val="nil"/>
              <w:bottom w:val="nil"/>
              <w:right w:val="nil"/>
            </w:tcBorders>
            <w:shd w:val="clear" w:color="auto" w:fill="auto"/>
            <w:noWrap/>
            <w:hideMark/>
          </w:tcPr>
          <w:p w14:paraId="7845173B" w14:textId="77777777" w:rsidR="0095697F" w:rsidRPr="00AD5F47" w:rsidRDefault="0095697F" w:rsidP="00A47A7E">
            <w:pPr>
              <w:rPr>
                <w:color w:val="000000"/>
                <w:sz w:val="20"/>
              </w:rPr>
            </w:pPr>
            <w:r w:rsidRPr="00AD5F47">
              <w:rPr>
                <w:color w:val="000000"/>
                <w:sz w:val="20"/>
              </w:rPr>
              <w:t>25</w:t>
            </w:r>
          </w:p>
        </w:tc>
        <w:tc>
          <w:tcPr>
            <w:tcW w:w="306" w:type="pct"/>
            <w:tcBorders>
              <w:top w:val="nil"/>
              <w:left w:val="nil"/>
              <w:bottom w:val="nil"/>
              <w:right w:val="nil"/>
            </w:tcBorders>
            <w:shd w:val="clear" w:color="auto" w:fill="auto"/>
            <w:noWrap/>
            <w:hideMark/>
          </w:tcPr>
          <w:p w14:paraId="0D991E09" w14:textId="77777777" w:rsidR="0095697F" w:rsidRPr="00AD5F47" w:rsidRDefault="0095697F" w:rsidP="00A47A7E">
            <w:pPr>
              <w:rPr>
                <w:color w:val="000000"/>
                <w:sz w:val="20"/>
              </w:rPr>
            </w:pPr>
            <w:r w:rsidRPr="00AD5F47">
              <w:rPr>
                <w:color w:val="000000"/>
                <w:sz w:val="20"/>
              </w:rPr>
              <w:t>35</w:t>
            </w:r>
          </w:p>
        </w:tc>
        <w:tc>
          <w:tcPr>
            <w:tcW w:w="613" w:type="pct"/>
            <w:tcBorders>
              <w:top w:val="nil"/>
              <w:left w:val="nil"/>
              <w:bottom w:val="nil"/>
              <w:right w:val="nil"/>
            </w:tcBorders>
            <w:shd w:val="clear" w:color="auto" w:fill="auto"/>
            <w:noWrap/>
            <w:hideMark/>
          </w:tcPr>
          <w:p w14:paraId="4621EC74" w14:textId="31EAA107"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{"citationItems":[{"id":"ITEM-1","itemData":{"author":[{"dropping-particle":"","family":"FEMA","given":"","non-dropping-particle":"","parse-names":false,"suffix":""}],"container-title":"HAZUS 4.2 SP3","id":"ITEM-1","issue":"October","issued":{"date-parts":[["2020"]]},"publisher-place":"Washington, D.C.","title":"Hazus Earthquake Model Technical Manual","type":"report"},"uris":["http://www.mendeley.com/documents/?uuid=ef4458d5-b375-4733-b9af-7c5062aa32b0"]}],"mendeley":{"formattedCitation":"&lt;sup&gt;33&lt;/sup&gt;","plainTextFormattedCitation":"33","previouslyFormattedCitation":"(&lt;i&gt;33&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33</w:t>
            </w:r>
            <w:r w:rsidRPr="00AD5F47">
              <w:rPr>
                <w:color w:val="000000"/>
                <w:sz w:val="20"/>
              </w:rPr>
              <w:fldChar w:fldCharType="end"/>
            </w:r>
          </w:p>
        </w:tc>
      </w:tr>
      <w:tr w:rsidR="0095697F" w:rsidRPr="00AD5F47" w14:paraId="4A08364D" w14:textId="77777777" w:rsidTr="00A47A7E">
        <w:trPr>
          <w:trHeight w:val="227"/>
        </w:trPr>
        <w:tc>
          <w:tcPr>
            <w:tcW w:w="510" w:type="pct"/>
            <w:tcBorders>
              <w:top w:val="nil"/>
              <w:left w:val="nil"/>
              <w:bottom w:val="nil"/>
              <w:right w:val="nil"/>
            </w:tcBorders>
            <w:shd w:val="clear" w:color="auto" w:fill="auto"/>
            <w:noWrap/>
            <w:hideMark/>
          </w:tcPr>
          <w:p w14:paraId="1F196906"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2CDEE04D" w14:textId="77777777" w:rsidR="0095697F" w:rsidRPr="00AD5F47" w:rsidRDefault="0095697F" w:rsidP="00A47A7E">
            <w:pPr>
              <w:rPr>
                <w:color w:val="000000"/>
                <w:sz w:val="20"/>
              </w:rPr>
            </w:pPr>
            <w:r w:rsidRPr="00AD5F47">
              <w:rPr>
                <w:color w:val="000000"/>
                <w:sz w:val="20"/>
              </w:rPr>
              <w:t>Maximum recovery power  earthquake</w:t>
            </w:r>
          </w:p>
        </w:tc>
        <w:tc>
          <w:tcPr>
            <w:tcW w:w="1837" w:type="pct"/>
            <w:tcBorders>
              <w:top w:val="nil"/>
              <w:left w:val="nil"/>
              <w:bottom w:val="nil"/>
              <w:right w:val="nil"/>
            </w:tcBorders>
            <w:shd w:val="clear" w:color="auto" w:fill="auto"/>
            <w:noWrap/>
            <w:hideMark/>
          </w:tcPr>
          <w:p w14:paraId="7D4FAAA2" w14:textId="77777777" w:rsidR="0095697F" w:rsidRPr="00AD5F47" w:rsidRDefault="0095697F" w:rsidP="00A47A7E">
            <w:pPr>
              <w:rPr>
                <w:color w:val="000000"/>
                <w:sz w:val="20"/>
              </w:rPr>
            </w:pPr>
            <w:r w:rsidRPr="00AD5F47">
              <w:rPr>
                <w:color w:val="000000"/>
                <w:sz w:val="20"/>
              </w:rPr>
              <w:t>Maximum downtime  when power plants is hit by earthquake (#days)</w:t>
            </w:r>
          </w:p>
        </w:tc>
        <w:tc>
          <w:tcPr>
            <w:tcW w:w="407" w:type="pct"/>
            <w:tcBorders>
              <w:top w:val="nil"/>
              <w:left w:val="nil"/>
              <w:bottom w:val="nil"/>
              <w:right w:val="nil"/>
            </w:tcBorders>
            <w:shd w:val="clear" w:color="auto" w:fill="auto"/>
            <w:noWrap/>
            <w:hideMark/>
          </w:tcPr>
          <w:p w14:paraId="7451FFAF" w14:textId="77777777" w:rsidR="0095697F" w:rsidRPr="00AD5F47" w:rsidRDefault="0095697F" w:rsidP="00A47A7E">
            <w:pPr>
              <w:rPr>
                <w:color w:val="000000"/>
                <w:sz w:val="20"/>
              </w:rPr>
            </w:pPr>
            <w:r w:rsidRPr="00AD5F47">
              <w:rPr>
                <w:color w:val="000000"/>
                <w:sz w:val="20"/>
              </w:rPr>
              <w:t>100</w:t>
            </w:r>
          </w:p>
        </w:tc>
        <w:tc>
          <w:tcPr>
            <w:tcW w:w="306" w:type="pct"/>
            <w:tcBorders>
              <w:top w:val="nil"/>
              <w:left w:val="nil"/>
              <w:bottom w:val="nil"/>
              <w:right w:val="nil"/>
            </w:tcBorders>
            <w:shd w:val="clear" w:color="auto" w:fill="auto"/>
            <w:noWrap/>
            <w:hideMark/>
          </w:tcPr>
          <w:p w14:paraId="08CAE014" w14:textId="77777777" w:rsidR="0095697F" w:rsidRPr="00AD5F47" w:rsidRDefault="0095697F" w:rsidP="00A47A7E">
            <w:pPr>
              <w:rPr>
                <w:color w:val="000000"/>
                <w:sz w:val="20"/>
              </w:rPr>
            </w:pPr>
            <w:r w:rsidRPr="00AD5F47">
              <w:rPr>
                <w:color w:val="000000"/>
                <w:sz w:val="20"/>
              </w:rPr>
              <w:t>80</w:t>
            </w:r>
          </w:p>
        </w:tc>
        <w:tc>
          <w:tcPr>
            <w:tcW w:w="306" w:type="pct"/>
            <w:tcBorders>
              <w:top w:val="nil"/>
              <w:left w:val="nil"/>
              <w:bottom w:val="nil"/>
              <w:right w:val="nil"/>
            </w:tcBorders>
            <w:shd w:val="clear" w:color="auto" w:fill="auto"/>
            <w:noWrap/>
            <w:hideMark/>
          </w:tcPr>
          <w:p w14:paraId="6A030A59" w14:textId="77777777" w:rsidR="0095697F" w:rsidRPr="00AD5F47" w:rsidRDefault="0095697F" w:rsidP="00A47A7E">
            <w:pPr>
              <w:rPr>
                <w:color w:val="000000"/>
                <w:sz w:val="20"/>
              </w:rPr>
            </w:pPr>
            <w:r w:rsidRPr="00AD5F47">
              <w:rPr>
                <w:color w:val="000000"/>
                <w:sz w:val="20"/>
              </w:rPr>
              <w:t>120</w:t>
            </w:r>
          </w:p>
        </w:tc>
        <w:tc>
          <w:tcPr>
            <w:tcW w:w="613" w:type="pct"/>
            <w:tcBorders>
              <w:top w:val="nil"/>
              <w:left w:val="nil"/>
              <w:bottom w:val="nil"/>
              <w:right w:val="nil"/>
            </w:tcBorders>
            <w:shd w:val="clear" w:color="auto" w:fill="auto"/>
            <w:noWrap/>
            <w:hideMark/>
          </w:tcPr>
          <w:p w14:paraId="11B0E32F" w14:textId="088096CB"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{"citationItems":[{"id":"ITEM-1","itemData":{"author":[{"dropping-particle":"","family":"FEMA","given":"","non-dropping-particle":"","parse-names":false,"suffix":""}],"container-title":"HAZUS 4.2 SP3","id":"ITEM-1","issue":"October","issued":{"date-parts":[["2020"]]},"publisher-place":"Washington, D.C.","title":"Hazus Earthquake Model Technical Manual","type":"report"},"uris":["http://www.mendeley.com/documents/?uuid=ef4458d5-b375-4733-b9af-7c5062aa32b0"]}],"mendeley":{"formattedCitation":"&lt;sup&gt;33&lt;/sup&gt;","plainTextFormattedCitation":"33","previouslyFormattedCitation":"(&lt;i&gt;33&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33</w:t>
            </w:r>
            <w:r w:rsidRPr="00AD5F47">
              <w:rPr>
                <w:color w:val="000000"/>
                <w:sz w:val="20"/>
              </w:rPr>
              <w:fldChar w:fldCharType="end"/>
            </w:r>
          </w:p>
        </w:tc>
      </w:tr>
      <w:tr w:rsidR="0095697F" w:rsidRPr="00AD5F47" w14:paraId="0F0C43F4" w14:textId="77777777" w:rsidTr="00A47A7E">
        <w:trPr>
          <w:trHeight w:val="227"/>
        </w:trPr>
        <w:tc>
          <w:tcPr>
            <w:tcW w:w="510" w:type="pct"/>
            <w:tcBorders>
              <w:top w:val="nil"/>
              <w:left w:val="nil"/>
              <w:bottom w:val="nil"/>
              <w:right w:val="nil"/>
            </w:tcBorders>
            <w:shd w:val="clear" w:color="auto" w:fill="auto"/>
            <w:noWrap/>
            <w:hideMark/>
          </w:tcPr>
          <w:p w14:paraId="3817F29A"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09C2D47E" w14:textId="77777777" w:rsidR="0095697F" w:rsidRPr="00AD5F47" w:rsidRDefault="0095697F" w:rsidP="00A47A7E">
            <w:pPr>
              <w:rPr>
                <w:sz w:val="20"/>
              </w:rPr>
            </w:pPr>
          </w:p>
        </w:tc>
        <w:tc>
          <w:tcPr>
            <w:tcW w:w="1837" w:type="pct"/>
            <w:tcBorders>
              <w:top w:val="nil"/>
              <w:left w:val="nil"/>
              <w:bottom w:val="nil"/>
              <w:right w:val="nil"/>
            </w:tcBorders>
            <w:shd w:val="clear" w:color="auto" w:fill="auto"/>
            <w:noWrap/>
            <w:hideMark/>
          </w:tcPr>
          <w:p w14:paraId="125E9163" w14:textId="77777777" w:rsidR="0095697F" w:rsidRPr="00AD5F47" w:rsidRDefault="0095697F" w:rsidP="00A47A7E">
            <w:pPr>
              <w:rPr>
                <w:sz w:val="20"/>
              </w:rPr>
            </w:pPr>
          </w:p>
        </w:tc>
        <w:tc>
          <w:tcPr>
            <w:tcW w:w="407" w:type="pct"/>
            <w:tcBorders>
              <w:top w:val="nil"/>
              <w:left w:val="nil"/>
              <w:bottom w:val="nil"/>
              <w:right w:val="nil"/>
            </w:tcBorders>
            <w:shd w:val="clear" w:color="auto" w:fill="auto"/>
            <w:noWrap/>
            <w:hideMark/>
          </w:tcPr>
          <w:p w14:paraId="50FC2B80"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751DB19A" w14:textId="77777777" w:rsidR="0095697F" w:rsidRPr="00AD5F47" w:rsidRDefault="0095697F" w:rsidP="00A47A7E">
            <w:pPr>
              <w:rPr>
                <w:sz w:val="20"/>
              </w:rPr>
            </w:pPr>
          </w:p>
        </w:tc>
        <w:tc>
          <w:tcPr>
            <w:tcW w:w="306" w:type="pct"/>
            <w:tcBorders>
              <w:top w:val="nil"/>
              <w:left w:val="nil"/>
              <w:bottom w:val="nil"/>
              <w:right w:val="nil"/>
            </w:tcBorders>
            <w:shd w:val="clear" w:color="auto" w:fill="auto"/>
            <w:noWrap/>
            <w:hideMark/>
          </w:tcPr>
          <w:p w14:paraId="0F335490"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3F3FD647" w14:textId="77777777" w:rsidR="0095697F" w:rsidRPr="00AD5F47" w:rsidRDefault="0095697F" w:rsidP="00A47A7E">
            <w:pPr>
              <w:rPr>
                <w:sz w:val="20"/>
              </w:rPr>
            </w:pPr>
          </w:p>
        </w:tc>
      </w:tr>
      <w:tr w:rsidR="0095697F" w:rsidRPr="00AD5F47" w14:paraId="20A698DE" w14:textId="77777777" w:rsidTr="00A47A7E">
        <w:trPr>
          <w:trHeight w:val="227"/>
        </w:trPr>
        <w:tc>
          <w:tcPr>
            <w:tcW w:w="510" w:type="pct"/>
            <w:tcBorders>
              <w:top w:val="nil"/>
              <w:left w:val="nil"/>
              <w:bottom w:val="nil"/>
              <w:right w:val="nil"/>
            </w:tcBorders>
            <w:shd w:val="clear" w:color="auto" w:fill="auto"/>
            <w:noWrap/>
            <w:hideMark/>
          </w:tcPr>
          <w:p w14:paraId="6497992B" w14:textId="77777777" w:rsidR="0095697F" w:rsidRPr="00AD5F47" w:rsidRDefault="0095697F" w:rsidP="00A47A7E">
            <w:pPr>
              <w:rPr>
                <w:color w:val="000000"/>
                <w:sz w:val="20"/>
              </w:rPr>
            </w:pPr>
            <w:r w:rsidRPr="00AD5F47">
              <w:rPr>
                <w:color w:val="000000"/>
                <w:sz w:val="20"/>
              </w:rPr>
              <w:t>Recovery</w:t>
            </w:r>
          </w:p>
        </w:tc>
        <w:tc>
          <w:tcPr>
            <w:tcW w:w="1021" w:type="pct"/>
            <w:tcBorders>
              <w:top w:val="nil"/>
              <w:left w:val="nil"/>
              <w:bottom w:val="nil"/>
              <w:right w:val="nil"/>
            </w:tcBorders>
            <w:shd w:val="clear" w:color="auto" w:fill="auto"/>
            <w:noWrap/>
            <w:hideMark/>
          </w:tcPr>
          <w:p w14:paraId="26DBE2EF" w14:textId="77777777" w:rsidR="0095697F" w:rsidRPr="00AD5F47" w:rsidRDefault="0095697F" w:rsidP="00A47A7E">
            <w:pPr>
              <w:rPr>
                <w:color w:val="000000"/>
                <w:sz w:val="20"/>
              </w:rPr>
            </w:pPr>
            <w:r w:rsidRPr="00AD5F47">
              <w:rPr>
                <w:color w:val="000000"/>
                <w:sz w:val="20"/>
              </w:rPr>
              <w:t>Recovery duration TC</w:t>
            </w:r>
          </w:p>
        </w:tc>
        <w:tc>
          <w:tcPr>
            <w:tcW w:w="1837" w:type="pct"/>
            <w:tcBorders>
              <w:top w:val="nil"/>
              <w:left w:val="nil"/>
              <w:bottom w:val="nil"/>
              <w:right w:val="nil"/>
            </w:tcBorders>
            <w:shd w:val="clear" w:color="auto" w:fill="auto"/>
            <w:noWrap/>
            <w:hideMark/>
          </w:tcPr>
          <w:p w14:paraId="5C9DBC45" w14:textId="77777777" w:rsidR="0095697F" w:rsidRPr="00AD5F47" w:rsidRDefault="0095697F" w:rsidP="00A47A7E">
            <w:pPr>
              <w:rPr>
                <w:color w:val="000000"/>
                <w:sz w:val="20"/>
              </w:rPr>
            </w:pPr>
            <w:r w:rsidRPr="00AD5F47">
              <w:rPr>
                <w:color w:val="000000"/>
                <w:sz w:val="20"/>
              </w:rPr>
              <w:t>Duration downtime when a TC hits a port (#days)</w:t>
            </w:r>
          </w:p>
        </w:tc>
        <w:tc>
          <w:tcPr>
            <w:tcW w:w="407" w:type="pct"/>
            <w:tcBorders>
              <w:top w:val="nil"/>
              <w:left w:val="nil"/>
              <w:bottom w:val="nil"/>
              <w:right w:val="nil"/>
            </w:tcBorders>
            <w:shd w:val="clear" w:color="auto" w:fill="auto"/>
            <w:noWrap/>
            <w:hideMark/>
          </w:tcPr>
          <w:p w14:paraId="2A4C8DEA" w14:textId="77777777" w:rsidR="0095697F" w:rsidRPr="00AD5F47" w:rsidRDefault="0095697F" w:rsidP="00A47A7E">
            <w:pPr>
              <w:rPr>
                <w:color w:val="000000"/>
                <w:sz w:val="20"/>
              </w:rPr>
            </w:pPr>
            <w:r w:rsidRPr="00AD5F47">
              <w:rPr>
                <w:color w:val="000000"/>
                <w:sz w:val="20"/>
              </w:rPr>
              <w:t>Empirical</w:t>
            </w:r>
          </w:p>
        </w:tc>
        <w:tc>
          <w:tcPr>
            <w:tcW w:w="306" w:type="pct"/>
            <w:tcBorders>
              <w:top w:val="nil"/>
              <w:left w:val="nil"/>
              <w:bottom w:val="nil"/>
              <w:right w:val="nil"/>
            </w:tcBorders>
            <w:shd w:val="clear" w:color="auto" w:fill="auto"/>
            <w:noWrap/>
            <w:hideMark/>
          </w:tcPr>
          <w:p w14:paraId="55ED2498" w14:textId="77777777" w:rsidR="0095697F" w:rsidRPr="00AD5F47" w:rsidRDefault="0095697F" w:rsidP="00A47A7E">
            <w:pPr>
              <w:rPr>
                <w:color w:val="000000"/>
                <w:sz w:val="20"/>
              </w:rPr>
            </w:pPr>
          </w:p>
        </w:tc>
        <w:tc>
          <w:tcPr>
            <w:tcW w:w="306" w:type="pct"/>
            <w:tcBorders>
              <w:top w:val="nil"/>
              <w:left w:val="nil"/>
              <w:bottom w:val="nil"/>
              <w:right w:val="nil"/>
            </w:tcBorders>
            <w:shd w:val="clear" w:color="auto" w:fill="auto"/>
            <w:noWrap/>
            <w:hideMark/>
          </w:tcPr>
          <w:p w14:paraId="05A1CC37" w14:textId="77777777" w:rsidR="0095697F" w:rsidRPr="00AD5F47" w:rsidRDefault="0095697F" w:rsidP="00A47A7E">
            <w:pPr>
              <w:rPr>
                <w:sz w:val="20"/>
              </w:rPr>
            </w:pPr>
          </w:p>
        </w:tc>
        <w:tc>
          <w:tcPr>
            <w:tcW w:w="613" w:type="pct"/>
            <w:tcBorders>
              <w:top w:val="nil"/>
              <w:left w:val="nil"/>
              <w:bottom w:val="nil"/>
              <w:right w:val="nil"/>
            </w:tcBorders>
            <w:shd w:val="clear" w:color="auto" w:fill="auto"/>
            <w:noWrap/>
            <w:hideMark/>
          </w:tcPr>
          <w:p w14:paraId="2B240A29" w14:textId="61EF4A3C"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{"citationItems":[{"id":"ITEM-1","itemData":{"DOI":"10.1016/j.trd.2020.102393","ISSN":"13619209","abstract":"Ports are located in low-lying coastal and riverine areas making them prone to the physical impacts of natural disasters. The consequential disruptions can potentially propagate through supply chains, resulting in widespread economic losses. Previous studies to quantify the risks of port disruptions have adopted various modelling assumptions about the resilience of individual ports and marine network logistics. However, limited empirical evidence is available to validate these modelling assumptions or to provide deeper understanding of the ways in which operations are adapted during and after disruptions. Here, we use vessel tracking data to analyse past port disruptions due to natural disasters, evaluating 141 incidences of disruptions across 74 ports and 27 disasters. Results show a median disruption duration of six days with a 95th percentile of 22.2 days. All analysed events show multiple ports being affected simultaneously, challenging some of the studies that only focus on single port disruptions. Moreover, we find that the duration of the disruption scales with the severity of the event, with an increment of 1.0 m storm surge or 10 m/s wind speed associated with a two day increase in disruption duration. In contrast to commonplace assumptions in model studies, substitution between ports is rarely observed during short-term disruptions. On the other hand, production recapture happens in practice in many cases of port disruptions. In short, empirical vessel tracking data provides valuable insights for future modelling studies in order to better approximate the extent of the disruption and the potential resilience of the port and maritime network.","author":[{"dropping-particle":"","family":"Verschuur","given":"J.","non-dropping-particle":"","parse-names":false,"suffix":""},{"dropping-particle":"","family":"Koks","given":"E. E.","non-dropping-particle":"","parse-names":false,"suffix":""},{"dropping-particle":"","family":"Hall","given":"J. W.","non-dropping-particle":"","parse-names":false,"suffix":""}],"container-title":"Transportation Research Part D: Transport and Environment","id":"ITEM-1","issued":{"date-parts":[["2020"]]},"page":"102393","publisher":"Elsevier","title":"Port disruptions due to natural disasters: Insights into port and logistics resilience","type":"article-journal","volume":"85"},"uris":["http://www.mendeley.com/documents/?uuid=4431590c-1a95-43d0-845b-66debfc31bd1"]}],"mendeley":{"formattedCitation":"&lt;sup&gt;34&lt;/sup&gt;","plainTextFormattedCitation":"34","previouslyFormattedCitation":"(&lt;i&gt;34&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34</w:t>
            </w:r>
            <w:r w:rsidRPr="00AD5F47">
              <w:rPr>
                <w:color w:val="000000"/>
                <w:sz w:val="20"/>
              </w:rPr>
              <w:fldChar w:fldCharType="end"/>
            </w:r>
          </w:p>
        </w:tc>
      </w:tr>
      <w:tr w:rsidR="0095697F" w:rsidRPr="00AD5F47" w14:paraId="35B639E3" w14:textId="77777777" w:rsidTr="00A47A7E">
        <w:trPr>
          <w:trHeight w:val="227"/>
        </w:trPr>
        <w:tc>
          <w:tcPr>
            <w:tcW w:w="510" w:type="pct"/>
            <w:tcBorders>
              <w:top w:val="nil"/>
              <w:left w:val="nil"/>
              <w:bottom w:val="nil"/>
              <w:right w:val="nil"/>
            </w:tcBorders>
            <w:shd w:val="clear" w:color="auto" w:fill="auto"/>
            <w:noWrap/>
            <w:hideMark/>
          </w:tcPr>
          <w:p w14:paraId="32434B8D" w14:textId="77777777" w:rsidR="0095697F" w:rsidRPr="00AD5F47" w:rsidRDefault="0095697F" w:rsidP="00A47A7E">
            <w:pPr>
              <w:rPr>
                <w:color w:val="000000"/>
                <w:sz w:val="20"/>
              </w:rPr>
            </w:pPr>
            <w:r w:rsidRPr="00AD5F47">
              <w:rPr>
                <w:color w:val="000000"/>
                <w:sz w:val="20"/>
              </w:rPr>
              <w:t>Tropical cyclones</w:t>
            </w:r>
          </w:p>
        </w:tc>
        <w:tc>
          <w:tcPr>
            <w:tcW w:w="1021" w:type="pct"/>
            <w:tcBorders>
              <w:top w:val="nil"/>
              <w:left w:val="nil"/>
              <w:bottom w:val="nil"/>
              <w:right w:val="nil"/>
            </w:tcBorders>
            <w:shd w:val="clear" w:color="auto" w:fill="auto"/>
            <w:noWrap/>
            <w:hideMark/>
          </w:tcPr>
          <w:p w14:paraId="5AB61DF6" w14:textId="77777777" w:rsidR="0095697F" w:rsidRPr="00AD5F47" w:rsidRDefault="0095697F" w:rsidP="00A47A7E">
            <w:pPr>
              <w:rPr>
                <w:color w:val="000000"/>
                <w:sz w:val="20"/>
              </w:rPr>
            </w:pPr>
            <w:r w:rsidRPr="00AD5F47">
              <w:rPr>
                <w:color w:val="000000"/>
                <w:sz w:val="20"/>
              </w:rPr>
              <w:t>Uncertainty recovery curve</w:t>
            </w:r>
          </w:p>
        </w:tc>
        <w:tc>
          <w:tcPr>
            <w:tcW w:w="1837" w:type="pct"/>
            <w:tcBorders>
              <w:top w:val="nil"/>
              <w:left w:val="nil"/>
              <w:bottom w:val="nil"/>
              <w:right w:val="nil"/>
            </w:tcBorders>
            <w:shd w:val="clear" w:color="auto" w:fill="auto"/>
            <w:noWrap/>
            <w:hideMark/>
          </w:tcPr>
          <w:p w14:paraId="17A859FC" w14:textId="77777777" w:rsidR="0095697F" w:rsidRPr="00AD5F47" w:rsidRDefault="0095697F" w:rsidP="00A47A7E">
            <w:pPr>
              <w:rPr>
                <w:color w:val="000000"/>
                <w:sz w:val="20"/>
              </w:rPr>
            </w:pPr>
            <w:r w:rsidRPr="00AD5F47">
              <w:rPr>
                <w:color w:val="000000"/>
                <w:sz w:val="20"/>
              </w:rPr>
              <w:t>Uncertainty in the recovery curves adopted (%)</w:t>
            </w:r>
          </w:p>
        </w:tc>
        <w:tc>
          <w:tcPr>
            <w:tcW w:w="407" w:type="pct"/>
            <w:tcBorders>
              <w:top w:val="nil"/>
              <w:left w:val="nil"/>
              <w:bottom w:val="nil"/>
              <w:right w:val="nil"/>
            </w:tcBorders>
            <w:shd w:val="clear" w:color="auto" w:fill="auto"/>
            <w:noWrap/>
            <w:hideMark/>
          </w:tcPr>
          <w:p w14:paraId="3090D670" w14:textId="77777777" w:rsidR="0095697F" w:rsidRPr="00AD5F47" w:rsidRDefault="0095697F" w:rsidP="00A47A7E">
            <w:pPr>
              <w:rPr>
                <w:color w:val="000000"/>
                <w:sz w:val="20"/>
              </w:rPr>
            </w:pPr>
            <w:r w:rsidRPr="00AD5F47">
              <w:rPr>
                <w:color w:val="000000"/>
                <w:sz w:val="20"/>
              </w:rPr>
              <w:t>0</w:t>
            </w:r>
          </w:p>
        </w:tc>
        <w:tc>
          <w:tcPr>
            <w:tcW w:w="306" w:type="pct"/>
            <w:tcBorders>
              <w:top w:val="nil"/>
              <w:left w:val="nil"/>
              <w:bottom w:val="nil"/>
              <w:right w:val="nil"/>
            </w:tcBorders>
            <w:shd w:val="clear" w:color="auto" w:fill="auto"/>
            <w:noWrap/>
            <w:hideMark/>
          </w:tcPr>
          <w:p w14:paraId="3F7F61E0" w14:textId="77777777" w:rsidR="0095697F" w:rsidRPr="00AD5F47" w:rsidRDefault="0095697F" w:rsidP="00A47A7E">
            <w:pPr>
              <w:rPr>
                <w:color w:val="000000"/>
                <w:sz w:val="20"/>
              </w:rPr>
            </w:pPr>
            <w:r w:rsidRPr="00AD5F47">
              <w:rPr>
                <w:color w:val="000000"/>
                <w:sz w:val="20"/>
              </w:rPr>
              <w:t>-10</w:t>
            </w:r>
          </w:p>
        </w:tc>
        <w:tc>
          <w:tcPr>
            <w:tcW w:w="306" w:type="pct"/>
            <w:tcBorders>
              <w:top w:val="nil"/>
              <w:left w:val="nil"/>
              <w:bottom w:val="nil"/>
              <w:right w:val="nil"/>
            </w:tcBorders>
            <w:shd w:val="clear" w:color="auto" w:fill="auto"/>
            <w:noWrap/>
            <w:hideMark/>
          </w:tcPr>
          <w:p w14:paraId="14DAAA64" w14:textId="77777777" w:rsidR="0095697F" w:rsidRPr="00AD5F47" w:rsidRDefault="0095697F" w:rsidP="00A47A7E">
            <w:pPr>
              <w:rPr>
                <w:color w:val="000000"/>
                <w:sz w:val="20"/>
              </w:rPr>
            </w:pPr>
            <w:r w:rsidRPr="00AD5F47">
              <w:rPr>
                <w:color w:val="000000"/>
                <w:sz w:val="20"/>
              </w:rPr>
              <w:t>10</w:t>
            </w:r>
          </w:p>
        </w:tc>
        <w:tc>
          <w:tcPr>
            <w:tcW w:w="613" w:type="pct"/>
            <w:tcBorders>
              <w:top w:val="nil"/>
              <w:left w:val="nil"/>
              <w:bottom w:val="nil"/>
              <w:right w:val="nil"/>
            </w:tcBorders>
            <w:shd w:val="clear" w:color="auto" w:fill="auto"/>
            <w:noWrap/>
            <w:hideMark/>
          </w:tcPr>
          <w:p w14:paraId="23C773E7" w14:textId="77777777" w:rsidR="0095697F" w:rsidRPr="00AD5F47" w:rsidRDefault="0095697F" w:rsidP="00A47A7E">
            <w:pPr>
              <w:rPr>
                <w:color w:val="000000"/>
                <w:sz w:val="20"/>
              </w:rPr>
            </w:pPr>
            <w:r w:rsidRPr="00AD5F47">
              <w:rPr>
                <w:color w:val="000000"/>
                <w:sz w:val="20"/>
              </w:rPr>
              <w:t>Expert Judgment</w:t>
            </w:r>
          </w:p>
        </w:tc>
      </w:tr>
      <w:tr w:rsidR="0095697F" w:rsidRPr="00AD5F47" w14:paraId="1A7793A7" w14:textId="77777777" w:rsidTr="00A47A7E">
        <w:trPr>
          <w:trHeight w:val="227"/>
        </w:trPr>
        <w:tc>
          <w:tcPr>
            <w:tcW w:w="510" w:type="pct"/>
            <w:tcBorders>
              <w:top w:val="nil"/>
              <w:left w:val="nil"/>
              <w:bottom w:val="nil"/>
              <w:right w:val="nil"/>
            </w:tcBorders>
            <w:shd w:val="clear" w:color="auto" w:fill="auto"/>
            <w:noWrap/>
            <w:hideMark/>
          </w:tcPr>
          <w:p w14:paraId="2AD7928E"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2B1E2A4D" w14:textId="77777777" w:rsidR="0095697F" w:rsidRPr="00AD5F47" w:rsidRDefault="0095697F" w:rsidP="00A47A7E">
            <w:pPr>
              <w:rPr>
                <w:color w:val="000000"/>
                <w:sz w:val="20"/>
              </w:rPr>
            </w:pPr>
            <w:r w:rsidRPr="00AD5F47">
              <w:rPr>
                <w:color w:val="000000"/>
                <w:sz w:val="20"/>
              </w:rPr>
              <w:t>Maximum recovery cranes TC</w:t>
            </w:r>
          </w:p>
        </w:tc>
        <w:tc>
          <w:tcPr>
            <w:tcW w:w="1837" w:type="pct"/>
            <w:tcBorders>
              <w:top w:val="nil"/>
              <w:left w:val="nil"/>
              <w:bottom w:val="nil"/>
              <w:right w:val="nil"/>
            </w:tcBorders>
            <w:shd w:val="clear" w:color="auto" w:fill="auto"/>
            <w:noWrap/>
            <w:hideMark/>
          </w:tcPr>
          <w:p w14:paraId="3F49A836" w14:textId="77777777" w:rsidR="0095697F" w:rsidRPr="00AD5F47" w:rsidRDefault="0095697F" w:rsidP="00A47A7E">
            <w:pPr>
              <w:rPr>
                <w:color w:val="000000"/>
                <w:sz w:val="20"/>
              </w:rPr>
            </w:pPr>
            <w:r w:rsidRPr="00AD5F47">
              <w:rPr>
                <w:color w:val="000000"/>
                <w:sz w:val="20"/>
              </w:rPr>
              <w:t>Maximum downtime when cranes are destroyed by TC (#days)</w:t>
            </w:r>
          </w:p>
        </w:tc>
        <w:tc>
          <w:tcPr>
            <w:tcW w:w="407" w:type="pct"/>
            <w:tcBorders>
              <w:top w:val="nil"/>
              <w:left w:val="nil"/>
              <w:bottom w:val="nil"/>
              <w:right w:val="nil"/>
            </w:tcBorders>
            <w:shd w:val="clear" w:color="auto" w:fill="auto"/>
            <w:noWrap/>
            <w:hideMark/>
          </w:tcPr>
          <w:p w14:paraId="07C6EA1A" w14:textId="77777777" w:rsidR="0095697F" w:rsidRPr="00AD5F47" w:rsidRDefault="0095697F" w:rsidP="00A47A7E">
            <w:pPr>
              <w:rPr>
                <w:color w:val="000000"/>
                <w:sz w:val="20"/>
              </w:rPr>
            </w:pPr>
            <w:r w:rsidRPr="00AD5F47">
              <w:rPr>
                <w:color w:val="000000"/>
                <w:sz w:val="20"/>
              </w:rPr>
              <w:t>200</w:t>
            </w:r>
          </w:p>
        </w:tc>
        <w:tc>
          <w:tcPr>
            <w:tcW w:w="306" w:type="pct"/>
            <w:tcBorders>
              <w:top w:val="nil"/>
              <w:left w:val="nil"/>
              <w:bottom w:val="nil"/>
              <w:right w:val="nil"/>
            </w:tcBorders>
            <w:shd w:val="clear" w:color="auto" w:fill="auto"/>
            <w:noWrap/>
            <w:hideMark/>
          </w:tcPr>
          <w:p w14:paraId="750F89AF" w14:textId="77777777" w:rsidR="0095697F" w:rsidRPr="00AD5F47" w:rsidRDefault="0095697F" w:rsidP="00A47A7E">
            <w:pPr>
              <w:rPr>
                <w:color w:val="000000"/>
                <w:sz w:val="20"/>
              </w:rPr>
            </w:pPr>
            <w:r w:rsidRPr="00AD5F47">
              <w:rPr>
                <w:color w:val="000000"/>
                <w:sz w:val="20"/>
              </w:rPr>
              <w:t>150</w:t>
            </w:r>
          </w:p>
        </w:tc>
        <w:tc>
          <w:tcPr>
            <w:tcW w:w="306" w:type="pct"/>
            <w:tcBorders>
              <w:top w:val="nil"/>
              <w:left w:val="nil"/>
              <w:bottom w:val="nil"/>
              <w:right w:val="nil"/>
            </w:tcBorders>
            <w:shd w:val="clear" w:color="auto" w:fill="auto"/>
            <w:noWrap/>
            <w:hideMark/>
          </w:tcPr>
          <w:p w14:paraId="7021FF26" w14:textId="77777777" w:rsidR="0095697F" w:rsidRPr="00AD5F47" w:rsidRDefault="0095697F" w:rsidP="00A47A7E">
            <w:pPr>
              <w:rPr>
                <w:color w:val="000000"/>
                <w:sz w:val="20"/>
              </w:rPr>
            </w:pPr>
            <w:r w:rsidRPr="00AD5F47">
              <w:rPr>
                <w:color w:val="000000"/>
                <w:sz w:val="20"/>
              </w:rPr>
              <w:t>250</w:t>
            </w:r>
          </w:p>
        </w:tc>
        <w:tc>
          <w:tcPr>
            <w:tcW w:w="613" w:type="pct"/>
            <w:tcBorders>
              <w:top w:val="nil"/>
              <w:left w:val="nil"/>
              <w:bottom w:val="nil"/>
              <w:right w:val="nil"/>
            </w:tcBorders>
            <w:shd w:val="clear" w:color="auto" w:fill="auto"/>
            <w:noWrap/>
            <w:hideMark/>
          </w:tcPr>
          <w:p w14:paraId="63464951" w14:textId="77777777" w:rsidR="0095697F" w:rsidRPr="00AD5F47" w:rsidRDefault="0095697F" w:rsidP="00A47A7E">
            <w:pPr>
              <w:rPr>
                <w:color w:val="000000"/>
                <w:sz w:val="20"/>
              </w:rPr>
            </w:pPr>
            <w:r w:rsidRPr="00AD5F47">
              <w:rPr>
                <w:color w:val="000000"/>
                <w:sz w:val="20"/>
              </w:rPr>
              <w:t>Expert Judgment</w:t>
            </w:r>
          </w:p>
        </w:tc>
      </w:tr>
      <w:tr w:rsidR="0095697F" w:rsidRPr="00AD5F47" w14:paraId="4B5D54EF" w14:textId="77777777" w:rsidTr="00A47A7E">
        <w:trPr>
          <w:trHeight w:val="227"/>
        </w:trPr>
        <w:tc>
          <w:tcPr>
            <w:tcW w:w="510" w:type="pct"/>
            <w:tcBorders>
              <w:top w:val="nil"/>
              <w:left w:val="nil"/>
              <w:bottom w:val="nil"/>
              <w:right w:val="nil"/>
            </w:tcBorders>
            <w:shd w:val="clear" w:color="auto" w:fill="auto"/>
            <w:noWrap/>
            <w:hideMark/>
          </w:tcPr>
          <w:p w14:paraId="78681E5E"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4D61FEE6" w14:textId="77777777" w:rsidR="0095697F" w:rsidRPr="00AD5F47" w:rsidRDefault="0095697F" w:rsidP="00A47A7E">
            <w:pPr>
              <w:rPr>
                <w:color w:val="000000"/>
                <w:sz w:val="20"/>
              </w:rPr>
            </w:pPr>
            <w:r w:rsidRPr="00AD5F47">
              <w:rPr>
                <w:color w:val="000000"/>
                <w:sz w:val="20"/>
              </w:rPr>
              <w:t>Maximum recovery electricity  TC</w:t>
            </w:r>
          </w:p>
        </w:tc>
        <w:tc>
          <w:tcPr>
            <w:tcW w:w="1837" w:type="pct"/>
            <w:tcBorders>
              <w:top w:val="nil"/>
              <w:left w:val="nil"/>
              <w:bottom w:val="nil"/>
              <w:right w:val="nil"/>
            </w:tcBorders>
            <w:shd w:val="clear" w:color="auto" w:fill="auto"/>
            <w:noWrap/>
            <w:hideMark/>
          </w:tcPr>
          <w:p w14:paraId="437C960C" w14:textId="77777777" w:rsidR="0095697F" w:rsidRPr="00AD5F47" w:rsidRDefault="0095697F" w:rsidP="00A47A7E">
            <w:pPr>
              <w:rPr>
                <w:color w:val="000000"/>
                <w:sz w:val="20"/>
              </w:rPr>
            </w:pPr>
            <w:r w:rsidRPr="00AD5F47">
              <w:rPr>
                <w:color w:val="000000"/>
                <w:sz w:val="20"/>
              </w:rPr>
              <w:t>Maximum downtime when transmission lines  are destroyed by TC (#days)</w:t>
            </w:r>
          </w:p>
        </w:tc>
        <w:tc>
          <w:tcPr>
            <w:tcW w:w="407" w:type="pct"/>
            <w:tcBorders>
              <w:top w:val="nil"/>
              <w:left w:val="nil"/>
              <w:bottom w:val="nil"/>
              <w:right w:val="nil"/>
            </w:tcBorders>
            <w:shd w:val="clear" w:color="auto" w:fill="auto"/>
            <w:noWrap/>
            <w:hideMark/>
          </w:tcPr>
          <w:p w14:paraId="1D9511B2" w14:textId="77777777" w:rsidR="0095697F" w:rsidRPr="00AD5F47" w:rsidRDefault="0095697F" w:rsidP="00A47A7E">
            <w:pPr>
              <w:rPr>
                <w:color w:val="000000"/>
                <w:sz w:val="20"/>
              </w:rPr>
            </w:pPr>
            <w:r w:rsidRPr="00AD5F47">
              <w:rPr>
                <w:color w:val="000000"/>
                <w:sz w:val="20"/>
              </w:rPr>
              <w:t>30</w:t>
            </w:r>
          </w:p>
        </w:tc>
        <w:tc>
          <w:tcPr>
            <w:tcW w:w="306" w:type="pct"/>
            <w:tcBorders>
              <w:top w:val="nil"/>
              <w:left w:val="nil"/>
              <w:bottom w:val="nil"/>
              <w:right w:val="nil"/>
            </w:tcBorders>
            <w:shd w:val="clear" w:color="auto" w:fill="auto"/>
            <w:noWrap/>
            <w:hideMark/>
          </w:tcPr>
          <w:p w14:paraId="7AD48A24" w14:textId="77777777" w:rsidR="0095697F" w:rsidRPr="00AD5F47" w:rsidRDefault="0095697F" w:rsidP="00A47A7E">
            <w:pPr>
              <w:rPr>
                <w:color w:val="000000"/>
                <w:sz w:val="20"/>
              </w:rPr>
            </w:pPr>
            <w:r w:rsidRPr="00AD5F47">
              <w:rPr>
                <w:color w:val="000000"/>
                <w:sz w:val="20"/>
              </w:rPr>
              <w:t>25</w:t>
            </w:r>
          </w:p>
        </w:tc>
        <w:tc>
          <w:tcPr>
            <w:tcW w:w="306" w:type="pct"/>
            <w:tcBorders>
              <w:top w:val="nil"/>
              <w:left w:val="nil"/>
              <w:bottom w:val="nil"/>
              <w:right w:val="nil"/>
            </w:tcBorders>
            <w:shd w:val="clear" w:color="auto" w:fill="auto"/>
            <w:noWrap/>
            <w:hideMark/>
          </w:tcPr>
          <w:p w14:paraId="46C474EC" w14:textId="77777777" w:rsidR="0095697F" w:rsidRPr="00AD5F47" w:rsidRDefault="0095697F" w:rsidP="00A47A7E">
            <w:pPr>
              <w:rPr>
                <w:color w:val="000000"/>
                <w:sz w:val="20"/>
              </w:rPr>
            </w:pPr>
            <w:r w:rsidRPr="00AD5F47">
              <w:rPr>
                <w:color w:val="000000"/>
                <w:sz w:val="20"/>
              </w:rPr>
              <w:t>35</w:t>
            </w:r>
          </w:p>
        </w:tc>
        <w:tc>
          <w:tcPr>
            <w:tcW w:w="613" w:type="pct"/>
            <w:tcBorders>
              <w:top w:val="nil"/>
              <w:left w:val="nil"/>
              <w:bottom w:val="nil"/>
              <w:right w:val="nil"/>
            </w:tcBorders>
            <w:shd w:val="clear" w:color="auto" w:fill="auto"/>
            <w:noWrap/>
            <w:hideMark/>
          </w:tcPr>
          <w:p w14:paraId="79C666A9" w14:textId="77777777" w:rsidR="0095697F" w:rsidRPr="00AD5F47" w:rsidRDefault="0095697F" w:rsidP="00A47A7E">
            <w:pPr>
              <w:rPr>
                <w:color w:val="000000"/>
                <w:sz w:val="20"/>
              </w:rPr>
            </w:pPr>
            <w:r w:rsidRPr="00AD5F47">
              <w:rPr>
                <w:color w:val="000000"/>
                <w:sz w:val="20"/>
              </w:rPr>
              <w:t>Expert Judgment</w:t>
            </w:r>
          </w:p>
        </w:tc>
      </w:tr>
      <w:tr w:rsidR="0095697F" w:rsidRPr="00AD5F47" w14:paraId="1ABBBB08" w14:textId="77777777" w:rsidTr="00A47A7E">
        <w:trPr>
          <w:trHeight w:val="227"/>
        </w:trPr>
        <w:tc>
          <w:tcPr>
            <w:tcW w:w="510" w:type="pct"/>
            <w:tcBorders>
              <w:top w:val="nil"/>
              <w:left w:val="nil"/>
              <w:bottom w:val="single" w:sz="4" w:space="0" w:color="auto"/>
              <w:right w:val="nil"/>
            </w:tcBorders>
            <w:shd w:val="clear" w:color="auto" w:fill="auto"/>
            <w:noWrap/>
            <w:hideMark/>
          </w:tcPr>
          <w:p w14:paraId="56903242" w14:textId="77777777" w:rsidR="0095697F" w:rsidRPr="00AD5F47" w:rsidRDefault="0095697F" w:rsidP="00A47A7E">
            <w:pPr>
              <w:rPr>
                <w:color w:val="000000"/>
                <w:sz w:val="20"/>
              </w:rPr>
            </w:pPr>
            <w:r w:rsidRPr="00AD5F47">
              <w:rPr>
                <w:color w:val="000000"/>
                <w:sz w:val="20"/>
              </w:rPr>
              <w:t> </w:t>
            </w:r>
          </w:p>
        </w:tc>
        <w:tc>
          <w:tcPr>
            <w:tcW w:w="1021" w:type="pct"/>
            <w:tcBorders>
              <w:top w:val="nil"/>
              <w:left w:val="nil"/>
              <w:bottom w:val="single" w:sz="4" w:space="0" w:color="auto"/>
              <w:right w:val="nil"/>
            </w:tcBorders>
            <w:shd w:val="clear" w:color="auto" w:fill="auto"/>
            <w:noWrap/>
            <w:hideMark/>
          </w:tcPr>
          <w:p w14:paraId="74E4FB38" w14:textId="77777777" w:rsidR="0095697F" w:rsidRPr="00AD5F47" w:rsidRDefault="0095697F" w:rsidP="00A47A7E">
            <w:pPr>
              <w:rPr>
                <w:color w:val="000000"/>
                <w:sz w:val="20"/>
              </w:rPr>
            </w:pPr>
            <w:r w:rsidRPr="00AD5F47">
              <w:rPr>
                <w:color w:val="000000"/>
                <w:sz w:val="20"/>
              </w:rPr>
              <w:t>Maximum recovery power plant  TC</w:t>
            </w:r>
          </w:p>
        </w:tc>
        <w:tc>
          <w:tcPr>
            <w:tcW w:w="1837" w:type="pct"/>
            <w:tcBorders>
              <w:top w:val="nil"/>
              <w:left w:val="nil"/>
              <w:bottom w:val="single" w:sz="4" w:space="0" w:color="auto"/>
              <w:right w:val="nil"/>
            </w:tcBorders>
            <w:shd w:val="clear" w:color="auto" w:fill="auto"/>
            <w:noWrap/>
            <w:hideMark/>
          </w:tcPr>
          <w:p w14:paraId="0F868D1B" w14:textId="77777777" w:rsidR="0095697F" w:rsidRPr="00AD5F47" w:rsidRDefault="0095697F" w:rsidP="00A47A7E">
            <w:pPr>
              <w:rPr>
                <w:color w:val="000000"/>
                <w:sz w:val="20"/>
              </w:rPr>
            </w:pPr>
            <w:r w:rsidRPr="00AD5F47">
              <w:rPr>
                <w:color w:val="000000"/>
                <w:sz w:val="20"/>
              </w:rPr>
              <w:t>Maximum downtime when power plants are destroyed by TC (#days)</w:t>
            </w:r>
          </w:p>
        </w:tc>
        <w:tc>
          <w:tcPr>
            <w:tcW w:w="407" w:type="pct"/>
            <w:tcBorders>
              <w:top w:val="nil"/>
              <w:left w:val="nil"/>
              <w:bottom w:val="single" w:sz="4" w:space="0" w:color="auto"/>
              <w:right w:val="nil"/>
            </w:tcBorders>
            <w:shd w:val="clear" w:color="auto" w:fill="auto"/>
            <w:noWrap/>
            <w:hideMark/>
          </w:tcPr>
          <w:p w14:paraId="37DFFEBB" w14:textId="77777777" w:rsidR="0095697F" w:rsidRPr="00AD5F47" w:rsidRDefault="0095697F" w:rsidP="00A47A7E">
            <w:pPr>
              <w:rPr>
                <w:color w:val="000000"/>
                <w:sz w:val="20"/>
              </w:rPr>
            </w:pPr>
            <w:r w:rsidRPr="00AD5F47">
              <w:rPr>
                <w:color w:val="000000"/>
                <w:sz w:val="20"/>
              </w:rPr>
              <w:t>50</w:t>
            </w:r>
          </w:p>
        </w:tc>
        <w:tc>
          <w:tcPr>
            <w:tcW w:w="306" w:type="pct"/>
            <w:tcBorders>
              <w:top w:val="nil"/>
              <w:left w:val="nil"/>
              <w:bottom w:val="single" w:sz="4" w:space="0" w:color="auto"/>
              <w:right w:val="nil"/>
            </w:tcBorders>
            <w:shd w:val="clear" w:color="auto" w:fill="auto"/>
            <w:noWrap/>
            <w:hideMark/>
          </w:tcPr>
          <w:p w14:paraId="273C0F12" w14:textId="77777777" w:rsidR="0095697F" w:rsidRPr="00AD5F47" w:rsidRDefault="0095697F" w:rsidP="00A47A7E">
            <w:pPr>
              <w:rPr>
                <w:color w:val="000000"/>
                <w:sz w:val="20"/>
              </w:rPr>
            </w:pPr>
            <w:r w:rsidRPr="00AD5F47">
              <w:rPr>
                <w:color w:val="000000"/>
                <w:sz w:val="20"/>
              </w:rPr>
              <w:t>40</w:t>
            </w:r>
          </w:p>
        </w:tc>
        <w:tc>
          <w:tcPr>
            <w:tcW w:w="306" w:type="pct"/>
            <w:tcBorders>
              <w:top w:val="nil"/>
              <w:left w:val="nil"/>
              <w:bottom w:val="single" w:sz="4" w:space="0" w:color="auto"/>
              <w:right w:val="nil"/>
            </w:tcBorders>
            <w:shd w:val="clear" w:color="auto" w:fill="auto"/>
            <w:noWrap/>
            <w:hideMark/>
          </w:tcPr>
          <w:p w14:paraId="461AF5CA" w14:textId="77777777" w:rsidR="0095697F" w:rsidRPr="00AD5F47" w:rsidRDefault="0095697F" w:rsidP="00A47A7E">
            <w:pPr>
              <w:rPr>
                <w:color w:val="000000"/>
                <w:sz w:val="20"/>
              </w:rPr>
            </w:pPr>
            <w:r w:rsidRPr="00AD5F47">
              <w:rPr>
                <w:color w:val="000000"/>
                <w:sz w:val="20"/>
              </w:rPr>
              <w:t>60</w:t>
            </w:r>
          </w:p>
        </w:tc>
        <w:tc>
          <w:tcPr>
            <w:tcW w:w="613" w:type="pct"/>
            <w:tcBorders>
              <w:top w:val="nil"/>
              <w:left w:val="nil"/>
              <w:bottom w:val="single" w:sz="4" w:space="0" w:color="auto"/>
              <w:right w:val="nil"/>
            </w:tcBorders>
            <w:shd w:val="clear" w:color="auto" w:fill="auto"/>
            <w:noWrap/>
            <w:hideMark/>
          </w:tcPr>
          <w:p w14:paraId="13540E78" w14:textId="77777777" w:rsidR="0095697F" w:rsidRPr="00AD5F47" w:rsidRDefault="0095697F" w:rsidP="00A47A7E">
            <w:pPr>
              <w:rPr>
                <w:color w:val="000000"/>
                <w:sz w:val="20"/>
              </w:rPr>
            </w:pPr>
            <w:r w:rsidRPr="00AD5F47">
              <w:rPr>
                <w:color w:val="000000"/>
                <w:sz w:val="20"/>
              </w:rPr>
              <w:t>Expert Judgment</w:t>
            </w:r>
          </w:p>
        </w:tc>
      </w:tr>
      <w:tr w:rsidR="0095697F" w:rsidRPr="00AD5F47" w14:paraId="1D0A9BD7" w14:textId="77777777" w:rsidTr="00A47A7E">
        <w:trPr>
          <w:trHeight w:val="227"/>
        </w:trPr>
        <w:tc>
          <w:tcPr>
            <w:tcW w:w="510" w:type="pct"/>
            <w:tcBorders>
              <w:top w:val="nil"/>
              <w:left w:val="nil"/>
              <w:bottom w:val="nil"/>
              <w:right w:val="nil"/>
            </w:tcBorders>
            <w:shd w:val="clear" w:color="auto" w:fill="auto"/>
            <w:noWrap/>
            <w:hideMark/>
          </w:tcPr>
          <w:p w14:paraId="2F02E68B" w14:textId="77777777" w:rsidR="0095697F" w:rsidRPr="00AD5F47" w:rsidRDefault="0095697F" w:rsidP="00A47A7E">
            <w:pPr>
              <w:rPr>
                <w:color w:val="000000"/>
                <w:sz w:val="20"/>
              </w:rPr>
            </w:pPr>
            <w:r w:rsidRPr="00AD5F47">
              <w:rPr>
                <w:color w:val="000000"/>
                <w:sz w:val="20"/>
              </w:rPr>
              <w:t>Logistics losses</w:t>
            </w:r>
          </w:p>
        </w:tc>
        <w:tc>
          <w:tcPr>
            <w:tcW w:w="1021" w:type="pct"/>
            <w:tcBorders>
              <w:top w:val="nil"/>
              <w:left w:val="nil"/>
              <w:bottom w:val="nil"/>
              <w:right w:val="nil"/>
            </w:tcBorders>
            <w:shd w:val="clear" w:color="auto" w:fill="auto"/>
            <w:noWrap/>
            <w:hideMark/>
          </w:tcPr>
          <w:p w14:paraId="1D5324A9" w14:textId="77777777" w:rsidR="0095697F" w:rsidRPr="00AD5F47" w:rsidRDefault="0095697F" w:rsidP="00A47A7E">
            <w:pPr>
              <w:rPr>
                <w:color w:val="000000"/>
                <w:sz w:val="20"/>
              </w:rPr>
            </w:pPr>
            <w:r w:rsidRPr="00AD5F47">
              <w:rPr>
                <w:color w:val="000000"/>
                <w:sz w:val="20"/>
              </w:rPr>
              <w:t>Freight rate</w:t>
            </w:r>
          </w:p>
        </w:tc>
        <w:tc>
          <w:tcPr>
            <w:tcW w:w="1837" w:type="pct"/>
            <w:tcBorders>
              <w:top w:val="nil"/>
              <w:left w:val="nil"/>
              <w:bottom w:val="nil"/>
              <w:right w:val="nil"/>
            </w:tcBorders>
            <w:shd w:val="clear" w:color="auto" w:fill="auto"/>
            <w:noWrap/>
            <w:hideMark/>
          </w:tcPr>
          <w:p w14:paraId="19B229C9" w14:textId="77777777" w:rsidR="0095697F" w:rsidRPr="00AD5F47" w:rsidRDefault="0095697F" w:rsidP="00A47A7E">
            <w:pPr>
              <w:rPr>
                <w:color w:val="000000"/>
                <w:sz w:val="20"/>
              </w:rPr>
            </w:pPr>
            <w:r w:rsidRPr="00AD5F47">
              <w:rPr>
                <w:color w:val="000000"/>
                <w:sz w:val="20"/>
              </w:rPr>
              <w:t>Freight rate in USD per tonnes</w:t>
            </w:r>
          </w:p>
        </w:tc>
        <w:tc>
          <w:tcPr>
            <w:tcW w:w="407" w:type="pct"/>
            <w:tcBorders>
              <w:top w:val="nil"/>
              <w:left w:val="nil"/>
              <w:bottom w:val="nil"/>
              <w:right w:val="nil"/>
            </w:tcBorders>
            <w:shd w:val="clear" w:color="auto" w:fill="auto"/>
            <w:noWrap/>
            <w:hideMark/>
          </w:tcPr>
          <w:p w14:paraId="62F9B4F2" w14:textId="77777777" w:rsidR="0095697F" w:rsidRPr="00AD5F47" w:rsidRDefault="0095697F" w:rsidP="00A47A7E">
            <w:pPr>
              <w:rPr>
                <w:color w:val="000000"/>
                <w:sz w:val="20"/>
              </w:rPr>
            </w:pPr>
            <w:r w:rsidRPr="00AD5F47">
              <w:rPr>
                <w:color w:val="000000"/>
                <w:sz w:val="20"/>
              </w:rPr>
              <w:t>1.0</w:t>
            </w:r>
          </w:p>
        </w:tc>
        <w:tc>
          <w:tcPr>
            <w:tcW w:w="306" w:type="pct"/>
            <w:tcBorders>
              <w:top w:val="nil"/>
              <w:left w:val="nil"/>
              <w:bottom w:val="nil"/>
              <w:right w:val="nil"/>
            </w:tcBorders>
            <w:shd w:val="clear" w:color="auto" w:fill="auto"/>
            <w:noWrap/>
            <w:hideMark/>
          </w:tcPr>
          <w:p w14:paraId="209F9935" w14:textId="77777777" w:rsidR="0095697F" w:rsidRPr="00AD5F47" w:rsidRDefault="0095697F" w:rsidP="00A47A7E">
            <w:pPr>
              <w:rPr>
                <w:color w:val="000000"/>
                <w:sz w:val="20"/>
              </w:rPr>
            </w:pPr>
            <w:r w:rsidRPr="00AD5F47">
              <w:rPr>
                <w:color w:val="000000"/>
                <w:sz w:val="20"/>
              </w:rPr>
              <w:t>0.5</w:t>
            </w:r>
          </w:p>
        </w:tc>
        <w:tc>
          <w:tcPr>
            <w:tcW w:w="306" w:type="pct"/>
            <w:tcBorders>
              <w:top w:val="nil"/>
              <w:left w:val="nil"/>
              <w:bottom w:val="nil"/>
              <w:right w:val="nil"/>
            </w:tcBorders>
            <w:shd w:val="clear" w:color="auto" w:fill="auto"/>
            <w:noWrap/>
            <w:hideMark/>
          </w:tcPr>
          <w:p w14:paraId="25C5524F" w14:textId="77777777" w:rsidR="0095697F" w:rsidRPr="00AD5F47" w:rsidRDefault="0095697F" w:rsidP="00A47A7E">
            <w:pPr>
              <w:rPr>
                <w:color w:val="000000"/>
                <w:sz w:val="20"/>
              </w:rPr>
            </w:pPr>
            <w:r w:rsidRPr="00AD5F47">
              <w:rPr>
                <w:color w:val="000000"/>
                <w:sz w:val="20"/>
              </w:rPr>
              <w:t>1.5</w:t>
            </w:r>
          </w:p>
        </w:tc>
        <w:tc>
          <w:tcPr>
            <w:tcW w:w="613" w:type="pct"/>
            <w:tcBorders>
              <w:top w:val="nil"/>
              <w:left w:val="nil"/>
              <w:bottom w:val="nil"/>
              <w:right w:val="nil"/>
            </w:tcBorders>
            <w:shd w:val="clear" w:color="auto" w:fill="auto"/>
            <w:noWrap/>
            <w:hideMark/>
          </w:tcPr>
          <w:p w14:paraId="1DF36230" w14:textId="65C6D87C"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{"citationItems":[{"id":"ITEM-1","itemData":{"DOI":"10.1016/j.ijdrr.2020.101719","ISSN":"22124209","abstract":"The impact of a port disruption can reverberate across the entire economy through global supply chains. It is essential to ensure the regular operation of seaborne transportation considering all risks. Climate events create challenging risks that need to be carefully addressed. This paper proposes an approach to evaluate the economic losses due to port disruptions caused by typhoon-induced wind disasters. Four Chinese ports and their historical typhoon and cargo throughput data from 2007 to 2017 are taken as examples. A wind model is introduced to analyze the wind fields of typhoons. The likelihood of port disruption is then estimated based on the simulated wind field results at each port. Based on the estimated number of port disruption days and daily cargo throughput, the total economic loss of each port is calculated by considering the reputational loss, loss to the shippers, loss to the carriers, and loss to the ports. Finally, the economic impact of port disruption caused by the typhoon-induced wind disasters on port operations in China is discussed. The results suggest that both the disruption time and throughput are critical in economic estimations and the major component of the overall cost is the loss to the shippers. The proposed method directly reflects the typhoon-induced wind disaster-related risks quantitatively encountered at ports, which could help port managers make optimal decisions in controlling port operations.","author":[{"dropping-particle":"","family":"Zhang","given":"Yi","non-dropping-particle":"","parse-names":false,"suffix":""},{"dropping-particle":"","family":"Wei","given":"Kai","non-dropping-particle":"","parse-names":false,"suffix":""},{"dropping-particle":"","family":"Shen","given":"Zhonghui","non-dropping-particle":"","parse-names":false,"suffix":""},{"dropping-particle":"","family":"Bai","given":"Xiwen","non-dropping-particle":"","parse-names":false,"suffix":""},{"dropping-particle":"","family":"Lu","given":"Xinzheng","non-dropping-particle":"","parse-names":false,"suffix":""},{"dropping-particle":"","family":"Soares","given":"Carlos Guedes","non-dropping-particle":"","parse-names":false,"suffix":""}],"container-title":"International Journal of Disaster Risk Reduction","id":"ITEM-1","issue":"111","issued":{"date-parts":[["2020","11"]]},"page":"101719","publisher":"Elsevier Ltd","title":"Economic impact of typhoon-induced wind disasters on port operations: A case study of ports in China","type":"article-journal","volume":"50"},"uris":["http://www.mendeley.com/documents/?uuid=cdaf4595-ea59-48ed-b634-beca75e78787"]}],"mendeley":{"formattedCitation":"&lt;sup&gt;35&lt;/sup&gt;","plainTextFormattedCitation":"35","previouslyFormattedCitation":"(&lt;i&gt;35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35</w:t>
            </w:r>
            <w:r w:rsidRPr="00AD5F47">
              <w:rPr>
                <w:color w:val="000000"/>
                <w:sz w:val="20"/>
              </w:rPr>
              <w:fldChar w:fldCharType="end"/>
            </w:r>
          </w:p>
        </w:tc>
      </w:tr>
      <w:tr w:rsidR="0095697F" w:rsidRPr="00AD5F47" w14:paraId="4B68324A" w14:textId="77777777" w:rsidTr="00A47A7E">
        <w:trPr>
          <w:trHeight w:val="227"/>
        </w:trPr>
        <w:tc>
          <w:tcPr>
            <w:tcW w:w="510" w:type="pct"/>
            <w:tcBorders>
              <w:top w:val="nil"/>
              <w:left w:val="nil"/>
              <w:bottom w:val="nil"/>
              <w:right w:val="nil"/>
            </w:tcBorders>
            <w:shd w:val="clear" w:color="auto" w:fill="auto"/>
            <w:noWrap/>
            <w:hideMark/>
          </w:tcPr>
          <w:p w14:paraId="3B0936C3"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6B869E65" w14:textId="77777777" w:rsidR="0095697F" w:rsidRPr="00AD5F47" w:rsidRDefault="0095697F" w:rsidP="00A47A7E">
            <w:pPr>
              <w:rPr>
                <w:color w:val="000000"/>
                <w:sz w:val="20"/>
              </w:rPr>
            </w:pPr>
            <w:r w:rsidRPr="00AD5F47">
              <w:rPr>
                <w:color w:val="000000"/>
                <w:sz w:val="20"/>
              </w:rPr>
              <w:t>Port charge</w:t>
            </w:r>
          </w:p>
        </w:tc>
        <w:tc>
          <w:tcPr>
            <w:tcW w:w="1837" w:type="pct"/>
            <w:tcBorders>
              <w:top w:val="nil"/>
              <w:left w:val="nil"/>
              <w:bottom w:val="nil"/>
              <w:right w:val="nil"/>
            </w:tcBorders>
            <w:shd w:val="clear" w:color="auto" w:fill="auto"/>
            <w:noWrap/>
            <w:hideMark/>
          </w:tcPr>
          <w:p w14:paraId="26777471" w14:textId="77777777" w:rsidR="0095697F" w:rsidRPr="00AD5F47" w:rsidRDefault="0095697F" w:rsidP="00A47A7E">
            <w:pPr>
              <w:rPr>
                <w:color w:val="000000"/>
                <w:sz w:val="20"/>
              </w:rPr>
            </w:pPr>
            <w:r w:rsidRPr="00AD5F47">
              <w:rPr>
                <w:color w:val="000000"/>
                <w:sz w:val="20"/>
              </w:rPr>
              <w:t>Port charge to load/unload freight in USD per tonnes</w:t>
            </w:r>
          </w:p>
        </w:tc>
        <w:tc>
          <w:tcPr>
            <w:tcW w:w="407" w:type="pct"/>
            <w:tcBorders>
              <w:top w:val="nil"/>
              <w:left w:val="nil"/>
              <w:bottom w:val="nil"/>
              <w:right w:val="nil"/>
            </w:tcBorders>
            <w:shd w:val="clear" w:color="auto" w:fill="auto"/>
            <w:noWrap/>
            <w:hideMark/>
          </w:tcPr>
          <w:p w14:paraId="4FBACE52" w14:textId="77777777" w:rsidR="0095697F" w:rsidRPr="00AD5F47" w:rsidRDefault="0095697F" w:rsidP="00A47A7E">
            <w:pPr>
              <w:rPr>
                <w:color w:val="000000"/>
                <w:sz w:val="20"/>
              </w:rPr>
            </w:pPr>
            <w:r w:rsidRPr="00AD5F47">
              <w:rPr>
                <w:color w:val="000000"/>
                <w:sz w:val="20"/>
              </w:rPr>
              <w:t>5.5</w:t>
            </w:r>
          </w:p>
        </w:tc>
        <w:tc>
          <w:tcPr>
            <w:tcW w:w="306" w:type="pct"/>
            <w:tcBorders>
              <w:top w:val="nil"/>
              <w:left w:val="nil"/>
              <w:bottom w:val="nil"/>
              <w:right w:val="nil"/>
            </w:tcBorders>
            <w:shd w:val="clear" w:color="auto" w:fill="auto"/>
            <w:noWrap/>
            <w:hideMark/>
          </w:tcPr>
          <w:p w14:paraId="4C89ED44" w14:textId="77777777" w:rsidR="0095697F" w:rsidRPr="00AD5F47" w:rsidRDefault="0095697F" w:rsidP="00A47A7E">
            <w:pPr>
              <w:rPr>
                <w:color w:val="000000"/>
                <w:sz w:val="20"/>
              </w:rPr>
            </w:pPr>
            <w:r w:rsidRPr="00AD5F47">
              <w:rPr>
                <w:color w:val="000000"/>
                <w:sz w:val="20"/>
              </w:rPr>
              <w:t>1.0</w:t>
            </w:r>
          </w:p>
        </w:tc>
        <w:tc>
          <w:tcPr>
            <w:tcW w:w="306" w:type="pct"/>
            <w:tcBorders>
              <w:top w:val="nil"/>
              <w:left w:val="nil"/>
              <w:bottom w:val="nil"/>
              <w:right w:val="nil"/>
            </w:tcBorders>
            <w:shd w:val="clear" w:color="auto" w:fill="auto"/>
            <w:noWrap/>
            <w:hideMark/>
          </w:tcPr>
          <w:p w14:paraId="62601C7F" w14:textId="77777777" w:rsidR="0095697F" w:rsidRPr="00AD5F47" w:rsidRDefault="0095697F" w:rsidP="00A47A7E">
            <w:pPr>
              <w:rPr>
                <w:color w:val="000000"/>
                <w:sz w:val="20"/>
              </w:rPr>
            </w:pPr>
            <w:r w:rsidRPr="00AD5F47">
              <w:rPr>
                <w:color w:val="000000"/>
                <w:sz w:val="20"/>
              </w:rPr>
              <w:t>10.0</w:t>
            </w:r>
          </w:p>
        </w:tc>
        <w:tc>
          <w:tcPr>
            <w:tcW w:w="613" w:type="pct"/>
            <w:tcBorders>
              <w:top w:val="nil"/>
              <w:left w:val="nil"/>
              <w:bottom w:val="nil"/>
              <w:right w:val="nil"/>
            </w:tcBorders>
            <w:shd w:val="clear" w:color="auto" w:fill="auto"/>
            <w:noWrap/>
            <w:hideMark/>
          </w:tcPr>
          <w:p w14:paraId="1C322954" w14:textId="4C1CB15E"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{"citationItems":[{"id":"ITEM-1","itemData":{"DOI":"10.1016/j.ijdrr.2020.101719","ISSN":"22124209","abstract":"The impact of a port disruption can reverberate across the entire economy through global supply chains. It is essential to ensure the regular operation of seaborne transportation considering all risks. Climate events create challenging risks that need to be carefully addressed. This paper proposes an approach to evaluate the economic losses due to port disruptions caused by typhoon-induced wind disasters. Four Chinese ports and their historical typhoon and cargo throughput data from 2007 to 2017 are taken as examples. A wind model is introduced to analyze the wind fields of typhoons. The likelihood of port disruption is then estimated based on the simulated wind field results at each port. Based on the estimated number of port disruption days and daily cargo throughput, the total economic loss of each port is calculated by considering the reputational loss, loss to the shippers, loss to the carriers, and loss to the ports. Finally, the economic impact of port disruption caused by the typhoon-induced wind disasters on port operations in China is discussed. The results suggest that both the disruption time and throughput are critical in economic estimations and the major component of the overall cost is the loss to the shippers. The proposed method directly reflects the typhoon-induced wind disaster-related risks quantitatively encountered at ports, which could help port managers make optimal decisions in controlling port operations.","author":[{"dropping-particle":"","family":"Zhang","given":"Yi","non-dropping-particle":"","parse-names":false,"suffix":""},{"dropping-particle":"","family":"Wei","given":"Kai","non-dropping-particle":"","parse-names":false,"suffix":""},{"dropping-particle":"","family":"Shen","given":"Zhonghui","non-dropping-particle":"","parse-names":false,"suffix":""},{"dropping-particle":"","family":"Bai","given":"Xiwen","non-dropping-particle":"","parse-names":false,"suffix":""},{"dropping-particle":"","family":"Lu","given":"Xinzheng","non-dropping-particle":"","parse-names":false,"suffix":""},{"dropping-particle":"","family":"Soares","given":"Carlos Guedes","non-dropping-particle":"","parse-names":false,"suffix":""}],"container-title":"International Journal of Disaster Risk Reduction","id":"ITEM-1","issue":"111","issued":{"date-parts":[["2020","11"]]},"page":"101719","publisher":"Elsevier Ltd","title":"Economic impact of typhoon-induced wind disasters on port operations: A case study of ports in China","type":"article-journal","volume":"50"},"uris":["http://www.mendeley.com/documents/?uuid=cdaf4595-ea59-48ed-b634-beca75e78787"]}],"mendeley":{"formattedCitation":"&lt;sup&gt;35&lt;/sup&gt;","plainTextFormattedCitation":"35","previouslyFormattedCitation":"(&lt;i&gt;35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35</w:t>
            </w:r>
            <w:r w:rsidRPr="00AD5F47">
              <w:rPr>
                <w:color w:val="000000"/>
                <w:sz w:val="20"/>
              </w:rPr>
              <w:fldChar w:fldCharType="end"/>
            </w:r>
          </w:p>
        </w:tc>
      </w:tr>
      <w:tr w:rsidR="0095697F" w:rsidRPr="00AD5F47" w14:paraId="59861B6A" w14:textId="77777777" w:rsidTr="00A47A7E">
        <w:trPr>
          <w:trHeight w:val="227"/>
        </w:trPr>
        <w:tc>
          <w:tcPr>
            <w:tcW w:w="510" w:type="pct"/>
            <w:tcBorders>
              <w:top w:val="nil"/>
              <w:left w:val="nil"/>
              <w:bottom w:val="nil"/>
              <w:right w:val="nil"/>
            </w:tcBorders>
            <w:shd w:val="clear" w:color="auto" w:fill="auto"/>
            <w:noWrap/>
            <w:hideMark/>
          </w:tcPr>
          <w:p w14:paraId="775E1240" w14:textId="77777777" w:rsidR="0095697F" w:rsidRPr="00AD5F47" w:rsidRDefault="0095697F" w:rsidP="00A47A7E">
            <w:pPr>
              <w:rPr>
                <w:color w:val="000000"/>
                <w:sz w:val="20"/>
              </w:rPr>
            </w:pPr>
          </w:p>
        </w:tc>
        <w:tc>
          <w:tcPr>
            <w:tcW w:w="1021" w:type="pct"/>
            <w:tcBorders>
              <w:top w:val="nil"/>
              <w:left w:val="nil"/>
              <w:bottom w:val="nil"/>
              <w:right w:val="nil"/>
            </w:tcBorders>
            <w:shd w:val="clear" w:color="auto" w:fill="auto"/>
            <w:noWrap/>
            <w:hideMark/>
          </w:tcPr>
          <w:p w14:paraId="6EEF2B7D" w14:textId="77777777" w:rsidR="0095697F" w:rsidRPr="00AD5F47" w:rsidRDefault="0095697F" w:rsidP="00A47A7E">
            <w:pPr>
              <w:rPr>
                <w:color w:val="000000"/>
                <w:sz w:val="20"/>
              </w:rPr>
            </w:pPr>
            <w:r w:rsidRPr="00AD5F47">
              <w:rPr>
                <w:color w:val="000000"/>
                <w:sz w:val="20"/>
              </w:rPr>
              <w:t>Inventory</w:t>
            </w:r>
          </w:p>
        </w:tc>
        <w:tc>
          <w:tcPr>
            <w:tcW w:w="1837" w:type="pct"/>
            <w:tcBorders>
              <w:top w:val="nil"/>
              <w:left w:val="nil"/>
              <w:bottom w:val="nil"/>
              <w:right w:val="nil"/>
            </w:tcBorders>
            <w:shd w:val="clear" w:color="auto" w:fill="auto"/>
            <w:noWrap/>
            <w:hideMark/>
          </w:tcPr>
          <w:p w14:paraId="68645F8E" w14:textId="77777777" w:rsidR="0095697F" w:rsidRPr="00AD5F47" w:rsidRDefault="0095697F" w:rsidP="00A47A7E">
            <w:pPr>
              <w:rPr>
                <w:color w:val="000000"/>
                <w:sz w:val="20"/>
              </w:rPr>
            </w:pPr>
            <w:r w:rsidRPr="00AD5F47">
              <w:rPr>
                <w:color w:val="000000"/>
                <w:sz w:val="20"/>
              </w:rPr>
              <w:t>Inventory costs to store freight in USD per tonnes</w:t>
            </w:r>
          </w:p>
        </w:tc>
        <w:tc>
          <w:tcPr>
            <w:tcW w:w="407" w:type="pct"/>
            <w:tcBorders>
              <w:top w:val="nil"/>
              <w:left w:val="nil"/>
              <w:bottom w:val="nil"/>
              <w:right w:val="nil"/>
            </w:tcBorders>
            <w:shd w:val="clear" w:color="auto" w:fill="auto"/>
            <w:noWrap/>
            <w:hideMark/>
          </w:tcPr>
          <w:p w14:paraId="6DB2C23E" w14:textId="77777777" w:rsidR="0095697F" w:rsidRPr="00AD5F47" w:rsidRDefault="0095697F" w:rsidP="00A47A7E">
            <w:pPr>
              <w:rPr>
                <w:color w:val="000000"/>
                <w:sz w:val="20"/>
              </w:rPr>
            </w:pPr>
            <w:r w:rsidRPr="00AD5F47">
              <w:rPr>
                <w:color w:val="000000"/>
                <w:sz w:val="20"/>
              </w:rPr>
              <w:t>0.5</w:t>
            </w:r>
          </w:p>
        </w:tc>
        <w:tc>
          <w:tcPr>
            <w:tcW w:w="306" w:type="pct"/>
            <w:tcBorders>
              <w:top w:val="nil"/>
              <w:left w:val="nil"/>
              <w:bottom w:val="nil"/>
              <w:right w:val="nil"/>
            </w:tcBorders>
            <w:shd w:val="clear" w:color="auto" w:fill="auto"/>
            <w:noWrap/>
            <w:hideMark/>
          </w:tcPr>
          <w:p w14:paraId="7DD2C7CB" w14:textId="77777777" w:rsidR="0095697F" w:rsidRPr="00AD5F47" w:rsidRDefault="0095697F" w:rsidP="00A47A7E">
            <w:pPr>
              <w:rPr>
                <w:color w:val="000000"/>
                <w:sz w:val="20"/>
              </w:rPr>
            </w:pPr>
            <w:r w:rsidRPr="00AD5F47">
              <w:rPr>
                <w:color w:val="000000"/>
                <w:sz w:val="20"/>
              </w:rPr>
              <w:t>0.1</w:t>
            </w:r>
          </w:p>
        </w:tc>
        <w:tc>
          <w:tcPr>
            <w:tcW w:w="306" w:type="pct"/>
            <w:tcBorders>
              <w:top w:val="nil"/>
              <w:left w:val="nil"/>
              <w:bottom w:val="nil"/>
              <w:right w:val="nil"/>
            </w:tcBorders>
            <w:shd w:val="clear" w:color="auto" w:fill="auto"/>
            <w:noWrap/>
            <w:hideMark/>
          </w:tcPr>
          <w:p w14:paraId="1A47BFF1" w14:textId="77777777" w:rsidR="0095697F" w:rsidRPr="00AD5F47" w:rsidRDefault="0095697F" w:rsidP="00A47A7E">
            <w:pPr>
              <w:rPr>
                <w:color w:val="000000"/>
                <w:sz w:val="20"/>
              </w:rPr>
            </w:pPr>
            <w:r w:rsidRPr="00AD5F47">
              <w:rPr>
                <w:color w:val="000000"/>
                <w:sz w:val="20"/>
              </w:rPr>
              <w:t>0.9</w:t>
            </w:r>
          </w:p>
        </w:tc>
        <w:tc>
          <w:tcPr>
            <w:tcW w:w="613" w:type="pct"/>
            <w:tcBorders>
              <w:top w:val="nil"/>
              <w:left w:val="nil"/>
              <w:bottom w:val="nil"/>
              <w:right w:val="nil"/>
            </w:tcBorders>
            <w:shd w:val="clear" w:color="auto" w:fill="auto"/>
            <w:noWrap/>
            <w:hideMark/>
          </w:tcPr>
          <w:p w14:paraId="4D9B4A81" w14:textId="5069DA42" w:rsidR="0095697F" w:rsidRPr="00AD5F47" w:rsidRDefault="0095697F" w:rsidP="00A47A7E">
            <w:pPr>
              <w:rPr>
                <w:color w:val="000000"/>
                <w:sz w:val="20"/>
              </w:rPr>
            </w:pPr>
            <w:r w:rsidRPr="00AD5F47">
              <w:rPr>
                <w:color w:val="000000"/>
                <w:sz w:val="20"/>
              </w:rPr>
              <w:fldChar w:fldCharType="begin" w:fldLock="1"/>
            </w:r>
            <w:r w:rsidR="00902ED9">
              <w:rPr>
                <w:color w:val="000000"/>
                <w:sz w:val="20"/>
              </w:rPr>
              <w:instrText>ADDIN CSL_CITATION {"citationItems":[{"id":"ITEM-1","itemData":{"DOI":"10.1016/j.ijdrr.2020.101719","ISSN":"22124209","abstract":"The impact of a port disruption can reverberate across the entire economy through global supply chains. It is essential to ensure the regular operation of seaborne transportation considering all risks. Climate events create challenging risks that need to be carefully addressed. This paper proposes an approach to evaluate the economic losses due to port disruptions caused by typhoon-induced wind disasters. Four Chinese ports and their historical typhoon and cargo throughput data from 2007 to 2017 are taken as examples. A wind model is introduced to analyze the wind fields of typhoons. The likelihood of port disruption is then estimated based on the simulated wind field results at each port. Based on the estimated number of port disruption days and daily cargo throughput, the total economic loss of each port is calculated by considering the reputational loss, loss to the shippers, loss to the carriers, and loss to the ports. Finally, the economic impact of port disruption caused by the typhoon-induced wind disasters on port operations in China is discussed. The results suggest that both the disruption time and throughput are critical in economic estimations and the major component of the overall cost is the loss to the shippers. The proposed method directly reflects the typhoon-induced wind disaster-related risks quantitatively encountered at ports, which could help port managers make optimal decisions in controlling port operations.","author":[{"dropping-particle":"","family":"Zhang","given":"Yi","non-dropping-particle":"","parse-names":false,"suffix":""},{"dropping-particle":"","family":"Wei","given":"Kai","non-dropping-particle":"","parse-names":false,"suffix":""},{"dropping-particle":"","family":"Shen","given":"Zhonghui","non-dropping-particle":"","parse-names":false,"suffix":""},{"dropping-particle":"","family":"Bai","given":"Xiwen","non-dropping-particle":"","parse-names":false,"suffix":""},{"dropping-particle":"","family":"Lu","given":"Xinzheng","non-dropping-particle":"","parse-names":false,"suffix":""},{"dropping-particle":"","family":"Soares","given":"Carlos Guedes","non-dropping-particle":"","parse-names":false,"suffix":""}],"container-title":"International Journal of Disaster Risk Reduction","id":"ITEM-1","issue":"111","issued":{"date-parts":[["2020","11"]]},"page":"101719","publisher":"Elsevier Ltd","title":"Economic impact of typhoon-induced wind disasters on port operations: A case study of ports in China","type":"article-journal","volume":"50"},"uris":["http://www.mendeley.com/documents/?uuid=cdaf4595-ea59-48ed-b634-beca75e78787"]}],"mendeley":{"formattedCitation":"&lt;sup&gt;35&lt;/sup&gt;","plainTextFormattedCitation":"35","previouslyFormattedCitation":"(&lt;i&gt;35&lt;/i&gt;)"},"properties":{"noteIndex":0},"schema":"https://github.com/citation-style-language/schema/raw/master/csl-citation.json"}</w:instrText>
            </w:r>
            <w:r w:rsidRPr="00AD5F47">
              <w:rPr>
                <w:color w:val="000000"/>
                <w:sz w:val="20"/>
              </w:rPr>
              <w:fldChar w:fldCharType="separate"/>
            </w:r>
            <w:r w:rsidR="00902ED9" w:rsidRPr="00902ED9">
              <w:rPr>
                <w:noProof/>
                <w:color w:val="000000"/>
                <w:sz w:val="20"/>
                <w:vertAlign w:val="superscript"/>
              </w:rPr>
              <w:t>35</w:t>
            </w:r>
            <w:r w:rsidRPr="00AD5F47">
              <w:rPr>
                <w:color w:val="000000"/>
                <w:sz w:val="20"/>
              </w:rPr>
              <w:fldChar w:fldCharType="end"/>
            </w:r>
          </w:p>
        </w:tc>
      </w:tr>
      <w:tr w:rsidR="0095697F" w:rsidRPr="00AD5F47" w14:paraId="0FEB82B8" w14:textId="77777777" w:rsidTr="00A47A7E">
        <w:trPr>
          <w:trHeight w:val="227"/>
        </w:trPr>
        <w:tc>
          <w:tcPr>
            <w:tcW w:w="510" w:type="pct"/>
            <w:tcBorders>
              <w:top w:val="nil"/>
              <w:left w:val="nil"/>
              <w:bottom w:val="single" w:sz="4" w:space="0" w:color="auto"/>
              <w:right w:val="nil"/>
            </w:tcBorders>
            <w:shd w:val="clear" w:color="auto" w:fill="auto"/>
            <w:noWrap/>
            <w:hideMark/>
          </w:tcPr>
          <w:p w14:paraId="08D6A893" w14:textId="77777777" w:rsidR="0095697F" w:rsidRPr="00AD5F47" w:rsidRDefault="0095697F" w:rsidP="00A47A7E">
            <w:pPr>
              <w:rPr>
                <w:color w:val="000000"/>
                <w:sz w:val="20"/>
              </w:rPr>
            </w:pPr>
            <w:r w:rsidRPr="00AD5F47">
              <w:rPr>
                <w:color w:val="000000"/>
                <w:sz w:val="20"/>
              </w:rPr>
              <w:t> </w:t>
            </w:r>
          </w:p>
        </w:tc>
        <w:tc>
          <w:tcPr>
            <w:tcW w:w="1021" w:type="pct"/>
            <w:tcBorders>
              <w:top w:val="nil"/>
              <w:left w:val="nil"/>
              <w:bottom w:val="single" w:sz="4" w:space="0" w:color="auto"/>
              <w:right w:val="nil"/>
            </w:tcBorders>
            <w:shd w:val="clear" w:color="auto" w:fill="auto"/>
            <w:noWrap/>
            <w:hideMark/>
          </w:tcPr>
          <w:p w14:paraId="2E0DB491" w14:textId="77777777" w:rsidR="0095697F" w:rsidRPr="00AD5F47" w:rsidRDefault="0095697F" w:rsidP="00A47A7E">
            <w:pPr>
              <w:rPr>
                <w:color w:val="000000"/>
                <w:sz w:val="20"/>
              </w:rPr>
            </w:pPr>
            <w:r w:rsidRPr="00AD5F47">
              <w:rPr>
                <w:color w:val="000000"/>
                <w:sz w:val="20"/>
              </w:rPr>
              <w:t>Value of time</w:t>
            </w:r>
          </w:p>
        </w:tc>
        <w:tc>
          <w:tcPr>
            <w:tcW w:w="1837" w:type="pct"/>
            <w:tcBorders>
              <w:top w:val="nil"/>
              <w:left w:val="nil"/>
              <w:bottom w:val="single" w:sz="4" w:space="0" w:color="auto"/>
              <w:right w:val="nil"/>
            </w:tcBorders>
            <w:shd w:val="clear" w:color="auto" w:fill="auto"/>
            <w:noWrap/>
            <w:hideMark/>
          </w:tcPr>
          <w:p w14:paraId="5ED4FC1C" w14:textId="77777777" w:rsidR="0095697F" w:rsidRPr="00AD5F47" w:rsidRDefault="0095697F" w:rsidP="00A47A7E">
            <w:pPr>
              <w:rPr>
                <w:color w:val="000000"/>
                <w:sz w:val="20"/>
              </w:rPr>
            </w:pPr>
            <w:r w:rsidRPr="00AD5F47">
              <w:rPr>
                <w:color w:val="000000"/>
                <w:sz w:val="20"/>
              </w:rPr>
              <w:t>Value of time for delay of goods in USD per tonnes per day</w:t>
            </w:r>
          </w:p>
        </w:tc>
        <w:tc>
          <w:tcPr>
            <w:tcW w:w="407" w:type="pct"/>
            <w:tcBorders>
              <w:top w:val="nil"/>
              <w:left w:val="nil"/>
              <w:bottom w:val="single" w:sz="4" w:space="0" w:color="auto"/>
              <w:right w:val="nil"/>
            </w:tcBorders>
            <w:shd w:val="clear" w:color="auto" w:fill="auto"/>
            <w:noWrap/>
            <w:hideMark/>
          </w:tcPr>
          <w:p w14:paraId="2BD8AB6B" w14:textId="77777777" w:rsidR="0095697F" w:rsidRPr="00AD5F47" w:rsidRDefault="0095697F" w:rsidP="00A47A7E">
            <w:pPr>
              <w:rPr>
                <w:color w:val="000000"/>
                <w:sz w:val="20"/>
              </w:rPr>
            </w:pPr>
            <w:r w:rsidRPr="00AD5F47">
              <w:rPr>
                <w:color w:val="000000"/>
                <w:sz w:val="20"/>
              </w:rPr>
              <w:t>5.5</w:t>
            </w:r>
          </w:p>
        </w:tc>
        <w:tc>
          <w:tcPr>
            <w:tcW w:w="306" w:type="pct"/>
            <w:tcBorders>
              <w:top w:val="nil"/>
              <w:left w:val="nil"/>
              <w:bottom w:val="single" w:sz="4" w:space="0" w:color="auto"/>
              <w:right w:val="nil"/>
            </w:tcBorders>
            <w:shd w:val="clear" w:color="auto" w:fill="auto"/>
            <w:noWrap/>
            <w:hideMark/>
          </w:tcPr>
          <w:p w14:paraId="3234FB44" w14:textId="77777777" w:rsidR="0095697F" w:rsidRPr="00AD5F47" w:rsidRDefault="0095697F" w:rsidP="00A47A7E">
            <w:pPr>
              <w:rPr>
                <w:color w:val="000000"/>
                <w:sz w:val="20"/>
              </w:rPr>
            </w:pPr>
            <w:r w:rsidRPr="00AD5F47">
              <w:rPr>
                <w:color w:val="000000"/>
                <w:sz w:val="20"/>
              </w:rPr>
              <w:t>1.0</w:t>
            </w:r>
          </w:p>
        </w:tc>
        <w:tc>
          <w:tcPr>
            <w:tcW w:w="306" w:type="pct"/>
            <w:tcBorders>
              <w:top w:val="nil"/>
              <w:left w:val="nil"/>
              <w:bottom w:val="single" w:sz="4" w:space="0" w:color="auto"/>
              <w:right w:val="nil"/>
            </w:tcBorders>
            <w:shd w:val="clear" w:color="auto" w:fill="auto"/>
            <w:noWrap/>
            <w:hideMark/>
          </w:tcPr>
          <w:p w14:paraId="35983FE9" w14:textId="77777777" w:rsidR="0095697F" w:rsidRPr="00AD5F47" w:rsidRDefault="0095697F" w:rsidP="00A47A7E">
            <w:pPr>
              <w:rPr>
                <w:color w:val="000000"/>
                <w:sz w:val="20"/>
              </w:rPr>
            </w:pPr>
            <w:r w:rsidRPr="00AD5F47">
              <w:rPr>
                <w:color w:val="000000"/>
                <w:sz w:val="20"/>
              </w:rPr>
              <w:t>10.0</w:t>
            </w:r>
          </w:p>
        </w:tc>
        <w:tc>
          <w:tcPr>
            <w:tcW w:w="613" w:type="pct"/>
            <w:tcBorders>
              <w:top w:val="nil"/>
              <w:left w:val="nil"/>
              <w:bottom w:val="single" w:sz="4" w:space="0" w:color="auto"/>
              <w:right w:val="nil"/>
            </w:tcBorders>
            <w:shd w:val="clear" w:color="auto" w:fill="auto"/>
            <w:noWrap/>
            <w:hideMark/>
          </w:tcPr>
          <w:p w14:paraId="2CD8B02D" w14:textId="77777777" w:rsidR="0095697F" w:rsidRPr="00AD5F47" w:rsidRDefault="0095697F" w:rsidP="00A47A7E">
            <w:pPr>
              <w:rPr>
                <w:color w:val="000000"/>
                <w:sz w:val="20"/>
              </w:rPr>
            </w:pPr>
          </w:p>
        </w:tc>
      </w:tr>
    </w:tbl>
    <w:p w14:paraId="5902948D" w14:textId="77777777" w:rsidR="0095697F" w:rsidRPr="008E49D3" w:rsidRDefault="0095697F" w:rsidP="0095697F">
      <w:pPr>
        <w:pStyle w:val="SMcaption"/>
        <w:rPr>
          <w:szCs w:val="24"/>
        </w:rPr>
      </w:pPr>
    </w:p>
    <w:p w14:paraId="5309B88B" w14:textId="77777777" w:rsidR="0095697F" w:rsidRPr="008E49D3" w:rsidRDefault="0095697F" w:rsidP="0095697F">
      <w:pPr>
        <w:sectPr w:rsidR="0095697F" w:rsidRPr="008E49D3" w:rsidSect="00C76F84">
          <w:pgSz w:w="15840" w:h="12240" w:orient="landscape"/>
          <w:pgMar w:top="1800" w:right="1440" w:bottom="1800" w:left="1440" w:header="720" w:footer="720" w:gutter="0"/>
          <w:pgNumType w:start="1"/>
          <w:cols w:space="720"/>
          <w:docGrid w:linePitch="360"/>
        </w:sectPr>
      </w:pPr>
      <w:r w:rsidRPr="008E49D3">
        <w:br w:type="page"/>
      </w:r>
    </w:p>
    <w:p w14:paraId="36F985BD" w14:textId="3DAE3F5B" w:rsidR="0095697F" w:rsidRPr="008E49D3" w:rsidRDefault="00487BF3" w:rsidP="0095697F">
      <w:pPr>
        <w:pStyle w:val="SMHeading"/>
        <w:rPr>
          <w:b w:val="0"/>
        </w:rPr>
      </w:pPr>
      <w:r>
        <w:lastRenderedPageBreak/>
        <w:t xml:space="preserve">Supplementary Table </w:t>
      </w:r>
      <w:r w:rsidR="0095697F" w:rsidRPr="008E49D3">
        <w:t xml:space="preserve">2. </w:t>
      </w:r>
      <w:r w:rsidR="0095697F" w:rsidRPr="008E49D3">
        <w:rPr>
          <w:b w:val="0"/>
        </w:rPr>
        <w:t xml:space="preserve">The 15 types of port land-use types used in the port mapping exercise together with description and the group they belong to. </w:t>
      </w:r>
    </w:p>
    <w:p w14:paraId="1D8C63F3" w14:textId="77777777" w:rsidR="0095697F" w:rsidRPr="008E49D3" w:rsidRDefault="0095697F" w:rsidP="0095697F"/>
    <w:tbl>
      <w:tblPr>
        <w:tblStyle w:val="TableGridLight"/>
        <w:tblW w:w="8926" w:type="dxa"/>
        <w:tblLook w:val="04A0" w:firstRow="1" w:lastRow="0" w:firstColumn="1" w:lastColumn="0" w:noHBand="0" w:noVBand="1"/>
      </w:tblPr>
      <w:tblGrid>
        <w:gridCol w:w="1624"/>
        <w:gridCol w:w="1607"/>
        <w:gridCol w:w="5695"/>
      </w:tblGrid>
      <w:tr w:rsidR="0095697F" w:rsidRPr="008E49D3" w14:paraId="6246635F" w14:textId="77777777" w:rsidTr="00A47A7E">
        <w:trPr>
          <w:trHeight w:val="320"/>
        </w:trPr>
        <w:tc>
          <w:tcPr>
            <w:tcW w:w="1624" w:type="dxa"/>
            <w:noWrap/>
            <w:hideMark/>
          </w:tcPr>
          <w:p w14:paraId="2DE33546" w14:textId="77777777" w:rsidR="0095697F" w:rsidRPr="008E49D3" w:rsidRDefault="0095697F" w:rsidP="00A47A7E">
            <w:pPr>
              <w:rPr>
                <w:b/>
                <w:bCs/>
                <w:color w:val="000000"/>
                <w:szCs w:val="24"/>
              </w:rPr>
            </w:pPr>
            <w:r w:rsidRPr="008E49D3">
              <w:rPr>
                <w:b/>
                <w:bCs/>
                <w:color w:val="000000"/>
                <w:szCs w:val="24"/>
              </w:rPr>
              <w:t>Subgroup</w:t>
            </w:r>
          </w:p>
        </w:tc>
        <w:tc>
          <w:tcPr>
            <w:tcW w:w="0" w:type="auto"/>
            <w:noWrap/>
            <w:hideMark/>
          </w:tcPr>
          <w:p w14:paraId="007F89A9" w14:textId="77777777" w:rsidR="0095697F" w:rsidRPr="008E49D3" w:rsidRDefault="0095697F" w:rsidP="00A47A7E">
            <w:pPr>
              <w:rPr>
                <w:b/>
                <w:bCs/>
                <w:color w:val="000000"/>
                <w:szCs w:val="24"/>
              </w:rPr>
            </w:pPr>
            <w:r w:rsidRPr="008E49D3">
              <w:rPr>
                <w:b/>
                <w:bCs/>
                <w:color w:val="000000"/>
                <w:szCs w:val="24"/>
              </w:rPr>
              <w:t>Group</w:t>
            </w:r>
          </w:p>
        </w:tc>
        <w:tc>
          <w:tcPr>
            <w:tcW w:w="5695" w:type="dxa"/>
            <w:noWrap/>
            <w:hideMark/>
          </w:tcPr>
          <w:p w14:paraId="37D0D9F5" w14:textId="77777777" w:rsidR="0095697F" w:rsidRPr="008E49D3" w:rsidRDefault="0095697F" w:rsidP="00A47A7E">
            <w:pPr>
              <w:rPr>
                <w:b/>
                <w:bCs/>
                <w:color w:val="000000"/>
                <w:szCs w:val="24"/>
              </w:rPr>
            </w:pPr>
            <w:r w:rsidRPr="008E49D3">
              <w:rPr>
                <w:b/>
                <w:bCs/>
                <w:color w:val="000000"/>
                <w:szCs w:val="24"/>
              </w:rPr>
              <w:t>Description</w:t>
            </w:r>
          </w:p>
        </w:tc>
      </w:tr>
      <w:tr w:rsidR="0095697F" w:rsidRPr="008E49D3" w14:paraId="33A787E4" w14:textId="77777777" w:rsidTr="00A47A7E">
        <w:trPr>
          <w:trHeight w:val="340"/>
        </w:trPr>
        <w:tc>
          <w:tcPr>
            <w:tcW w:w="1624" w:type="dxa"/>
            <w:noWrap/>
            <w:hideMark/>
          </w:tcPr>
          <w:p w14:paraId="415F10DF" w14:textId="77777777" w:rsidR="0095697F" w:rsidRPr="008E49D3" w:rsidRDefault="0095697F" w:rsidP="00A47A7E">
            <w:pPr>
              <w:rPr>
                <w:color w:val="000000"/>
                <w:szCs w:val="24"/>
              </w:rPr>
            </w:pPr>
            <w:r w:rsidRPr="008E49D3">
              <w:rPr>
                <w:color w:val="000000"/>
                <w:szCs w:val="24"/>
              </w:rPr>
              <w:t>Container</w:t>
            </w:r>
          </w:p>
        </w:tc>
        <w:tc>
          <w:tcPr>
            <w:tcW w:w="0" w:type="auto"/>
            <w:noWrap/>
            <w:hideMark/>
          </w:tcPr>
          <w:p w14:paraId="77172149" w14:textId="77777777" w:rsidR="0095697F" w:rsidRPr="008E49D3" w:rsidRDefault="0095697F" w:rsidP="00A47A7E">
            <w:pPr>
              <w:rPr>
                <w:color w:val="000000"/>
                <w:szCs w:val="24"/>
              </w:rPr>
            </w:pPr>
            <w:r w:rsidRPr="008E49D3">
              <w:rPr>
                <w:color w:val="000000"/>
                <w:szCs w:val="24"/>
              </w:rPr>
              <w:t>Container</w:t>
            </w:r>
          </w:p>
        </w:tc>
        <w:tc>
          <w:tcPr>
            <w:tcW w:w="5695" w:type="dxa"/>
            <w:hideMark/>
          </w:tcPr>
          <w:p w14:paraId="4D64EB66" w14:textId="77777777" w:rsidR="0095697F" w:rsidRPr="008E49D3" w:rsidRDefault="0095697F" w:rsidP="00A47A7E">
            <w:pPr>
              <w:rPr>
                <w:color w:val="000000"/>
                <w:szCs w:val="24"/>
              </w:rPr>
            </w:pPr>
            <w:r w:rsidRPr="008E49D3">
              <w:rPr>
                <w:color w:val="000000"/>
                <w:szCs w:val="24"/>
              </w:rPr>
              <w:t>Dedicated terminal for the loading/offloading and storage of containers</w:t>
            </w:r>
          </w:p>
        </w:tc>
      </w:tr>
      <w:tr w:rsidR="0095697F" w:rsidRPr="008E49D3" w14:paraId="6ABBCB2C" w14:textId="77777777" w:rsidTr="00A47A7E">
        <w:trPr>
          <w:trHeight w:val="340"/>
        </w:trPr>
        <w:tc>
          <w:tcPr>
            <w:tcW w:w="1624" w:type="dxa"/>
            <w:noWrap/>
            <w:hideMark/>
          </w:tcPr>
          <w:p w14:paraId="3D14F585" w14:textId="77777777" w:rsidR="0095697F" w:rsidRPr="008E49D3" w:rsidRDefault="0095697F" w:rsidP="00A47A7E">
            <w:pPr>
              <w:rPr>
                <w:color w:val="000000"/>
                <w:szCs w:val="24"/>
              </w:rPr>
            </w:pPr>
            <w:r w:rsidRPr="008E49D3">
              <w:rPr>
                <w:color w:val="000000"/>
                <w:szCs w:val="24"/>
              </w:rPr>
              <w:t>Vehicles</w:t>
            </w:r>
          </w:p>
        </w:tc>
        <w:tc>
          <w:tcPr>
            <w:tcW w:w="0" w:type="auto"/>
            <w:noWrap/>
            <w:hideMark/>
          </w:tcPr>
          <w:p w14:paraId="681BB1ED" w14:textId="77777777" w:rsidR="0095697F" w:rsidRPr="008E49D3" w:rsidRDefault="0095697F" w:rsidP="00A47A7E">
            <w:pPr>
              <w:rPr>
                <w:color w:val="000000"/>
                <w:szCs w:val="24"/>
              </w:rPr>
            </w:pPr>
            <w:proofErr w:type="spellStart"/>
            <w:r w:rsidRPr="008E49D3">
              <w:rPr>
                <w:color w:val="000000"/>
                <w:szCs w:val="24"/>
              </w:rPr>
              <w:t>RoRo</w:t>
            </w:r>
            <w:proofErr w:type="spellEnd"/>
          </w:p>
        </w:tc>
        <w:tc>
          <w:tcPr>
            <w:tcW w:w="5695" w:type="dxa"/>
            <w:hideMark/>
          </w:tcPr>
          <w:p w14:paraId="0985BD4C" w14:textId="77777777" w:rsidR="0095697F" w:rsidRPr="008E49D3" w:rsidRDefault="0095697F" w:rsidP="00A47A7E">
            <w:pPr>
              <w:rPr>
                <w:color w:val="000000"/>
                <w:szCs w:val="24"/>
              </w:rPr>
            </w:pPr>
            <w:r w:rsidRPr="008E49D3">
              <w:rPr>
                <w:color w:val="000000"/>
                <w:szCs w:val="24"/>
              </w:rPr>
              <w:t>Dedicated terminal for the loading/offloading and storage of vehicles</w:t>
            </w:r>
          </w:p>
        </w:tc>
      </w:tr>
      <w:tr w:rsidR="0095697F" w:rsidRPr="008E49D3" w14:paraId="40A17D45" w14:textId="77777777" w:rsidTr="00A47A7E">
        <w:trPr>
          <w:trHeight w:val="480"/>
        </w:trPr>
        <w:tc>
          <w:tcPr>
            <w:tcW w:w="1624" w:type="dxa"/>
            <w:noWrap/>
            <w:hideMark/>
          </w:tcPr>
          <w:p w14:paraId="416E4A86" w14:textId="77777777" w:rsidR="0095697F" w:rsidRPr="008E49D3" w:rsidRDefault="0095697F" w:rsidP="00A47A7E">
            <w:pPr>
              <w:rPr>
                <w:color w:val="000000"/>
                <w:szCs w:val="24"/>
              </w:rPr>
            </w:pPr>
            <w:r w:rsidRPr="008E49D3">
              <w:rPr>
                <w:color w:val="000000"/>
                <w:szCs w:val="24"/>
              </w:rPr>
              <w:t>Liquid</w:t>
            </w:r>
          </w:p>
        </w:tc>
        <w:tc>
          <w:tcPr>
            <w:tcW w:w="0" w:type="auto"/>
            <w:noWrap/>
            <w:hideMark/>
          </w:tcPr>
          <w:p w14:paraId="3F2DD3F7" w14:textId="77777777" w:rsidR="0095697F" w:rsidRPr="008E49D3" w:rsidRDefault="0095697F" w:rsidP="00A47A7E">
            <w:pPr>
              <w:rPr>
                <w:color w:val="000000"/>
                <w:szCs w:val="24"/>
              </w:rPr>
            </w:pPr>
            <w:r w:rsidRPr="008E49D3">
              <w:rPr>
                <w:color w:val="000000"/>
                <w:szCs w:val="24"/>
              </w:rPr>
              <w:t>Liquid</w:t>
            </w:r>
          </w:p>
        </w:tc>
        <w:tc>
          <w:tcPr>
            <w:tcW w:w="5695" w:type="dxa"/>
            <w:hideMark/>
          </w:tcPr>
          <w:p w14:paraId="5C298A0A" w14:textId="77777777" w:rsidR="0095697F" w:rsidRPr="008E49D3" w:rsidRDefault="0095697F" w:rsidP="00A47A7E">
            <w:pPr>
              <w:rPr>
                <w:color w:val="000000"/>
                <w:szCs w:val="24"/>
              </w:rPr>
            </w:pPr>
            <w:r w:rsidRPr="008E49D3">
              <w:rPr>
                <w:color w:val="000000"/>
                <w:szCs w:val="24"/>
              </w:rPr>
              <w:t>Dedicated terminal for the loading/offloading and storage of oil and gas-related products</w:t>
            </w:r>
          </w:p>
        </w:tc>
      </w:tr>
      <w:tr w:rsidR="0095697F" w:rsidRPr="008E49D3" w14:paraId="7F8BFC56" w14:textId="77777777" w:rsidTr="00A47A7E">
        <w:trPr>
          <w:trHeight w:val="820"/>
        </w:trPr>
        <w:tc>
          <w:tcPr>
            <w:tcW w:w="1624" w:type="dxa"/>
            <w:noWrap/>
            <w:hideMark/>
          </w:tcPr>
          <w:p w14:paraId="0E4F9F87" w14:textId="77777777" w:rsidR="0095697F" w:rsidRPr="008E49D3" w:rsidRDefault="0095697F" w:rsidP="00A47A7E">
            <w:pPr>
              <w:rPr>
                <w:color w:val="000000"/>
                <w:szCs w:val="24"/>
              </w:rPr>
            </w:pPr>
            <w:r w:rsidRPr="008E49D3">
              <w:rPr>
                <w:color w:val="000000"/>
                <w:szCs w:val="24"/>
              </w:rPr>
              <w:t>Raw</w:t>
            </w:r>
          </w:p>
        </w:tc>
        <w:tc>
          <w:tcPr>
            <w:tcW w:w="0" w:type="auto"/>
            <w:noWrap/>
            <w:hideMark/>
          </w:tcPr>
          <w:p w14:paraId="1FA7C142" w14:textId="77777777" w:rsidR="0095697F" w:rsidRPr="008E49D3" w:rsidRDefault="0095697F" w:rsidP="00A47A7E">
            <w:pPr>
              <w:rPr>
                <w:color w:val="000000"/>
                <w:szCs w:val="24"/>
              </w:rPr>
            </w:pPr>
            <w:r w:rsidRPr="008E49D3">
              <w:rPr>
                <w:color w:val="000000"/>
                <w:szCs w:val="24"/>
              </w:rPr>
              <w:t>Dry Bulk</w:t>
            </w:r>
          </w:p>
        </w:tc>
        <w:tc>
          <w:tcPr>
            <w:tcW w:w="5695" w:type="dxa"/>
            <w:hideMark/>
          </w:tcPr>
          <w:p w14:paraId="01ADB1D5" w14:textId="77777777" w:rsidR="0095697F" w:rsidRPr="008E49D3" w:rsidRDefault="0095697F" w:rsidP="00A47A7E">
            <w:pPr>
              <w:rPr>
                <w:color w:val="000000"/>
                <w:szCs w:val="24"/>
              </w:rPr>
            </w:pPr>
            <w:r w:rsidRPr="008E49D3">
              <w:rPr>
                <w:color w:val="000000"/>
                <w:szCs w:val="24"/>
              </w:rPr>
              <w:t>Open terminals for the loading/offloading and storage raw materials such as iron ore, coal, alumina, phosphate etc.</w:t>
            </w:r>
          </w:p>
        </w:tc>
      </w:tr>
      <w:tr w:rsidR="0095697F" w:rsidRPr="008E49D3" w14:paraId="5D4574FE" w14:textId="77777777" w:rsidTr="00A47A7E">
        <w:trPr>
          <w:trHeight w:val="760"/>
        </w:trPr>
        <w:tc>
          <w:tcPr>
            <w:tcW w:w="1624" w:type="dxa"/>
            <w:noWrap/>
            <w:hideMark/>
          </w:tcPr>
          <w:p w14:paraId="385C65C8" w14:textId="77777777" w:rsidR="0095697F" w:rsidRPr="008E49D3" w:rsidRDefault="0095697F" w:rsidP="00A47A7E">
            <w:pPr>
              <w:rPr>
                <w:color w:val="000000"/>
                <w:szCs w:val="24"/>
              </w:rPr>
            </w:pPr>
            <w:r w:rsidRPr="008E49D3">
              <w:rPr>
                <w:color w:val="000000"/>
                <w:szCs w:val="24"/>
              </w:rPr>
              <w:t>Bulk</w:t>
            </w:r>
          </w:p>
        </w:tc>
        <w:tc>
          <w:tcPr>
            <w:tcW w:w="0" w:type="auto"/>
            <w:noWrap/>
            <w:hideMark/>
          </w:tcPr>
          <w:p w14:paraId="4BB981D9" w14:textId="77777777" w:rsidR="0095697F" w:rsidRPr="008E49D3" w:rsidRDefault="0095697F" w:rsidP="00A47A7E">
            <w:pPr>
              <w:rPr>
                <w:color w:val="000000"/>
                <w:szCs w:val="24"/>
              </w:rPr>
            </w:pPr>
            <w:r w:rsidRPr="008E49D3">
              <w:rPr>
                <w:color w:val="000000"/>
                <w:szCs w:val="24"/>
              </w:rPr>
              <w:t>Dry Bulk</w:t>
            </w:r>
          </w:p>
        </w:tc>
        <w:tc>
          <w:tcPr>
            <w:tcW w:w="5695" w:type="dxa"/>
            <w:hideMark/>
          </w:tcPr>
          <w:p w14:paraId="26B733A8" w14:textId="77777777" w:rsidR="0095697F" w:rsidRPr="008E49D3" w:rsidRDefault="0095697F" w:rsidP="00A47A7E">
            <w:pPr>
              <w:rPr>
                <w:color w:val="000000"/>
                <w:szCs w:val="24"/>
              </w:rPr>
            </w:pPr>
            <w:r w:rsidRPr="008E49D3">
              <w:rPr>
                <w:color w:val="000000"/>
                <w:szCs w:val="24"/>
              </w:rPr>
              <w:t xml:space="preserve">Closed terminals (silos, warehouses) for the loading/offloading and storage of raw materials such as grains, cement etc. </w:t>
            </w:r>
          </w:p>
        </w:tc>
      </w:tr>
      <w:tr w:rsidR="0095697F" w:rsidRPr="008E49D3" w14:paraId="3CFA8C40" w14:textId="77777777" w:rsidTr="00A47A7E">
        <w:trPr>
          <w:trHeight w:val="680"/>
        </w:trPr>
        <w:tc>
          <w:tcPr>
            <w:tcW w:w="1624" w:type="dxa"/>
            <w:noWrap/>
            <w:hideMark/>
          </w:tcPr>
          <w:p w14:paraId="4CA6209F" w14:textId="77777777" w:rsidR="0095697F" w:rsidRPr="008E49D3" w:rsidRDefault="0095697F" w:rsidP="00A47A7E">
            <w:pPr>
              <w:rPr>
                <w:color w:val="000000"/>
                <w:szCs w:val="24"/>
              </w:rPr>
            </w:pPr>
            <w:r w:rsidRPr="008E49D3">
              <w:rPr>
                <w:color w:val="000000"/>
                <w:szCs w:val="24"/>
              </w:rPr>
              <w:t>Breakbulk</w:t>
            </w:r>
          </w:p>
        </w:tc>
        <w:tc>
          <w:tcPr>
            <w:tcW w:w="0" w:type="auto"/>
            <w:noWrap/>
            <w:hideMark/>
          </w:tcPr>
          <w:p w14:paraId="1C3E4044" w14:textId="77777777" w:rsidR="0095697F" w:rsidRPr="008E49D3" w:rsidRDefault="0095697F" w:rsidP="00A47A7E">
            <w:pPr>
              <w:rPr>
                <w:color w:val="000000"/>
                <w:szCs w:val="24"/>
              </w:rPr>
            </w:pPr>
            <w:r w:rsidRPr="008E49D3">
              <w:rPr>
                <w:color w:val="000000"/>
                <w:szCs w:val="24"/>
              </w:rPr>
              <w:t>General Cargo</w:t>
            </w:r>
          </w:p>
        </w:tc>
        <w:tc>
          <w:tcPr>
            <w:tcW w:w="5695" w:type="dxa"/>
            <w:hideMark/>
          </w:tcPr>
          <w:p w14:paraId="1B3435A4" w14:textId="77777777" w:rsidR="0095697F" w:rsidRPr="008E49D3" w:rsidRDefault="0095697F" w:rsidP="00A47A7E">
            <w:pPr>
              <w:rPr>
                <w:color w:val="000000"/>
                <w:szCs w:val="24"/>
              </w:rPr>
            </w:pPr>
            <w:r w:rsidRPr="008E49D3">
              <w:rPr>
                <w:color w:val="000000"/>
                <w:szCs w:val="24"/>
              </w:rPr>
              <w:t xml:space="preserve">Breakbulk terminals and storage areas. Handling of cargo in unitized form such as pallets, bags, creates etc. </w:t>
            </w:r>
          </w:p>
        </w:tc>
      </w:tr>
      <w:tr w:rsidR="0095697F" w:rsidRPr="008E49D3" w14:paraId="018D00AB" w14:textId="77777777" w:rsidTr="00A47A7E">
        <w:trPr>
          <w:trHeight w:val="340"/>
        </w:trPr>
        <w:tc>
          <w:tcPr>
            <w:tcW w:w="1624" w:type="dxa"/>
            <w:noWrap/>
            <w:hideMark/>
          </w:tcPr>
          <w:p w14:paraId="72E34B83" w14:textId="77777777" w:rsidR="0095697F" w:rsidRPr="008E49D3" w:rsidRDefault="0095697F" w:rsidP="00A47A7E">
            <w:pPr>
              <w:rPr>
                <w:color w:val="000000"/>
                <w:szCs w:val="24"/>
              </w:rPr>
            </w:pPr>
            <w:r w:rsidRPr="008E49D3">
              <w:rPr>
                <w:color w:val="000000"/>
                <w:szCs w:val="24"/>
              </w:rPr>
              <w:t>Mixed</w:t>
            </w:r>
          </w:p>
        </w:tc>
        <w:tc>
          <w:tcPr>
            <w:tcW w:w="0" w:type="auto"/>
            <w:noWrap/>
            <w:hideMark/>
          </w:tcPr>
          <w:p w14:paraId="14D4DFBF" w14:textId="77777777" w:rsidR="0095697F" w:rsidRPr="008E49D3" w:rsidRDefault="0095697F" w:rsidP="00A47A7E">
            <w:pPr>
              <w:rPr>
                <w:color w:val="000000"/>
                <w:szCs w:val="24"/>
              </w:rPr>
            </w:pPr>
            <w:r w:rsidRPr="008E49D3">
              <w:rPr>
                <w:color w:val="000000"/>
                <w:szCs w:val="24"/>
              </w:rPr>
              <w:t>General Cargo</w:t>
            </w:r>
          </w:p>
        </w:tc>
        <w:tc>
          <w:tcPr>
            <w:tcW w:w="5695" w:type="dxa"/>
            <w:hideMark/>
          </w:tcPr>
          <w:p w14:paraId="45985F4E" w14:textId="77777777" w:rsidR="0095697F" w:rsidRPr="008E49D3" w:rsidRDefault="0095697F" w:rsidP="00A47A7E">
            <w:pPr>
              <w:rPr>
                <w:color w:val="000000"/>
                <w:szCs w:val="24"/>
              </w:rPr>
            </w:pPr>
            <w:r w:rsidRPr="008E49D3">
              <w:rPr>
                <w:color w:val="000000"/>
                <w:szCs w:val="24"/>
              </w:rPr>
              <w:t>A mix of various types, but predominantly breakbulk goods</w:t>
            </w:r>
          </w:p>
        </w:tc>
      </w:tr>
      <w:tr w:rsidR="0095697F" w:rsidRPr="008E49D3" w14:paraId="47B5E913" w14:textId="77777777" w:rsidTr="00A47A7E">
        <w:trPr>
          <w:trHeight w:val="680"/>
        </w:trPr>
        <w:tc>
          <w:tcPr>
            <w:tcW w:w="1624" w:type="dxa"/>
            <w:noWrap/>
            <w:hideMark/>
          </w:tcPr>
          <w:p w14:paraId="195F3E9F" w14:textId="77777777" w:rsidR="0095697F" w:rsidRPr="008E49D3" w:rsidRDefault="0095697F" w:rsidP="00A47A7E">
            <w:pPr>
              <w:rPr>
                <w:color w:val="000000"/>
                <w:szCs w:val="24"/>
              </w:rPr>
            </w:pPr>
            <w:r w:rsidRPr="008E49D3">
              <w:rPr>
                <w:color w:val="000000"/>
                <w:szCs w:val="24"/>
              </w:rPr>
              <w:t>Storage</w:t>
            </w:r>
          </w:p>
        </w:tc>
        <w:tc>
          <w:tcPr>
            <w:tcW w:w="0" w:type="auto"/>
            <w:noWrap/>
            <w:hideMark/>
          </w:tcPr>
          <w:p w14:paraId="75F20A77" w14:textId="77777777" w:rsidR="0095697F" w:rsidRPr="008E49D3" w:rsidRDefault="0095697F" w:rsidP="00A47A7E">
            <w:pPr>
              <w:rPr>
                <w:color w:val="000000"/>
                <w:szCs w:val="24"/>
              </w:rPr>
            </w:pPr>
            <w:r w:rsidRPr="008E49D3">
              <w:rPr>
                <w:color w:val="000000"/>
                <w:szCs w:val="24"/>
              </w:rPr>
              <w:t>Storage</w:t>
            </w:r>
          </w:p>
        </w:tc>
        <w:tc>
          <w:tcPr>
            <w:tcW w:w="5695" w:type="dxa"/>
            <w:hideMark/>
          </w:tcPr>
          <w:p w14:paraId="61885F1E" w14:textId="77777777" w:rsidR="0095697F" w:rsidRPr="008E49D3" w:rsidRDefault="0095697F" w:rsidP="00A47A7E">
            <w:pPr>
              <w:rPr>
                <w:color w:val="000000"/>
                <w:szCs w:val="24"/>
              </w:rPr>
            </w:pPr>
            <w:r w:rsidRPr="008E49D3">
              <w:rPr>
                <w:color w:val="000000"/>
                <w:szCs w:val="24"/>
              </w:rPr>
              <w:t>A dedicated storage space located not part of the port terminals. Can be used for the storage of all type of goods (containers, breakbulk)</w:t>
            </w:r>
          </w:p>
        </w:tc>
      </w:tr>
      <w:tr w:rsidR="0095697F" w:rsidRPr="008E49D3" w14:paraId="012B7EAF" w14:textId="77777777" w:rsidTr="00A47A7E">
        <w:trPr>
          <w:trHeight w:val="340"/>
        </w:trPr>
        <w:tc>
          <w:tcPr>
            <w:tcW w:w="1624" w:type="dxa"/>
            <w:noWrap/>
            <w:hideMark/>
          </w:tcPr>
          <w:p w14:paraId="28BB5C50" w14:textId="77777777" w:rsidR="0095697F" w:rsidRPr="008E49D3" w:rsidRDefault="0095697F" w:rsidP="00A47A7E">
            <w:pPr>
              <w:rPr>
                <w:color w:val="000000"/>
                <w:szCs w:val="24"/>
              </w:rPr>
            </w:pPr>
            <w:r w:rsidRPr="008E49D3">
              <w:rPr>
                <w:color w:val="000000"/>
                <w:szCs w:val="24"/>
              </w:rPr>
              <w:t>Warehouse</w:t>
            </w:r>
          </w:p>
        </w:tc>
        <w:tc>
          <w:tcPr>
            <w:tcW w:w="0" w:type="auto"/>
            <w:noWrap/>
            <w:hideMark/>
          </w:tcPr>
          <w:p w14:paraId="36D13DCF" w14:textId="77777777" w:rsidR="0095697F" w:rsidRPr="008E49D3" w:rsidRDefault="0095697F" w:rsidP="00A47A7E">
            <w:pPr>
              <w:rPr>
                <w:color w:val="000000"/>
                <w:szCs w:val="24"/>
              </w:rPr>
            </w:pPr>
            <w:r w:rsidRPr="008E49D3">
              <w:rPr>
                <w:color w:val="000000"/>
                <w:szCs w:val="24"/>
              </w:rPr>
              <w:t>Storage</w:t>
            </w:r>
          </w:p>
        </w:tc>
        <w:tc>
          <w:tcPr>
            <w:tcW w:w="5695" w:type="dxa"/>
            <w:hideMark/>
          </w:tcPr>
          <w:p w14:paraId="143CF263" w14:textId="77777777" w:rsidR="0095697F" w:rsidRPr="008E49D3" w:rsidRDefault="0095697F" w:rsidP="00A47A7E">
            <w:pPr>
              <w:rPr>
                <w:color w:val="000000"/>
                <w:szCs w:val="24"/>
              </w:rPr>
            </w:pPr>
            <w:r w:rsidRPr="008E49D3">
              <w:rPr>
                <w:color w:val="000000"/>
                <w:szCs w:val="24"/>
              </w:rPr>
              <w:t>A warehouse used for the storage and distribution of goods</w:t>
            </w:r>
          </w:p>
        </w:tc>
      </w:tr>
      <w:tr w:rsidR="0095697F" w:rsidRPr="008E49D3" w14:paraId="32DBC242" w14:textId="77777777" w:rsidTr="00A47A7E">
        <w:trPr>
          <w:trHeight w:val="340"/>
        </w:trPr>
        <w:tc>
          <w:tcPr>
            <w:tcW w:w="1624" w:type="dxa"/>
            <w:noWrap/>
            <w:hideMark/>
          </w:tcPr>
          <w:p w14:paraId="7CA7B452" w14:textId="77777777" w:rsidR="0095697F" w:rsidRPr="008E49D3" w:rsidRDefault="0095697F" w:rsidP="00A47A7E">
            <w:pPr>
              <w:rPr>
                <w:color w:val="000000"/>
                <w:szCs w:val="24"/>
              </w:rPr>
            </w:pPr>
            <w:r w:rsidRPr="008E49D3">
              <w:rPr>
                <w:color w:val="000000"/>
                <w:szCs w:val="24"/>
              </w:rPr>
              <w:t>Passenger</w:t>
            </w:r>
          </w:p>
        </w:tc>
        <w:tc>
          <w:tcPr>
            <w:tcW w:w="0" w:type="auto"/>
            <w:noWrap/>
            <w:hideMark/>
          </w:tcPr>
          <w:p w14:paraId="48BDA932" w14:textId="77777777" w:rsidR="0095697F" w:rsidRPr="008E49D3" w:rsidRDefault="0095697F" w:rsidP="00A47A7E">
            <w:pPr>
              <w:rPr>
                <w:color w:val="000000"/>
                <w:szCs w:val="24"/>
              </w:rPr>
            </w:pPr>
            <w:r w:rsidRPr="008E49D3">
              <w:rPr>
                <w:color w:val="000000"/>
                <w:szCs w:val="24"/>
              </w:rPr>
              <w:t>Other</w:t>
            </w:r>
          </w:p>
        </w:tc>
        <w:tc>
          <w:tcPr>
            <w:tcW w:w="5695" w:type="dxa"/>
            <w:hideMark/>
          </w:tcPr>
          <w:p w14:paraId="2F10CED6" w14:textId="77777777" w:rsidR="0095697F" w:rsidRPr="008E49D3" w:rsidRDefault="0095697F" w:rsidP="00A47A7E">
            <w:pPr>
              <w:rPr>
                <w:color w:val="000000"/>
                <w:szCs w:val="24"/>
              </w:rPr>
            </w:pPr>
            <w:r w:rsidRPr="008E49D3">
              <w:rPr>
                <w:color w:val="000000"/>
                <w:szCs w:val="24"/>
              </w:rPr>
              <w:t>A passenger terminal used for mooring of passenger vessels, ferries and cruise ships</w:t>
            </w:r>
          </w:p>
        </w:tc>
      </w:tr>
      <w:tr w:rsidR="0095697F" w:rsidRPr="008E49D3" w14:paraId="4167DEAA" w14:textId="77777777" w:rsidTr="00A47A7E">
        <w:trPr>
          <w:trHeight w:val="340"/>
        </w:trPr>
        <w:tc>
          <w:tcPr>
            <w:tcW w:w="1624" w:type="dxa"/>
            <w:noWrap/>
            <w:hideMark/>
          </w:tcPr>
          <w:p w14:paraId="33B821A3" w14:textId="77777777" w:rsidR="0095697F" w:rsidRPr="008E49D3" w:rsidRDefault="0095697F" w:rsidP="00A47A7E">
            <w:pPr>
              <w:rPr>
                <w:color w:val="000000"/>
                <w:szCs w:val="24"/>
              </w:rPr>
            </w:pPr>
            <w:r w:rsidRPr="008E49D3">
              <w:rPr>
                <w:color w:val="000000"/>
                <w:szCs w:val="24"/>
              </w:rPr>
              <w:t>Steel</w:t>
            </w:r>
          </w:p>
        </w:tc>
        <w:tc>
          <w:tcPr>
            <w:tcW w:w="0" w:type="auto"/>
            <w:noWrap/>
            <w:hideMark/>
          </w:tcPr>
          <w:p w14:paraId="39EF44E1" w14:textId="77777777" w:rsidR="0095697F" w:rsidRPr="008E49D3" w:rsidRDefault="0095697F" w:rsidP="00A47A7E">
            <w:pPr>
              <w:rPr>
                <w:color w:val="000000"/>
                <w:szCs w:val="24"/>
              </w:rPr>
            </w:pPr>
            <w:r w:rsidRPr="008E49D3">
              <w:rPr>
                <w:color w:val="000000"/>
                <w:szCs w:val="24"/>
              </w:rPr>
              <w:t>General Cargo</w:t>
            </w:r>
          </w:p>
        </w:tc>
        <w:tc>
          <w:tcPr>
            <w:tcW w:w="5695" w:type="dxa"/>
            <w:hideMark/>
          </w:tcPr>
          <w:p w14:paraId="2B323D56" w14:textId="77777777" w:rsidR="0095697F" w:rsidRPr="008E49D3" w:rsidRDefault="0095697F" w:rsidP="00A47A7E">
            <w:pPr>
              <w:rPr>
                <w:color w:val="000000"/>
                <w:szCs w:val="24"/>
              </w:rPr>
            </w:pPr>
            <w:r w:rsidRPr="008E49D3">
              <w:rPr>
                <w:color w:val="000000"/>
                <w:szCs w:val="24"/>
              </w:rPr>
              <w:t>A dedicated terminal for the loading/offloading and storage of steel products</w:t>
            </w:r>
          </w:p>
        </w:tc>
      </w:tr>
      <w:tr w:rsidR="0095697F" w:rsidRPr="008E49D3" w14:paraId="08A64F51" w14:textId="77777777" w:rsidTr="00A47A7E">
        <w:trPr>
          <w:trHeight w:val="340"/>
        </w:trPr>
        <w:tc>
          <w:tcPr>
            <w:tcW w:w="1624" w:type="dxa"/>
            <w:noWrap/>
            <w:hideMark/>
          </w:tcPr>
          <w:p w14:paraId="48D5F21B" w14:textId="77777777" w:rsidR="0095697F" w:rsidRPr="008E49D3" w:rsidRDefault="0095697F" w:rsidP="00A47A7E">
            <w:pPr>
              <w:rPr>
                <w:color w:val="000000"/>
                <w:szCs w:val="24"/>
              </w:rPr>
            </w:pPr>
            <w:proofErr w:type="spellStart"/>
            <w:r w:rsidRPr="008E49D3">
              <w:rPr>
                <w:color w:val="000000"/>
                <w:szCs w:val="24"/>
              </w:rPr>
              <w:t>RoRo</w:t>
            </w:r>
            <w:proofErr w:type="spellEnd"/>
          </w:p>
        </w:tc>
        <w:tc>
          <w:tcPr>
            <w:tcW w:w="0" w:type="auto"/>
            <w:noWrap/>
            <w:hideMark/>
          </w:tcPr>
          <w:p w14:paraId="52B5C130" w14:textId="77777777" w:rsidR="0095697F" w:rsidRPr="008E49D3" w:rsidRDefault="0095697F" w:rsidP="00A47A7E">
            <w:pPr>
              <w:rPr>
                <w:color w:val="000000"/>
                <w:szCs w:val="24"/>
              </w:rPr>
            </w:pPr>
            <w:proofErr w:type="spellStart"/>
            <w:r w:rsidRPr="008E49D3">
              <w:rPr>
                <w:color w:val="000000"/>
                <w:szCs w:val="24"/>
              </w:rPr>
              <w:t>RoRo</w:t>
            </w:r>
            <w:proofErr w:type="spellEnd"/>
          </w:p>
        </w:tc>
        <w:tc>
          <w:tcPr>
            <w:tcW w:w="5695" w:type="dxa"/>
            <w:hideMark/>
          </w:tcPr>
          <w:p w14:paraId="21C11DF0" w14:textId="77777777" w:rsidR="0095697F" w:rsidRPr="008E49D3" w:rsidRDefault="0095697F" w:rsidP="00A47A7E">
            <w:pPr>
              <w:rPr>
                <w:color w:val="000000"/>
                <w:szCs w:val="24"/>
              </w:rPr>
            </w:pPr>
            <w:r w:rsidRPr="008E49D3">
              <w:rPr>
                <w:color w:val="000000"/>
                <w:szCs w:val="24"/>
              </w:rPr>
              <w:t xml:space="preserve">A roll on roll off terminal used for the movement of trucks on dedicated </w:t>
            </w:r>
            <w:proofErr w:type="spellStart"/>
            <w:r w:rsidRPr="008E49D3">
              <w:rPr>
                <w:color w:val="000000"/>
                <w:szCs w:val="24"/>
              </w:rPr>
              <w:t>RoRo</w:t>
            </w:r>
            <w:proofErr w:type="spellEnd"/>
            <w:r w:rsidRPr="008E49D3">
              <w:rPr>
                <w:color w:val="000000"/>
                <w:szCs w:val="24"/>
              </w:rPr>
              <w:t xml:space="preserve"> vessels</w:t>
            </w:r>
          </w:p>
        </w:tc>
      </w:tr>
      <w:tr w:rsidR="0095697F" w:rsidRPr="008E49D3" w14:paraId="56EA1163" w14:textId="77777777" w:rsidTr="00A47A7E">
        <w:trPr>
          <w:trHeight w:val="340"/>
        </w:trPr>
        <w:tc>
          <w:tcPr>
            <w:tcW w:w="1624" w:type="dxa"/>
            <w:noWrap/>
            <w:hideMark/>
          </w:tcPr>
          <w:p w14:paraId="6F3D82B5" w14:textId="77777777" w:rsidR="0095697F" w:rsidRPr="008E49D3" w:rsidRDefault="0095697F" w:rsidP="00A47A7E">
            <w:pPr>
              <w:rPr>
                <w:color w:val="000000"/>
                <w:szCs w:val="24"/>
              </w:rPr>
            </w:pPr>
            <w:r w:rsidRPr="008E49D3">
              <w:rPr>
                <w:color w:val="000000"/>
                <w:szCs w:val="24"/>
              </w:rPr>
              <w:t>Scrap</w:t>
            </w:r>
          </w:p>
        </w:tc>
        <w:tc>
          <w:tcPr>
            <w:tcW w:w="0" w:type="auto"/>
            <w:noWrap/>
            <w:hideMark/>
          </w:tcPr>
          <w:p w14:paraId="25CC4102" w14:textId="77777777" w:rsidR="0095697F" w:rsidRPr="008E49D3" w:rsidRDefault="0095697F" w:rsidP="00A47A7E">
            <w:pPr>
              <w:rPr>
                <w:color w:val="000000"/>
                <w:szCs w:val="24"/>
              </w:rPr>
            </w:pPr>
            <w:r w:rsidRPr="008E49D3">
              <w:rPr>
                <w:color w:val="000000"/>
                <w:szCs w:val="24"/>
              </w:rPr>
              <w:t>General Cargo</w:t>
            </w:r>
          </w:p>
        </w:tc>
        <w:tc>
          <w:tcPr>
            <w:tcW w:w="5695" w:type="dxa"/>
            <w:hideMark/>
          </w:tcPr>
          <w:p w14:paraId="27E6A8E5" w14:textId="77777777" w:rsidR="0095697F" w:rsidRPr="008E49D3" w:rsidRDefault="0095697F" w:rsidP="00A47A7E">
            <w:pPr>
              <w:rPr>
                <w:color w:val="000000"/>
                <w:szCs w:val="24"/>
              </w:rPr>
            </w:pPr>
            <w:r w:rsidRPr="008E49D3">
              <w:rPr>
                <w:color w:val="000000"/>
                <w:szCs w:val="24"/>
              </w:rPr>
              <w:t>A dedicated terminal for the loading/offloading and storage of scrap products</w:t>
            </w:r>
          </w:p>
        </w:tc>
      </w:tr>
      <w:tr w:rsidR="0095697F" w:rsidRPr="008E49D3" w14:paraId="54F6738D" w14:textId="77777777" w:rsidTr="00A47A7E">
        <w:trPr>
          <w:trHeight w:val="340"/>
        </w:trPr>
        <w:tc>
          <w:tcPr>
            <w:tcW w:w="1624" w:type="dxa"/>
            <w:noWrap/>
            <w:hideMark/>
          </w:tcPr>
          <w:p w14:paraId="6CA9E5A5" w14:textId="77777777" w:rsidR="0095697F" w:rsidRPr="008E49D3" w:rsidRDefault="0095697F" w:rsidP="00A47A7E">
            <w:pPr>
              <w:rPr>
                <w:color w:val="000000"/>
                <w:szCs w:val="24"/>
              </w:rPr>
            </w:pPr>
            <w:r w:rsidRPr="008E49D3">
              <w:rPr>
                <w:color w:val="000000"/>
                <w:szCs w:val="24"/>
              </w:rPr>
              <w:t>Wood</w:t>
            </w:r>
          </w:p>
        </w:tc>
        <w:tc>
          <w:tcPr>
            <w:tcW w:w="0" w:type="auto"/>
            <w:noWrap/>
            <w:hideMark/>
          </w:tcPr>
          <w:p w14:paraId="4CDBCD3F" w14:textId="77777777" w:rsidR="0095697F" w:rsidRPr="008E49D3" w:rsidRDefault="0095697F" w:rsidP="00A47A7E">
            <w:pPr>
              <w:rPr>
                <w:color w:val="000000"/>
                <w:szCs w:val="24"/>
              </w:rPr>
            </w:pPr>
            <w:r w:rsidRPr="008E49D3">
              <w:rPr>
                <w:color w:val="000000"/>
                <w:szCs w:val="24"/>
              </w:rPr>
              <w:t>General Cargo</w:t>
            </w:r>
          </w:p>
        </w:tc>
        <w:tc>
          <w:tcPr>
            <w:tcW w:w="5695" w:type="dxa"/>
            <w:hideMark/>
          </w:tcPr>
          <w:p w14:paraId="275DCFB7" w14:textId="77777777" w:rsidR="0095697F" w:rsidRPr="008E49D3" w:rsidRDefault="0095697F" w:rsidP="00A47A7E">
            <w:pPr>
              <w:rPr>
                <w:color w:val="000000"/>
                <w:szCs w:val="24"/>
              </w:rPr>
            </w:pPr>
            <w:r w:rsidRPr="008E49D3">
              <w:rPr>
                <w:color w:val="000000"/>
                <w:szCs w:val="24"/>
              </w:rPr>
              <w:t>A dedicated terminal for the loading/offloading and storage of wood and paper products</w:t>
            </w:r>
          </w:p>
        </w:tc>
      </w:tr>
      <w:tr w:rsidR="0095697F" w:rsidRPr="008E49D3" w14:paraId="2D3C914F" w14:textId="77777777" w:rsidTr="00A47A7E">
        <w:trPr>
          <w:trHeight w:val="680"/>
        </w:trPr>
        <w:tc>
          <w:tcPr>
            <w:tcW w:w="1624" w:type="dxa"/>
            <w:noWrap/>
            <w:hideMark/>
          </w:tcPr>
          <w:p w14:paraId="0DBBBA6C" w14:textId="77777777" w:rsidR="0095697F" w:rsidRPr="008E49D3" w:rsidRDefault="0095697F" w:rsidP="00A47A7E">
            <w:pPr>
              <w:rPr>
                <w:color w:val="000000"/>
                <w:szCs w:val="24"/>
              </w:rPr>
            </w:pPr>
            <w:r w:rsidRPr="008E49D3">
              <w:rPr>
                <w:color w:val="000000"/>
                <w:szCs w:val="24"/>
              </w:rPr>
              <w:t>Other</w:t>
            </w:r>
          </w:p>
        </w:tc>
        <w:tc>
          <w:tcPr>
            <w:tcW w:w="0" w:type="auto"/>
            <w:noWrap/>
            <w:hideMark/>
          </w:tcPr>
          <w:p w14:paraId="75EB7EAC" w14:textId="77777777" w:rsidR="0095697F" w:rsidRPr="008E49D3" w:rsidRDefault="0095697F" w:rsidP="00A47A7E">
            <w:pPr>
              <w:rPr>
                <w:color w:val="000000"/>
                <w:szCs w:val="24"/>
              </w:rPr>
            </w:pPr>
            <w:r w:rsidRPr="008E49D3">
              <w:rPr>
                <w:color w:val="000000"/>
                <w:szCs w:val="24"/>
              </w:rPr>
              <w:t>Other</w:t>
            </w:r>
          </w:p>
        </w:tc>
        <w:tc>
          <w:tcPr>
            <w:tcW w:w="5695" w:type="dxa"/>
            <w:hideMark/>
          </w:tcPr>
          <w:p w14:paraId="66678A96" w14:textId="77777777" w:rsidR="0095697F" w:rsidRPr="008E49D3" w:rsidRDefault="0095697F" w:rsidP="00A47A7E">
            <w:pPr>
              <w:rPr>
                <w:color w:val="000000"/>
                <w:szCs w:val="24"/>
              </w:rPr>
            </w:pPr>
            <w:r w:rsidRPr="008E49D3">
              <w:rPr>
                <w:color w:val="000000"/>
                <w:szCs w:val="24"/>
              </w:rPr>
              <w:t>Other land-use types not mentioned above. In particular shipyards and land under construction</w:t>
            </w:r>
          </w:p>
        </w:tc>
      </w:tr>
    </w:tbl>
    <w:p w14:paraId="079F3DFF" w14:textId="77777777" w:rsidR="0095697F" w:rsidRPr="008E49D3" w:rsidRDefault="0095697F" w:rsidP="0095697F">
      <w:pPr>
        <w:pStyle w:val="SMcaption"/>
        <w:rPr>
          <w:szCs w:val="24"/>
          <w:lang w:val="en-GB"/>
        </w:rPr>
      </w:pPr>
    </w:p>
    <w:p w14:paraId="031A1F41" w14:textId="77777777" w:rsidR="0095697F" w:rsidRPr="008E49D3" w:rsidRDefault="0095697F" w:rsidP="0095697F">
      <w:pPr>
        <w:pStyle w:val="SMcaption"/>
        <w:rPr>
          <w:szCs w:val="24"/>
        </w:rPr>
      </w:pPr>
    </w:p>
    <w:p w14:paraId="1C2DBC42" w14:textId="77777777" w:rsidR="0095697F" w:rsidRPr="008E49D3" w:rsidRDefault="0095697F" w:rsidP="0095697F">
      <w:pPr>
        <w:pStyle w:val="SMcaption"/>
        <w:rPr>
          <w:szCs w:val="24"/>
        </w:rPr>
      </w:pPr>
    </w:p>
    <w:p w14:paraId="219BF9EF" w14:textId="77777777" w:rsidR="0095697F" w:rsidRPr="008E49D3" w:rsidRDefault="0095697F" w:rsidP="0095697F">
      <w:pPr>
        <w:pStyle w:val="SMcaption"/>
        <w:rPr>
          <w:szCs w:val="24"/>
        </w:rPr>
      </w:pPr>
    </w:p>
    <w:p w14:paraId="77D01B04" w14:textId="77777777" w:rsidR="0095697F" w:rsidRPr="008E49D3" w:rsidRDefault="0095697F" w:rsidP="0095697F">
      <w:pPr>
        <w:rPr>
          <w:b/>
          <w:bCs/>
          <w:kern w:val="32"/>
        </w:rPr>
      </w:pPr>
      <w:r w:rsidRPr="008E49D3">
        <w:br w:type="page"/>
      </w:r>
    </w:p>
    <w:p w14:paraId="05A95674" w14:textId="318E2CFC" w:rsidR="0095697F" w:rsidRPr="008E49D3" w:rsidRDefault="00487BF3" w:rsidP="0095697F">
      <w:pPr>
        <w:pStyle w:val="SMHeading"/>
        <w:rPr>
          <w:b w:val="0"/>
        </w:rPr>
      </w:pPr>
      <w:r>
        <w:lastRenderedPageBreak/>
        <w:t xml:space="preserve">Supplementary Table </w:t>
      </w:r>
      <w:r w:rsidR="0095697F" w:rsidRPr="008E49D3">
        <w:t xml:space="preserve">3. </w:t>
      </w:r>
      <w:r w:rsidR="0095697F" w:rsidRPr="008E49D3">
        <w:rPr>
          <w:b w:val="0"/>
        </w:rPr>
        <w:t>A comparison of country-wide port areas (in km</w:t>
      </w:r>
      <w:r w:rsidR="0095697F" w:rsidRPr="008E49D3">
        <w:rPr>
          <w:b w:val="0"/>
          <w:vertAlign w:val="superscript"/>
        </w:rPr>
        <w:t>2</w:t>
      </w:r>
      <w:r w:rsidR="0095697F" w:rsidRPr="008E49D3">
        <w:rPr>
          <w:b w:val="0"/>
        </w:rPr>
        <w:t xml:space="preserve">) across studies as presented in Table 3 of Hanson and Nicholls (2020) </w:t>
      </w:r>
      <w:r w:rsidR="0095697F" w:rsidRPr="008E49D3">
        <w:rPr>
          <w:b w:val="0"/>
        </w:rPr>
        <w:fldChar w:fldCharType="begin" w:fldLock="1"/>
      </w:r>
      <w:r w:rsidR="00902ED9">
        <w:rPr>
          <w:b w:val="0"/>
        </w:rPr>
        <w:instrText>ADDIN CSL_CITATION {"citationItems":[{"id":"ITEM-1","itemData":{"DOI":"10.1029/2020EF001543","ISSN":"2328-4277","author":[{"dropping-particle":"","family":"Hanson","given":"Susan E.","non-dropping-particle":"","parse-names":false,"suffix":""},{"dropping-particle":"","family":"Nicholls","given":"Robert J.","non-dropping-particle":"","parse-names":false,"suffix":""}],"container-title":"Earth's Future","id":"ITEM-1","issue":"8","issued":{"date-parts":[["2020","8","6"]]},"title":"Demand for Ports to 2050: Climate Policy, Growing Trade and the Impacts of Sea‐Level Rise","type":"article-journal","volume":"8"},"uris":["http://www.mendeley.com/documents/?uuid=6ee845d6-a49f-4def-8e60-9ff6b145eb25"]}],"mendeley":{"formattedCitation":"&lt;sup&gt;1&lt;/sup&gt;","plainTextFormattedCitation":"1","previouslyFormattedCitation":"(&lt;i&gt;1&lt;/i&gt;)"},"properties":{"noteIndex":0},"schema":"https://github.com/citation-style-language/schema/raw/master/csl-citation.json"}</w:instrText>
      </w:r>
      <w:r w:rsidR="0095697F" w:rsidRPr="008E49D3">
        <w:rPr>
          <w:b w:val="0"/>
        </w:rPr>
        <w:fldChar w:fldCharType="separate"/>
      </w:r>
      <w:r w:rsidR="00902ED9" w:rsidRPr="00902ED9">
        <w:rPr>
          <w:b w:val="0"/>
          <w:noProof/>
          <w:vertAlign w:val="superscript"/>
        </w:rPr>
        <w:t>1</w:t>
      </w:r>
      <w:r w:rsidR="0095697F" w:rsidRPr="008E49D3">
        <w:rPr>
          <w:b w:val="0"/>
        </w:rPr>
        <w:fldChar w:fldCharType="end"/>
      </w:r>
      <w:r w:rsidR="0095697F" w:rsidRPr="008E49D3">
        <w:rPr>
          <w:b w:val="0"/>
        </w:rPr>
        <w:t xml:space="preserve">. Columns 2-5 are directly adopted from Hanson and Nicholls (2020) (please refer to this study for details) whereas columns (6-8) are based on the port area mapping performed in this study as described above.  ‘All land-use’ includes all land-use types, including ‘Industry’. ‘No industry’ includes all port land-use types but not ‘Industry’. ‘Select land-use’ includes all port-land use types (no industry), except land-use classified as ‘Industry’, ‘Storage’ or ‘Other’ (see </w:t>
      </w:r>
      <w:r>
        <w:rPr>
          <w:b w:val="0"/>
        </w:rPr>
        <w:t xml:space="preserve">Supplementary Table </w:t>
      </w:r>
      <w:r w:rsidR="0095697F" w:rsidRPr="008E49D3">
        <w:rPr>
          <w:b w:val="0"/>
        </w:rPr>
        <w:t>2).</w:t>
      </w:r>
    </w:p>
    <w:tbl>
      <w:tblPr>
        <w:tblW w:w="9204" w:type="dxa"/>
        <w:tblInd w:w="-284" w:type="dxa"/>
        <w:tblLook w:val="04A0" w:firstRow="1" w:lastRow="0" w:firstColumn="1" w:lastColumn="0" w:noHBand="0" w:noVBand="1"/>
      </w:tblPr>
      <w:tblGrid>
        <w:gridCol w:w="1704"/>
        <w:gridCol w:w="1200"/>
        <w:gridCol w:w="1120"/>
        <w:gridCol w:w="980"/>
        <w:gridCol w:w="931"/>
        <w:gridCol w:w="1060"/>
        <w:gridCol w:w="1060"/>
        <w:gridCol w:w="1160"/>
      </w:tblGrid>
      <w:tr w:rsidR="0095697F" w:rsidRPr="00AD5F47" w14:paraId="638F172E" w14:textId="77777777" w:rsidTr="00A47A7E">
        <w:trPr>
          <w:trHeight w:val="860"/>
        </w:trPr>
        <w:tc>
          <w:tcPr>
            <w:tcW w:w="1704" w:type="dxa"/>
            <w:tcBorders>
              <w:top w:val="nil"/>
              <w:left w:val="nil"/>
              <w:bottom w:val="single" w:sz="4" w:space="0" w:color="auto"/>
              <w:right w:val="nil"/>
            </w:tcBorders>
            <w:shd w:val="clear" w:color="auto" w:fill="auto"/>
            <w:vAlign w:val="center"/>
            <w:hideMark/>
          </w:tcPr>
          <w:p w14:paraId="4C664621" w14:textId="77777777" w:rsidR="0095697F" w:rsidRPr="00AD5F47" w:rsidRDefault="0095697F" w:rsidP="00A47A7E">
            <w:pPr>
              <w:rPr>
                <w:b/>
                <w:bCs/>
                <w:color w:val="000000"/>
                <w:sz w:val="22"/>
                <w:szCs w:val="22"/>
              </w:rPr>
            </w:pPr>
            <w:r w:rsidRPr="00AD5F47">
              <w:rPr>
                <w:b/>
                <w:bCs/>
                <w:color w:val="000000"/>
                <w:sz w:val="22"/>
                <w:szCs w:val="22"/>
              </w:rPr>
              <w:t>Country</w:t>
            </w:r>
          </w:p>
        </w:tc>
        <w:tc>
          <w:tcPr>
            <w:tcW w:w="1200" w:type="dxa"/>
            <w:tcBorders>
              <w:top w:val="nil"/>
              <w:left w:val="nil"/>
              <w:bottom w:val="single" w:sz="4" w:space="0" w:color="auto"/>
              <w:right w:val="nil"/>
            </w:tcBorders>
            <w:shd w:val="clear" w:color="auto" w:fill="auto"/>
            <w:vAlign w:val="center"/>
            <w:hideMark/>
          </w:tcPr>
          <w:p w14:paraId="0A9D3D5A" w14:textId="77777777" w:rsidR="0095697F" w:rsidRPr="00AD5F47" w:rsidRDefault="0095697F" w:rsidP="00A47A7E">
            <w:pPr>
              <w:jc w:val="center"/>
              <w:rPr>
                <w:b/>
                <w:bCs/>
                <w:color w:val="000000"/>
                <w:sz w:val="22"/>
                <w:szCs w:val="22"/>
              </w:rPr>
            </w:pPr>
            <w:r w:rsidRPr="00AD5F47">
              <w:rPr>
                <w:b/>
                <w:bCs/>
                <w:color w:val="000000"/>
                <w:sz w:val="22"/>
                <w:szCs w:val="22"/>
              </w:rPr>
              <w:t>Hanson and Nicholls (2020)</w:t>
            </w:r>
          </w:p>
        </w:tc>
        <w:tc>
          <w:tcPr>
            <w:tcW w:w="1120" w:type="dxa"/>
            <w:tcBorders>
              <w:top w:val="nil"/>
              <w:left w:val="nil"/>
              <w:bottom w:val="single" w:sz="4" w:space="0" w:color="auto"/>
              <w:right w:val="nil"/>
            </w:tcBorders>
            <w:shd w:val="clear" w:color="auto" w:fill="auto"/>
            <w:vAlign w:val="center"/>
            <w:hideMark/>
          </w:tcPr>
          <w:p w14:paraId="4D47659C" w14:textId="77777777" w:rsidR="0095697F" w:rsidRPr="00AD5F47" w:rsidRDefault="0095697F" w:rsidP="00A47A7E">
            <w:pPr>
              <w:jc w:val="center"/>
              <w:rPr>
                <w:b/>
                <w:bCs/>
                <w:color w:val="000000"/>
                <w:sz w:val="22"/>
                <w:szCs w:val="22"/>
              </w:rPr>
            </w:pPr>
            <w:proofErr w:type="spellStart"/>
            <w:r w:rsidRPr="00AD5F47">
              <w:rPr>
                <w:b/>
                <w:bCs/>
                <w:color w:val="000000"/>
                <w:sz w:val="22"/>
                <w:szCs w:val="22"/>
              </w:rPr>
              <w:t>Dronkers</w:t>
            </w:r>
            <w:proofErr w:type="spellEnd"/>
            <w:r w:rsidRPr="00AD5F47">
              <w:rPr>
                <w:b/>
                <w:bCs/>
                <w:color w:val="000000"/>
                <w:sz w:val="22"/>
                <w:szCs w:val="22"/>
              </w:rPr>
              <w:t xml:space="preserve"> et al. (1990)</w:t>
            </w:r>
          </w:p>
        </w:tc>
        <w:tc>
          <w:tcPr>
            <w:tcW w:w="980" w:type="dxa"/>
            <w:tcBorders>
              <w:top w:val="nil"/>
              <w:left w:val="nil"/>
              <w:bottom w:val="single" w:sz="4" w:space="0" w:color="auto"/>
              <w:right w:val="nil"/>
            </w:tcBorders>
            <w:shd w:val="clear" w:color="auto" w:fill="auto"/>
            <w:vAlign w:val="center"/>
            <w:hideMark/>
          </w:tcPr>
          <w:p w14:paraId="4711E930" w14:textId="77777777" w:rsidR="0095697F" w:rsidRPr="00AD5F47" w:rsidRDefault="0095697F" w:rsidP="00A47A7E">
            <w:pPr>
              <w:jc w:val="center"/>
              <w:rPr>
                <w:b/>
                <w:bCs/>
                <w:color w:val="000000"/>
                <w:sz w:val="22"/>
                <w:szCs w:val="22"/>
              </w:rPr>
            </w:pPr>
            <w:r w:rsidRPr="00AD5F47">
              <w:rPr>
                <w:b/>
                <w:bCs/>
                <w:color w:val="000000"/>
                <w:sz w:val="22"/>
                <w:szCs w:val="22"/>
              </w:rPr>
              <w:t>Lloyds List (2009)</w:t>
            </w:r>
          </w:p>
        </w:tc>
        <w:tc>
          <w:tcPr>
            <w:tcW w:w="920" w:type="dxa"/>
            <w:tcBorders>
              <w:top w:val="nil"/>
              <w:left w:val="nil"/>
              <w:bottom w:val="single" w:sz="4" w:space="0" w:color="auto"/>
              <w:right w:val="nil"/>
            </w:tcBorders>
            <w:shd w:val="clear" w:color="auto" w:fill="auto"/>
            <w:vAlign w:val="center"/>
            <w:hideMark/>
          </w:tcPr>
          <w:p w14:paraId="152BB646" w14:textId="77777777" w:rsidR="0095697F" w:rsidRPr="00AD5F47" w:rsidRDefault="0095697F" w:rsidP="00A47A7E">
            <w:pPr>
              <w:jc w:val="center"/>
              <w:rPr>
                <w:b/>
                <w:bCs/>
                <w:color w:val="000000"/>
                <w:sz w:val="22"/>
                <w:szCs w:val="22"/>
              </w:rPr>
            </w:pPr>
            <w:r w:rsidRPr="00AD5F47">
              <w:rPr>
                <w:b/>
                <w:bCs/>
                <w:color w:val="000000"/>
                <w:sz w:val="22"/>
                <w:szCs w:val="22"/>
              </w:rPr>
              <w:t>AAPA (2014)</w:t>
            </w:r>
          </w:p>
        </w:tc>
        <w:tc>
          <w:tcPr>
            <w:tcW w:w="1060" w:type="dxa"/>
            <w:tcBorders>
              <w:top w:val="nil"/>
              <w:left w:val="nil"/>
              <w:bottom w:val="single" w:sz="4" w:space="0" w:color="auto"/>
              <w:right w:val="nil"/>
            </w:tcBorders>
            <w:shd w:val="clear" w:color="auto" w:fill="auto"/>
            <w:vAlign w:val="center"/>
            <w:hideMark/>
          </w:tcPr>
          <w:p w14:paraId="48FC5B1E" w14:textId="77777777" w:rsidR="0095697F" w:rsidRPr="00AD5F47" w:rsidRDefault="0095697F" w:rsidP="00A47A7E">
            <w:pPr>
              <w:jc w:val="center"/>
              <w:rPr>
                <w:b/>
                <w:bCs/>
                <w:color w:val="000000"/>
                <w:sz w:val="22"/>
                <w:szCs w:val="22"/>
              </w:rPr>
            </w:pPr>
            <w:r w:rsidRPr="00AD5F47">
              <w:rPr>
                <w:b/>
                <w:bCs/>
                <w:color w:val="000000"/>
                <w:sz w:val="22"/>
                <w:szCs w:val="22"/>
              </w:rPr>
              <w:t>This study - all land-use</w:t>
            </w:r>
          </w:p>
        </w:tc>
        <w:tc>
          <w:tcPr>
            <w:tcW w:w="1060" w:type="dxa"/>
            <w:tcBorders>
              <w:top w:val="nil"/>
              <w:left w:val="nil"/>
              <w:bottom w:val="single" w:sz="4" w:space="0" w:color="auto"/>
              <w:right w:val="nil"/>
            </w:tcBorders>
            <w:shd w:val="clear" w:color="auto" w:fill="auto"/>
            <w:vAlign w:val="center"/>
            <w:hideMark/>
          </w:tcPr>
          <w:p w14:paraId="144076E0" w14:textId="77777777" w:rsidR="0095697F" w:rsidRPr="00AD5F47" w:rsidRDefault="0095697F" w:rsidP="00A47A7E">
            <w:pPr>
              <w:jc w:val="center"/>
              <w:rPr>
                <w:b/>
                <w:bCs/>
                <w:color w:val="000000"/>
                <w:sz w:val="22"/>
                <w:szCs w:val="22"/>
              </w:rPr>
            </w:pPr>
            <w:r w:rsidRPr="00AD5F47">
              <w:rPr>
                <w:b/>
                <w:bCs/>
                <w:color w:val="000000"/>
                <w:sz w:val="22"/>
                <w:szCs w:val="22"/>
              </w:rPr>
              <w:t>This study - no industry</w:t>
            </w:r>
          </w:p>
        </w:tc>
        <w:tc>
          <w:tcPr>
            <w:tcW w:w="1160" w:type="dxa"/>
            <w:tcBorders>
              <w:top w:val="nil"/>
              <w:left w:val="nil"/>
              <w:bottom w:val="single" w:sz="4" w:space="0" w:color="auto"/>
              <w:right w:val="nil"/>
            </w:tcBorders>
            <w:shd w:val="clear" w:color="auto" w:fill="auto"/>
            <w:vAlign w:val="center"/>
            <w:hideMark/>
          </w:tcPr>
          <w:p w14:paraId="081D3536" w14:textId="77777777" w:rsidR="0095697F" w:rsidRPr="00AD5F47" w:rsidRDefault="0095697F" w:rsidP="00A47A7E">
            <w:pPr>
              <w:jc w:val="center"/>
              <w:rPr>
                <w:b/>
                <w:bCs/>
                <w:color w:val="000000"/>
                <w:sz w:val="22"/>
                <w:szCs w:val="22"/>
              </w:rPr>
            </w:pPr>
            <w:r w:rsidRPr="00AD5F47">
              <w:rPr>
                <w:b/>
                <w:bCs/>
                <w:color w:val="000000"/>
                <w:sz w:val="22"/>
                <w:szCs w:val="22"/>
              </w:rPr>
              <w:t>This study - selected land-use</w:t>
            </w:r>
          </w:p>
        </w:tc>
      </w:tr>
      <w:tr w:rsidR="0095697F" w:rsidRPr="00AD5F47" w14:paraId="643FB2D4" w14:textId="77777777" w:rsidTr="00A47A7E">
        <w:trPr>
          <w:trHeight w:val="320"/>
        </w:trPr>
        <w:tc>
          <w:tcPr>
            <w:tcW w:w="1704" w:type="dxa"/>
            <w:tcBorders>
              <w:top w:val="nil"/>
              <w:left w:val="nil"/>
              <w:bottom w:val="nil"/>
              <w:right w:val="nil"/>
            </w:tcBorders>
            <w:shd w:val="clear" w:color="auto" w:fill="auto"/>
            <w:noWrap/>
            <w:vAlign w:val="bottom"/>
            <w:hideMark/>
          </w:tcPr>
          <w:p w14:paraId="03793341" w14:textId="77777777" w:rsidR="0095697F" w:rsidRPr="00AD5F47" w:rsidRDefault="0095697F" w:rsidP="00A47A7E">
            <w:pPr>
              <w:rPr>
                <w:color w:val="000000"/>
                <w:sz w:val="22"/>
                <w:szCs w:val="22"/>
              </w:rPr>
            </w:pPr>
            <w:r w:rsidRPr="00AD5F47">
              <w:rPr>
                <w:color w:val="000000"/>
                <w:sz w:val="22"/>
                <w:szCs w:val="22"/>
              </w:rPr>
              <w:t>Australia</w:t>
            </w:r>
          </w:p>
        </w:tc>
        <w:tc>
          <w:tcPr>
            <w:tcW w:w="1200" w:type="dxa"/>
            <w:tcBorders>
              <w:top w:val="nil"/>
              <w:left w:val="nil"/>
              <w:bottom w:val="nil"/>
              <w:right w:val="nil"/>
            </w:tcBorders>
            <w:shd w:val="clear" w:color="auto" w:fill="auto"/>
            <w:noWrap/>
            <w:vAlign w:val="center"/>
            <w:hideMark/>
          </w:tcPr>
          <w:p w14:paraId="5BAFFB89" w14:textId="77777777" w:rsidR="0095697F" w:rsidRPr="00AD5F47" w:rsidRDefault="0095697F" w:rsidP="00A47A7E">
            <w:pPr>
              <w:jc w:val="center"/>
              <w:rPr>
                <w:color w:val="000000"/>
                <w:sz w:val="22"/>
                <w:szCs w:val="22"/>
              </w:rPr>
            </w:pPr>
            <w:r w:rsidRPr="00AD5F47">
              <w:rPr>
                <w:color w:val="000000"/>
                <w:sz w:val="22"/>
                <w:szCs w:val="22"/>
              </w:rPr>
              <w:t>63.84</w:t>
            </w:r>
          </w:p>
        </w:tc>
        <w:tc>
          <w:tcPr>
            <w:tcW w:w="1120" w:type="dxa"/>
            <w:tcBorders>
              <w:top w:val="nil"/>
              <w:left w:val="nil"/>
              <w:bottom w:val="nil"/>
              <w:right w:val="nil"/>
            </w:tcBorders>
            <w:shd w:val="clear" w:color="auto" w:fill="auto"/>
            <w:noWrap/>
            <w:vAlign w:val="center"/>
            <w:hideMark/>
          </w:tcPr>
          <w:p w14:paraId="09519615" w14:textId="77777777" w:rsidR="0095697F" w:rsidRPr="00AD5F47" w:rsidRDefault="0095697F" w:rsidP="00A47A7E">
            <w:pPr>
              <w:jc w:val="center"/>
              <w:rPr>
                <w:color w:val="000000"/>
                <w:sz w:val="22"/>
                <w:szCs w:val="22"/>
              </w:rPr>
            </w:pPr>
            <w:r w:rsidRPr="00AD5F47">
              <w:rPr>
                <w:color w:val="000000"/>
                <w:sz w:val="22"/>
                <w:szCs w:val="22"/>
              </w:rPr>
              <w:t>75.6</w:t>
            </w:r>
          </w:p>
        </w:tc>
        <w:tc>
          <w:tcPr>
            <w:tcW w:w="980" w:type="dxa"/>
            <w:tcBorders>
              <w:top w:val="nil"/>
              <w:left w:val="nil"/>
              <w:bottom w:val="nil"/>
              <w:right w:val="nil"/>
            </w:tcBorders>
            <w:shd w:val="clear" w:color="auto" w:fill="auto"/>
            <w:noWrap/>
            <w:vAlign w:val="center"/>
            <w:hideMark/>
          </w:tcPr>
          <w:p w14:paraId="19F758E8" w14:textId="77777777" w:rsidR="0095697F" w:rsidRPr="00AD5F47" w:rsidRDefault="0095697F" w:rsidP="00A47A7E">
            <w:pPr>
              <w:jc w:val="center"/>
              <w:rPr>
                <w:color w:val="000000"/>
                <w:sz w:val="22"/>
                <w:szCs w:val="22"/>
              </w:rPr>
            </w:pPr>
            <w:r w:rsidRPr="00AD5F47">
              <w:rPr>
                <w:color w:val="000000"/>
                <w:sz w:val="22"/>
                <w:szCs w:val="22"/>
              </w:rPr>
              <w:t>65.22</w:t>
            </w:r>
          </w:p>
        </w:tc>
        <w:tc>
          <w:tcPr>
            <w:tcW w:w="920" w:type="dxa"/>
            <w:tcBorders>
              <w:top w:val="nil"/>
              <w:left w:val="nil"/>
              <w:bottom w:val="nil"/>
              <w:right w:val="nil"/>
            </w:tcBorders>
            <w:shd w:val="clear" w:color="auto" w:fill="auto"/>
            <w:noWrap/>
            <w:vAlign w:val="center"/>
            <w:hideMark/>
          </w:tcPr>
          <w:p w14:paraId="411A7560" w14:textId="77777777" w:rsidR="0095697F" w:rsidRPr="00AD5F47" w:rsidRDefault="0095697F" w:rsidP="00A47A7E">
            <w:pPr>
              <w:jc w:val="center"/>
              <w:rPr>
                <w:color w:val="000000"/>
                <w:sz w:val="22"/>
                <w:szCs w:val="22"/>
              </w:rPr>
            </w:pPr>
            <w:r w:rsidRPr="00AD5F47">
              <w:rPr>
                <w:color w:val="000000"/>
                <w:sz w:val="22"/>
                <w:szCs w:val="22"/>
              </w:rPr>
              <w:t>98.94</w:t>
            </w:r>
          </w:p>
        </w:tc>
        <w:tc>
          <w:tcPr>
            <w:tcW w:w="1060" w:type="dxa"/>
            <w:tcBorders>
              <w:top w:val="nil"/>
              <w:left w:val="nil"/>
              <w:bottom w:val="nil"/>
              <w:right w:val="nil"/>
            </w:tcBorders>
            <w:shd w:val="clear" w:color="auto" w:fill="auto"/>
            <w:noWrap/>
            <w:vAlign w:val="center"/>
            <w:hideMark/>
          </w:tcPr>
          <w:p w14:paraId="2F15CD73" w14:textId="77777777" w:rsidR="0095697F" w:rsidRPr="00AD5F47" w:rsidRDefault="0095697F" w:rsidP="00A47A7E">
            <w:pPr>
              <w:jc w:val="center"/>
              <w:rPr>
                <w:color w:val="000000"/>
                <w:sz w:val="22"/>
                <w:szCs w:val="22"/>
              </w:rPr>
            </w:pPr>
            <w:r w:rsidRPr="00AD5F47">
              <w:rPr>
                <w:color w:val="000000"/>
                <w:sz w:val="22"/>
                <w:szCs w:val="22"/>
              </w:rPr>
              <w:t>145.99</w:t>
            </w:r>
          </w:p>
        </w:tc>
        <w:tc>
          <w:tcPr>
            <w:tcW w:w="1060" w:type="dxa"/>
            <w:tcBorders>
              <w:top w:val="nil"/>
              <w:left w:val="nil"/>
              <w:bottom w:val="nil"/>
              <w:right w:val="nil"/>
            </w:tcBorders>
            <w:shd w:val="clear" w:color="auto" w:fill="auto"/>
            <w:noWrap/>
            <w:vAlign w:val="center"/>
            <w:hideMark/>
          </w:tcPr>
          <w:p w14:paraId="72778BFE" w14:textId="77777777" w:rsidR="0095697F" w:rsidRPr="00AD5F47" w:rsidRDefault="0095697F" w:rsidP="00A47A7E">
            <w:pPr>
              <w:jc w:val="center"/>
              <w:rPr>
                <w:color w:val="000000"/>
                <w:sz w:val="22"/>
                <w:szCs w:val="22"/>
              </w:rPr>
            </w:pPr>
            <w:r w:rsidRPr="00AD5F47">
              <w:rPr>
                <w:color w:val="000000"/>
                <w:sz w:val="22"/>
                <w:szCs w:val="22"/>
              </w:rPr>
              <w:t>53.33</w:t>
            </w:r>
          </w:p>
        </w:tc>
        <w:tc>
          <w:tcPr>
            <w:tcW w:w="1160" w:type="dxa"/>
            <w:tcBorders>
              <w:top w:val="nil"/>
              <w:left w:val="nil"/>
              <w:bottom w:val="nil"/>
              <w:right w:val="nil"/>
            </w:tcBorders>
            <w:shd w:val="clear" w:color="auto" w:fill="auto"/>
            <w:noWrap/>
            <w:vAlign w:val="center"/>
            <w:hideMark/>
          </w:tcPr>
          <w:p w14:paraId="6F427998" w14:textId="77777777" w:rsidR="0095697F" w:rsidRPr="00AD5F47" w:rsidRDefault="0095697F" w:rsidP="00A47A7E">
            <w:pPr>
              <w:jc w:val="center"/>
              <w:rPr>
                <w:color w:val="000000"/>
                <w:sz w:val="22"/>
                <w:szCs w:val="22"/>
              </w:rPr>
            </w:pPr>
            <w:r w:rsidRPr="00AD5F47">
              <w:rPr>
                <w:color w:val="000000"/>
                <w:sz w:val="22"/>
                <w:szCs w:val="22"/>
              </w:rPr>
              <w:t>47.16</w:t>
            </w:r>
          </w:p>
        </w:tc>
      </w:tr>
      <w:tr w:rsidR="0095697F" w:rsidRPr="00AD5F47" w14:paraId="0F647E8A" w14:textId="77777777" w:rsidTr="00A47A7E">
        <w:trPr>
          <w:trHeight w:val="320"/>
        </w:trPr>
        <w:tc>
          <w:tcPr>
            <w:tcW w:w="1704" w:type="dxa"/>
            <w:tcBorders>
              <w:top w:val="nil"/>
              <w:left w:val="nil"/>
              <w:bottom w:val="nil"/>
              <w:right w:val="nil"/>
            </w:tcBorders>
            <w:shd w:val="clear" w:color="auto" w:fill="auto"/>
            <w:noWrap/>
            <w:vAlign w:val="bottom"/>
            <w:hideMark/>
          </w:tcPr>
          <w:p w14:paraId="7ABC5D88" w14:textId="77777777" w:rsidR="0095697F" w:rsidRPr="00AD5F47" w:rsidRDefault="0095697F" w:rsidP="00A47A7E">
            <w:pPr>
              <w:rPr>
                <w:color w:val="000000"/>
                <w:sz w:val="22"/>
                <w:szCs w:val="22"/>
              </w:rPr>
            </w:pPr>
            <w:r w:rsidRPr="00AD5F47">
              <w:rPr>
                <w:color w:val="000000"/>
                <w:sz w:val="22"/>
                <w:szCs w:val="22"/>
              </w:rPr>
              <w:t>Belgium</w:t>
            </w:r>
          </w:p>
        </w:tc>
        <w:tc>
          <w:tcPr>
            <w:tcW w:w="1200" w:type="dxa"/>
            <w:tcBorders>
              <w:top w:val="nil"/>
              <w:left w:val="nil"/>
              <w:bottom w:val="nil"/>
              <w:right w:val="nil"/>
            </w:tcBorders>
            <w:shd w:val="clear" w:color="auto" w:fill="auto"/>
            <w:noWrap/>
            <w:vAlign w:val="center"/>
            <w:hideMark/>
          </w:tcPr>
          <w:p w14:paraId="275D278A" w14:textId="77777777" w:rsidR="0095697F" w:rsidRPr="00AD5F47" w:rsidRDefault="0095697F" w:rsidP="00A47A7E">
            <w:pPr>
              <w:jc w:val="center"/>
              <w:rPr>
                <w:color w:val="000000"/>
                <w:sz w:val="22"/>
                <w:szCs w:val="22"/>
              </w:rPr>
            </w:pPr>
            <w:r w:rsidRPr="00AD5F47">
              <w:rPr>
                <w:color w:val="000000"/>
                <w:sz w:val="22"/>
                <w:szCs w:val="22"/>
              </w:rPr>
              <w:t>13.01</w:t>
            </w:r>
          </w:p>
        </w:tc>
        <w:tc>
          <w:tcPr>
            <w:tcW w:w="1120" w:type="dxa"/>
            <w:tcBorders>
              <w:top w:val="nil"/>
              <w:left w:val="nil"/>
              <w:bottom w:val="nil"/>
              <w:right w:val="nil"/>
            </w:tcBorders>
            <w:shd w:val="clear" w:color="auto" w:fill="auto"/>
            <w:noWrap/>
            <w:vAlign w:val="center"/>
            <w:hideMark/>
          </w:tcPr>
          <w:p w14:paraId="3BC299CC" w14:textId="77777777" w:rsidR="0095697F" w:rsidRPr="00AD5F47" w:rsidRDefault="0095697F" w:rsidP="00A47A7E">
            <w:pPr>
              <w:jc w:val="center"/>
              <w:rPr>
                <w:color w:val="000000"/>
                <w:sz w:val="22"/>
                <w:szCs w:val="22"/>
              </w:rPr>
            </w:pPr>
            <w:r w:rsidRPr="00AD5F47">
              <w:rPr>
                <w:color w:val="000000"/>
                <w:sz w:val="22"/>
                <w:szCs w:val="22"/>
              </w:rPr>
              <w:t>25.3</w:t>
            </w:r>
          </w:p>
        </w:tc>
        <w:tc>
          <w:tcPr>
            <w:tcW w:w="980" w:type="dxa"/>
            <w:tcBorders>
              <w:top w:val="nil"/>
              <w:left w:val="nil"/>
              <w:bottom w:val="nil"/>
              <w:right w:val="nil"/>
            </w:tcBorders>
            <w:shd w:val="clear" w:color="auto" w:fill="auto"/>
            <w:noWrap/>
            <w:vAlign w:val="center"/>
            <w:hideMark/>
          </w:tcPr>
          <w:p w14:paraId="3392F795" w14:textId="77777777" w:rsidR="0095697F" w:rsidRPr="00AD5F47" w:rsidRDefault="0095697F" w:rsidP="00A47A7E">
            <w:pPr>
              <w:jc w:val="center"/>
              <w:rPr>
                <w:color w:val="000000"/>
                <w:sz w:val="22"/>
                <w:szCs w:val="22"/>
              </w:rPr>
            </w:pPr>
            <w:r w:rsidRPr="00AD5F47">
              <w:rPr>
                <w:color w:val="000000"/>
                <w:sz w:val="22"/>
                <w:szCs w:val="22"/>
              </w:rPr>
              <w:t>24.53</w:t>
            </w:r>
          </w:p>
        </w:tc>
        <w:tc>
          <w:tcPr>
            <w:tcW w:w="920" w:type="dxa"/>
            <w:tcBorders>
              <w:top w:val="nil"/>
              <w:left w:val="nil"/>
              <w:bottom w:val="nil"/>
              <w:right w:val="nil"/>
            </w:tcBorders>
            <w:shd w:val="clear" w:color="auto" w:fill="auto"/>
            <w:noWrap/>
            <w:vAlign w:val="center"/>
            <w:hideMark/>
          </w:tcPr>
          <w:p w14:paraId="2830EC1E" w14:textId="77777777" w:rsidR="0095697F" w:rsidRPr="00AD5F47" w:rsidRDefault="0095697F" w:rsidP="00A47A7E">
            <w:pPr>
              <w:jc w:val="center"/>
              <w:rPr>
                <w:color w:val="000000"/>
                <w:sz w:val="22"/>
                <w:szCs w:val="22"/>
              </w:rPr>
            </w:pPr>
            <w:r w:rsidRPr="00AD5F47">
              <w:rPr>
                <w:color w:val="000000"/>
                <w:sz w:val="22"/>
                <w:szCs w:val="22"/>
              </w:rPr>
              <w:t>19.82</w:t>
            </w:r>
          </w:p>
        </w:tc>
        <w:tc>
          <w:tcPr>
            <w:tcW w:w="1060" w:type="dxa"/>
            <w:tcBorders>
              <w:top w:val="nil"/>
              <w:left w:val="nil"/>
              <w:bottom w:val="nil"/>
              <w:right w:val="nil"/>
            </w:tcBorders>
            <w:shd w:val="clear" w:color="auto" w:fill="auto"/>
            <w:noWrap/>
            <w:vAlign w:val="center"/>
            <w:hideMark/>
          </w:tcPr>
          <w:p w14:paraId="77DEFE55" w14:textId="77777777" w:rsidR="0095697F" w:rsidRPr="00AD5F47" w:rsidRDefault="0095697F" w:rsidP="00A47A7E">
            <w:pPr>
              <w:jc w:val="center"/>
              <w:rPr>
                <w:color w:val="000000"/>
                <w:sz w:val="22"/>
                <w:szCs w:val="22"/>
              </w:rPr>
            </w:pPr>
            <w:r w:rsidRPr="00AD5F47">
              <w:rPr>
                <w:color w:val="000000"/>
                <w:sz w:val="22"/>
                <w:szCs w:val="22"/>
              </w:rPr>
              <w:t>86.58</w:t>
            </w:r>
          </w:p>
        </w:tc>
        <w:tc>
          <w:tcPr>
            <w:tcW w:w="1060" w:type="dxa"/>
            <w:tcBorders>
              <w:top w:val="nil"/>
              <w:left w:val="nil"/>
              <w:bottom w:val="nil"/>
              <w:right w:val="nil"/>
            </w:tcBorders>
            <w:shd w:val="clear" w:color="auto" w:fill="auto"/>
            <w:noWrap/>
            <w:vAlign w:val="center"/>
            <w:hideMark/>
          </w:tcPr>
          <w:p w14:paraId="40CFEF00" w14:textId="77777777" w:rsidR="0095697F" w:rsidRPr="00AD5F47" w:rsidRDefault="0095697F" w:rsidP="00A47A7E">
            <w:pPr>
              <w:jc w:val="center"/>
              <w:rPr>
                <w:color w:val="000000"/>
                <w:sz w:val="22"/>
                <w:szCs w:val="22"/>
              </w:rPr>
            </w:pPr>
            <w:r w:rsidRPr="00AD5F47">
              <w:rPr>
                <w:color w:val="000000"/>
                <w:sz w:val="22"/>
                <w:szCs w:val="22"/>
              </w:rPr>
              <w:t>38.75</w:t>
            </w:r>
          </w:p>
        </w:tc>
        <w:tc>
          <w:tcPr>
            <w:tcW w:w="1160" w:type="dxa"/>
            <w:tcBorders>
              <w:top w:val="nil"/>
              <w:left w:val="nil"/>
              <w:bottom w:val="nil"/>
              <w:right w:val="nil"/>
            </w:tcBorders>
            <w:shd w:val="clear" w:color="auto" w:fill="auto"/>
            <w:noWrap/>
            <w:vAlign w:val="center"/>
            <w:hideMark/>
          </w:tcPr>
          <w:p w14:paraId="0410B10A" w14:textId="77777777" w:rsidR="0095697F" w:rsidRPr="00AD5F47" w:rsidRDefault="0095697F" w:rsidP="00A47A7E">
            <w:pPr>
              <w:jc w:val="center"/>
              <w:rPr>
                <w:color w:val="000000"/>
                <w:sz w:val="22"/>
                <w:szCs w:val="22"/>
              </w:rPr>
            </w:pPr>
            <w:r w:rsidRPr="00AD5F47">
              <w:rPr>
                <w:color w:val="000000"/>
                <w:sz w:val="22"/>
                <w:szCs w:val="22"/>
              </w:rPr>
              <w:t>28.08</w:t>
            </w:r>
          </w:p>
        </w:tc>
      </w:tr>
      <w:tr w:rsidR="0095697F" w:rsidRPr="00AD5F47" w14:paraId="3F6DBC5E" w14:textId="77777777" w:rsidTr="00A47A7E">
        <w:trPr>
          <w:trHeight w:val="320"/>
        </w:trPr>
        <w:tc>
          <w:tcPr>
            <w:tcW w:w="1704" w:type="dxa"/>
            <w:tcBorders>
              <w:top w:val="nil"/>
              <w:left w:val="nil"/>
              <w:bottom w:val="nil"/>
              <w:right w:val="nil"/>
            </w:tcBorders>
            <w:shd w:val="clear" w:color="auto" w:fill="auto"/>
            <w:noWrap/>
            <w:vAlign w:val="bottom"/>
            <w:hideMark/>
          </w:tcPr>
          <w:p w14:paraId="1D572690" w14:textId="77777777" w:rsidR="0095697F" w:rsidRPr="00AD5F47" w:rsidRDefault="0095697F" w:rsidP="00A47A7E">
            <w:pPr>
              <w:rPr>
                <w:color w:val="000000"/>
                <w:sz w:val="22"/>
                <w:szCs w:val="22"/>
              </w:rPr>
            </w:pPr>
            <w:r w:rsidRPr="00AD5F47">
              <w:rPr>
                <w:color w:val="000000"/>
                <w:sz w:val="22"/>
                <w:szCs w:val="22"/>
              </w:rPr>
              <w:t>Bulgaria</w:t>
            </w:r>
          </w:p>
        </w:tc>
        <w:tc>
          <w:tcPr>
            <w:tcW w:w="1200" w:type="dxa"/>
            <w:tcBorders>
              <w:top w:val="nil"/>
              <w:left w:val="nil"/>
              <w:bottom w:val="nil"/>
              <w:right w:val="nil"/>
            </w:tcBorders>
            <w:shd w:val="clear" w:color="auto" w:fill="auto"/>
            <w:noWrap/>
            <w:vAlign w:val="center"/>
            <w:hideMark/>
          </w:tcPr>
          <w:p w14:paraId="336F1F28" w14:textId="77777777" w:rsidR="0095697F" w:rsidRPr="00AD5F47" w:rsidRDefault="0095697F" w:rsidP="00A47A7E">
            <w:pPr>
              <w:jc w:val="center"/>
              <w:rPr>
                <w:color w:val="000000"/>
                <w:sz w:val="22"/>
                <w:szCs w:val="22"/>
              </w:rPr>
            </w:pPr>
            <w:r w:rsidRPr="00AD5F47">
              <w:rPr>
                <w:color w:val="000000"/>
                <w:sz w:val="22"/>
                <w:szCs w:val="22"/>
              </w:rPr>
              <w:t>1.59</w:t>
            </w:r>
          </w:p>
        </w:tc>
        <w:tc>
          <w:tcPr>
            <w:tcW w:w="1120" w:type="dxa"/>
            <w:tcBorders>
              <w:top w:val="nil"/>
              <w:left w:val="nil"/>
              <w:bottom w:val="nil"/>
              <w:right w:val="nil"/>
            </w:tcBorders>
            <w:shd w:val="clear" w:color="auto" w:fill="auto"/>
            <w:noWrap/>
            <w:vAlign w:val="center"/>
            <w:hideMark/>
          </w:tcPr>
          <w:p w14:paraId="490B07E4" w14:textId="77777777" w:rsidR="0095697F" w:rsidRPr="00AD5F47" w:rsidRDefault="0095697F" w:rsidP="00A47A7E">
            <w:pPr>
              <w:jc w:val="center"/>
              <w:rPr>
                <w:color w:val="000000"/>
                <w:sz w:val="22"/>
                <w:szCs w:val="22"/>
              </w:rPr>
            </w:pPr>
            <w:r w:rsidRPr="00AD5F47">
              <w:rPr>
                <w:color w:val="000000"/>
                <w:sz w:val="22"/>
                <w:szCs w:val="22"/>
              </w:rPr>
              <w:t>9.7</w:t>
            </w:r>
          </w:p>
        </w:tc>
        <w:tc>
          <w:tcPr>
            <w:tcW w:w="980" w:type="dxa"/>
            <w:tcBorders>
              <w:top w:val="nil"/>
              <w:left w:val="nil"/>
              <w:bottom w:val="nil"/>
              <w:right w:val="nil"/>
            </w:tcBorders>
            <w:shd w:val="clear" w:color="auto" w:fill="auto"/>
            <w:noWrap/>
            <w:vAlign w:val="center"/>
            <w:hideMark/>
          </w:tcPr>
          <w:p w14:paraId="473A7ECF" w14:textId="77777777" w:rsidR="0095697F" w:rsidRPr="00AD5F47" w:rsidRDefault="0095697F" w:rsidP="00A47A7E">
            <w:pPr>
              <w:jc w:val="center"/>
              <w:rPr>
                <w:color w:val="000000"/>
                <w:sz w:val="22"/>
                <w:szCs w:val="22"/>
              </w:rPr>
            </w:pPr>
            <w:r w:rsidRPr="00AD5F47">
              <w:rPr>
                <w:color w:val="000000"/>
                <w:sz w:val="22"/>
                <w:szCs w:val="22"/>
              </w:rPr>
              <w:t>0.55</w:t>
            </w:r>
          </w:p>
        </w:tc>
        <w:tc>
          <w:tcPr>
            <w:tcW w:w="920" w:type="dxa"/>
            <w:tcBorders>
              <w:top w:val="nil"/>
              <w:left w:val="nil"/>
              <w:bottom w:val="nil"/>
              <w:right w:val="nil"/>
            </w:tcBorders>
            <w:shd w:val="clear" w:color="auto" w:fill="auto"/>
            <w:noWrap/>
            <w:vAlign w:val="center"/>
            <w:hideMark/>
          </w:tcPr>
          <w:p w14:paraId="2A1FA1E5" w14:textId="77777777" w:rsidR="0095697F" w:rsidRPr="00AD5F47" w:rsidRDefault="0095697F" w:rsidP="00A47A7E">
            <w:pPr>
              <w:jc w:val="center"/>
              <w:rPr>
                <w:color w:val="000000"/>
                <w:sz w:val="22"/>
                <w:szCs w:val="22"/>
              </w:rPr>
            </w:pPr>
            <w:r w:rsidRPr="00AD5F47">
              <w:rPr>
                <w:color w:val="000000"/>
                <w:sz w:val="22"/>
                <w:szCs w:val="22"/>
              </w:rPr>
              <w:t>1.22</w:t>
            </w:r>
          </w:p>
        </w:tc>
        <w:tc>
          <w:tcPr>
            <w:tcW w:w="1060" w:type="dxa"/>
            <w:tcBorders>
              <w:top w:val="nil"/>
              <w:left w:val="nil"/>
              <w:bottom w:val="nil"/>
              <w:right w:val="nil"/>
            </w:tcBorders>
            <w:shd w:val="clear" w:color="auto" w:fill="auto"/>
            <w:noWrap/>
            <w:vAlign w:val="center"/>
            <w:hideMark/>
          </w:tcPr>
          <w:p w14:paraId="1A9287BD" w14:textId="77777777" w:rsidR="0095697F" w:rsidRPr="00AD5F47" w:rsidRDefault="0095697F" w:rsidP="00A47A7E">
            <w:pPr>
              <w:jc w:val="center"/>
              <w:rPr>
                <w:color w:val="000000"/>
                <w:sz w:val="22"/>
                <w:szCs w:val="22"/>
              </w:rPr>
            </w:pPr>
            <w:r w:rsidRPr="00AD5F47">
              <w:rPr>
                <w:color w:val="000000"/>
                <w:sz w:val="22"/>
                <w:szCs w:val="22"/>
              </w:rPr>
              <w:t>3.13</w:t>
            </w:r>
          </w:p>
        </w:tc>
        <w:tc>
          <w:tcPr>
            <w:tcW w:w="1060" w:type="dxa"/>
            <w:tcBorders>
              <w:top w:val="nil"/>
              <w:left w:val="nil"/>
              <w:bottom w:val="nil"/>
              <w:right w:val="nil"/>
            </w:tcBorders>
            <w:shd w:val="clear" w:color="auto" w:fill="auto"/>
            <w:noWrap/>
            <w:vAlign w:val="center"/>
            <w:hideMark/>
          </w:tcPr>
          <w:p w14:paraId="026E2452" w14:textId="77777777" w:rsidR="0095697F" w:rsidRPr="00AD5F47" w:rsidRDefault="0095697F" w:rsidP="00A47A7E">
            <w:pPr>
              <w:jc w:val="center"/>
              <w:rPr>
                <w:color w:val="000000"/>
                <w:sz w:val="22"/>
                <w:szCs w:val="22"/>
              </w:rPr>
            </w:pPr>
            <w:r w:rsidRPr="00AD5F47">
              <w:rPr>
                <w:color w:val="000000"/>
                <w:sz w:val="22"/>
                <w:szCs w:val="22"/>
              </w:rPr>
              <w:t>2.27</w:t>
            </w:r>
          </w:p>
        </w:tc>
        <w:tc>
          <w:tcPr>
            <w:tcW w:w="1160" w:type="dxa"/>
            <w:tcBorders>
              <w:top w:val="nil"/>
              <w:left w:val="nil"/>
              <w:bottom w:val="nil"/>
              <w:right w:val="nil"/>
            </w:tcBorders>
            <w:shd w:val="clear" w:color="auto" w:fill="auto"/>
            <w:noWrap/>
            <w:vAlign w:val="center"/>
            <w:hideMark/>
          </w:tcPr>
          <w:p w14:paraId="56741C47" w14:textId="77777777" w:rsidR="0095697F" w:rsidRPr="00AD5F47" w:rsidRDefault="0095697F" w:rsidP="00A47A7E">
            <w:pPr>
              <w:jc w:val="center"/>
              <w:rPr>
                <w:color w:val="000000"/>
                <w:sz w:val="22"/>
                <w:szCs w:val="22"/>
              </w:rPr>
            </w:pPr>
            <w:r w:rsidRPr="00AD5F47">
              <w:rPr>
                <w:color w:val="000000"/>
                <w:sz w:val="22"/>
                <w:szCs w:val="22"/>
              </w:rPr>
              <w:t>1.71</w:t>
            </w:r>
          </w:p>
        </w:tc>
      </w:tr>
      <w:tr w:rsidR="0095697F" w:rsidRPr="00AD5F47" w14:paraId="0B0F1BE0" w14:textId="77777777" w:rsidTr="00A47A7E">
        <w:trPr>
          <w:trHeight w:val="320"/>
        </w:trPr>
        <w:tc>
          <w:tcPr>
            <w:tcW w:w="1704" w:type="dxa"/>
            <w:tcBorders>
              <w:top w:val="nil"/>
              <w:left w:val="nil"/>
              <w:bottom w:val="nil"/>
              <w:right w:val="nil"/>
            </w:tcBorders>
            <w:shd w:val="clear" w:color="auto" w:fill="auto"/>
            <w:noWrap/>
            <w:vAlign w:val="bottom"/>
            <w:hideMark/>
          </w:tcPr>
          <w:p w14:paraId="6FE03431" w14:textId="77777777" w:rsidR="0095697F" w:rsidRPr="00AD5F47" w:rsidRDefault="0095697F" w:rsidP="00A47A7E">
            <w:pPr>
              <w:rPr>
                <w:color w:val="000000"/>
                <w:sz w:val="22"/>
                <w:szCs w:val="22"/>
              </w:rPr>
            </w:pPr>
            <w:r w:rsidRPr="00AD5F47">
              <w:rPr>
                <w:color w:val="000000"/>
                <w:sz w:val="22"/>
                <w:szCs w:val="22"/>
              </w:rPr>
              <w:t>China</w:t>
            </w:r>
          </w:p>
        </w:tc>
        <w:tc>
          <w:tcPr>
            <w:tcW w:w="1200" w:type="dxa"/>
            <w:tcBorders>
              <w:top w:val="nil"/>
              <w:left w:val="nil"/>
              <w:bottom w:val="nil"/>
              <w:right w:val="nil"/>
            </w:tcBorders>
            <w:shd w:val="clear" w:color="auto" w:fill="auto"/>
            <w:noWrap/>
            <w:vAlign w:val="center"/>
            <w:hideMark/>
          </w:tcPr>
          <w:p w14:paraId="073F3809" w14:textId="77777777" w:rsidR="0095697F" w:rsidRPr="00AD5F47" w:rsidRDefault="0095697F" w:rsidP="00A47A7E">
            <w:pPr>
              <w:jc w:val="center"/>
              <w:rPr>
                <w:color w:val="000000"/>
                <w:sz w:val="22"/>
                <w:szCs w:val="22"/>
              </w:rPr>
            </w:pPr>
            <w:r w:rsidRPr="00AD5F47">
              <w:rPr>
                <w:color w:val="000000"/>
                <w:sz w:val="22"/>
                <w:szCs w:val="22"/>
              </w:rPr>
              <w:t>171.77</w:t>
            </w:r>
          </w:p>
        </w:tc>
        <w:tc>
          <w:tcPr>
            <w:tcW w:w="1120" w:type="dxa"/>
            <w:tcBorders>
              <w:top w:val="nil"/>
              <w:left w:val="nil"/>
              <w:bottom w:val="nil"/>
              <w:right w:val="nil"/>
            </w:tcBorders>
            <w:shd w:val="clear" w:color="auto" w:fill="auto"/>
            <w:noWrap/>
            <w:vAlign w:val="center"/>
            <w:hideMark/>
          </w:tcPr>
          <w:p w14:paraId="1F556B0B" w14:textId="77777777" w:rsidR="0095697F" w:rsidRPr="00AD5F47" w:rsidRDefault="0095697F" w:rsidP="00A47A7E">
            <w:pPr>
              <w:jc w:val="center"/>
              <w:rPr>
                <w:color w:val="000000"/>
                <w:sz w:val="22"/>
                <w:szCs w:val="22"/>
              </w:rPr>
            </w:pPr>
            <w:r w:rsidRPr="00AD5F47">
              <w:rPr>
                <w:color w:val="000000"/>
                <w:sz w:val="22"/>
                <w:szCs w:val="22"/>
              </w:rPr>
              <w:t>26.8</w:t>
            </w:r>
          </w:p>
        </w:tc>
        <w:tc>
          <w:tcPr>
            <w:tcW w:w="980" w:type="dxa"/>
            <w:tcBorders>
              <w:top w:val="nil"/>
              <w:left w:val="nil"/>
              <w:bottom w:val="nil"/>
              <w:right w:val="nil"/>
            </w:tcBorders>
            <w:shd w:val="clear" w:color="auto" w:fill="auto"/>
            <w:noWrap/>
            <w:vAlign w:val="center"/>
            <w:hideMark/>
          </w:tcPr>
          <w:p w14:paraId="2AF83A32" w14:textId="77777777" w:rsidR="0095697F" w:rsidRPr="00AD5F47" w:rsidRDefault="0095697F" w:rsidP="00A47A7E">
            <w:pPr>
              <w:jc w:val="center"/>
              <w:rPr>
                <w:color w:val="000000"/>
                <w:sz w:val="22"/>
                <w:szCs w:val="22"/>
              </w:rPr>
            </w:pPr>
            <w:r w:rsidRPr="00AD5F47">
              <w:rPr>
                <w:color w:val="000000"/>
                <w:sz w:val="22"/>
                <w:szCs w:val="22"/>
              </w:rPr>
              <w:t>406.63</w:t>
            </w:r>
          </w:p>
        </w:tc>
        <w:tc>
          <w:tcPr>
            <w:tcW w:w="920" w:type="dxa"/>
            <w:tcBorders>
              <w:top w:val="nil"/>
              <w:left w:val="nil"/>
              <w:bottom w:val="nil"/>
              <w:right w:val="nil"/>
            </w:tcBorders>
            <w:shd w:val="clear" w:color="auto" w:fill="auto"/>
            <w:noWrap/>
            <w:vAlign w:val="center"/>
            <w:hideMark/>
          </w:tcPr>
          <w:p w14:paraId="0FDD68A8" w14:textId="77777777" w:rsidR="0095697F" w:rsidRPr="00AD5F47" w:rsidRDefault="0095697F" w:rsidP="00A47A7E">
            <w:pPr>
              <w:jc w:val="center"/>
              <w:rPr>
                <w:color w:val="000000"/>
                <w:sz w:val="22"/>
                <w:szCs w:val="22"/>
              </w:rPr>
            </w:pPr>
            <w:r w:rsidRPr="00AD5F47">
              <w:rPr>
                <w:color w:val="000000"/>
                <w:sz w:val="22"/>
                <w:szCs w:val="22"/>
              </w:rPr>
              <w:t>547.42</w:t>
            </w:r>
          </w:p>
        </w:tc>
        <w:tc>
          <w:tcPr>
            <w:tcW w:w="1060" w:type="dxa"/>
            <w:tcBorders>
              <w:top w:val="nil"/>
              <w:left w:val="nil"/>
              <w:bottom w:val="nil"/>
              <w:right w:val="nil"/>
            </w:tcBorders>
            <w:shd w:val="clear" w:color="auto" w:fill="auto"/>
            <w:noWrap/>
            <w:vAlign w:val="center"/>
            <w:hideMark/>
          </w:tcPr>
          <w:p w14:paraId="3C04BC5D" w14:textId="77777777" w:rsidR="0095697F" w:rsidRPr="00AD5F47" w:rsidRDefault="0095697F" w:rsidP="00A47A7E">
            <w:pPr>
              <w:jc w:val="center"/>
              <w:rPr>
                <w:color w:val="000000"/>
                <w:sz w:val="22"/>
                <w:szCs w:val="22"/>
              </w:rPr>
            </w:pPr>
            <w:r w:rsidRPr="00AD5F47">
              <w:rPr>
                <w:color w:val="000000"/>
                <w:sz w:val="22"/>
                <w:szCs w:val="22"/>
              </w:rPr>
              <w:t>764.01</w:t>
            </w:r>
          </w:p>
        </w:tc>
        <w:tc>
          <w:tcPr>
            <w:tcW w:w="1060" w:type="dxa"/>
            <w:tcBorders>
              <w:top w:val="nil"/>
              <w:left w:val="nil"/>
              <w:bottom w:val="nil"/>
              <w:right w:val="nil"/>
            </w:tcBorders>
            <w:shd w:val="clear" w:color="auto" w:fill="auto"/>
            <w:noWrap/>
            <w:vAlign w:val="center"/>
            <w:hideMark/>
          </w:tcPr>
          <w:p w14:paraId="1CBB12A1" w14:textId="77777777" w:rsidR="0095697F" w:rsidRPr="00AD5F47" w:rsidRDefault="0095697F" w:rsidP="00A47A7E">
            <w:pPr>
              <w:jc w:val="center"/>
              <w:rPr>
                <w:color w:val="000000"/>
                <w:sz w:val="22"/>
                <w:szCs w:val="22"/>
              </w:rPr>
            </w:pPr>
            <w:r w:rsidRPr="00AD5F47">
              <w:rPr>
                <w:color w:val="000000"/>
                <w:sz w:val="22"/>
                <w:szCs w:val="22"/>
              </w:rPr>
              <w:t>614.87</w:t>
            </w:r>
          </w:p>
        </w:tc>
        <w:tc>
          <w:tcPr>
            <w:tcW w:w="1160" w:type="dxa"/>
            <w:tcBorders>
              <w:top w:val="nil"/>
              <w:left w:val="nil"/>
              <w:bottom w:val="nil"/>
              <w:right w:val="nil"/>
            </w:tcBorders>
            <w:shd w:val="clear" w:color="auto" w:fill="auto"/>
            <w:noWrap/>
            <w:vAlign w:val="center"/>
            <w:hideMark/>
          </w:tcPr>
          <w:p w14:paraId="4FC671F8" w14:textId="77777777" w:rsidR="0095697F" w:rsidRPr="00AD5F47" w:rsidRDefault="0095697F" w:rsidP="00A47A7E">
            <w:pPr>
              <w:jc w:val="center"/>
              <w:rPr>
                <w:color w:val="000000"/>
                <w:sz w:val="22"/>
                <w:szCs w:val="22"/>
              </w:rPr>
            </w:pPr>
            <w:r w:rsidRPr="00AD5F47">
              <w:rPr>
                <w:color w:val="000000"/>
                <w:sz w:val="22"/>
                <w:szCs w:val="22"/>
              </w:rPr>
              <w:t>514.80</w:t>
            </w:r>
          </w:p>
        </w:tc>
      </w:tr>
      <w:tr w:rsidR="0095697F" w:rsidRPr="00AD5F47" w14:paraId="1E6CDE9B" w14:textId="77777777" w:rsidTr="00A47A7E">
        <w:trPr>
          <w:trHeight w:val="320"/>
        </w:trPr>
        <w:tc>
          <w:tcPr>
            <w:tcW w:w="1704" w:type="dxa"/>
            <w:tcBorders>
              <w:top w:val="nil"/>
              <w:left w:val="nil"/>
              <w:bottom w:val="nil"/>
              <w:right w:val="nil"/>
            </w:tcBorders>
            <w:shd w:val="clear" w:color="auto" w:fill="auto"/>
            <w:noWrap/>
            <w:vAlign w:val="bottom"/>
            <w:hideMark/>
          </w:tcPr>
          <w:p w14:paraId="5DAD1F9D" w14:textId="77777777" w:rsidR="0095697F" w:rsidRPr="00AD5F47" w:rsidRDefault="0095697F" w:rsidP="00A47A7E">
            <w:pPr>
              <w:rPr>
                <w:color w:val="000000"/>
                <w:sz w:val="22"/>
                <w:szCs w:val="22"/>
              </w:rPr>
            </w:pPr>
            <w:r w:rsidRPr="00AD5F47">
              <w:rPr>
                <w:color w:val="000000"/>
                <w:sz w:val="22"/>
                <w:szCs w:val="22"/>
              </w:rPr>
              <w:t>Finland</w:t>
            </w:r>
          </w:p>
        </w:tc>
        <w:tc>
          <w:tcPr>
            <w:tcW w:w="1200" w:type="dxa"/>
            <w:tcBorders>
              <w:top w:val="nil"/>
              <w:left w:val="nil"/>
              <w:bottom w:val="nil"/>
              <w:right w:val="nil"/>
            </w:tcBorders>
            <w:shd w:val="clear" w:color="auto" w:fill="auto"/>
            <w:noWrap/>
            <w:vAlign w:val="center"/>
            <w:hideMark/>
          </w:tcPr>
          <w:p w14:paraId="55A2AF90" w14:textId="77777777" w:rsidR="0095697F" w:rsidRPr="00AD5F47" w:rsidRDefault="0095697F" w:rsidP="00A47A7E">
            <w:pPr>
              <w:jc w:val="center"/>
              <w:rPr>
                <w:color w:val="000000"/>
                <w:sz w:val="22"/>
                <w:szCs w:val="22"/>
              </w:rPr>
            </w:pPr>
            <w:r w:rsidRPr="00AD5F47">
              <w:rPr>
                <w:color w:val="000000"/>
                <w:sz w:val="22"/>
                <w:szCs w:val="22"/>
              </w:rPr>
              <w:t>6.41</w:t>
            </w:r>
          </w:p>
        </w:tc>
        <w:tc>
          <w:tcPr>
            <w:tcW w:w="1120" w:type="dxa"/>
            <w:tcBorders>
              <w:top w:val="nil"/>
              <w:left w:val="nil"/>
              <w:bottom w:val="nil"/>
              <w:right w:val="nil"/>
            </w:tcBorders>
            <w:shd w:val="clear" w:color="auto" w:fill="auto"/>
            <w:noWrap/>
            <w:vAlign w:val="center"/>
            <w:hideMark/>
          </w:tcPr>
          <w:p w14:paraId="5D3605DF" w14:textId="77777777" w:rsidR="0095697F" w:rsidRPr="00AD5F47" w:rsidRDefault="0095697F" w:rsidP="00A47A7E">
            <w:pPr>
              <w:jc w:val="center"/>
              <w:rPr>
                <w:color w:val="000000"/>
                <w:sz w:val="22"/>
                <w:szCs w:val="22"/>
              </w:rPr>
            </w:pPr>
            <w:r w:rsidRPr="00AD5F47">
              <w:rPr>
                <w:color w:val="000000"/>
                <w:sz w:val="22"/>
                <w:szCs w:val="22"/>
              </w:rPr>
              <w:t>12</w:t>
            </w:r>
          </w:p>
        </w:tc>
        <w:tc>
          <w:tcPr>
            <w:tcW w:w="980" w:type="dxa"/>
            <w:tcBorders>
              <w:top w:val="nil"/>
              <w:left w:val="nil"/>
              <w:bottom w:val="nil"/>
              <w:right w:val="nil"/>
            </w:tcBorders>
            <w:shd w:val="clear" w:color="auto" w:fill="auto"/>
            <w:noWrap/>
            <w:vAlign w:val="center"/>
            <w:hideMark/>
          </w:tcPr>
          <w:p w14:paraId="7C8C1EB0" w14:textId="77777777" w:rsidR="0095697F" w:rsidRPr="00AD5F47" w:rsidRDefault="0095697F" w:rsidP="00A47A7E">
            <w:pPr>
              <w:jc w:val="center"/>
              <w:rPr>
                <w:color w:val="000000"/>
                <w:sz w:val="22"/>
                <w:szCs w:val="22"/>
              </w:rPr>
            </w:pPr>
            <w:r w:rsidRPr="00AD5F47">
              <w:rPr>
                <w:color w:val="000000"/>
                <w:sz w:val="22"/>
                <w:szCs w:val="22"/>
              </w:rPr>
              <w:t>6.97</w:t>
            </w:r>
          </w:p>
        </w:tc>
        <w:tc>
          <w:tcPr>
            <w:tcW w:w="920" w:type="dxa"/>
            <w:tcBorders>
              <w:top w:val="nil"/>
              <w:left w:val="nil"/>
              <w:bottom w:val="nil"/>
              <w:right w:val="nil"/>
            </w:tcBorders>
            <w:shd w:val="clear" w:color="auto" w:fill="auto"/>
            <w:noWrap/>
            <w:vAlign w:val="center"/>
            <w:hideMark/>
          </w:tcPr>
          <w:p w14:paraId="26824E9C" w14:textId="77777777" w:rsidR="0095697F" w:rsidRPr="00AD5F47" w:rsidRDefault="0095697F" w:rsidP="00A47A7E">
            <w:pPr>
              <w:jc w:val="center"/>
              <w:rPr>
                <w:color w:val="000000"/>
                <w:sz w:val="22"/>
                <w:szCs w:val="22"/>
              </w:rPr>
            </w:pPr>
            <w:r w:rsidRPr="00AD5F47">
              <w:rPr>
                <w:color w:val="000000"/>
                <w:sz w:val="22"/>
                <w:szCs w:val="22"/>
              </w:rPr>
              <w:t>3.21</w:t>
            </w:r>
          </w:p>
        </w:tc>
        <w:tc>
          <w:tcPr>
            <w:tcW w:w="1060" w:type="dxa"/>
            <w:tcBorders>
              <w:top w:val="nil"/>
              <w:left w:val="nil"/>
              <w:bottom w:val="nil"/>
              <w:right w:val="nil"/>
            </w:tcBorders>
            <w:shd w:val="clear" w:color="auto" w:fill="auto"/>
            <w:noWrap/>
            <w:vAlign w:val="center"/>
            <w:hideMark/>
          </w:tcPr>
          <w:p w14:paraId="700E7622" w14:textId="77777777" w:rsidR="0095697F" w:rsidRPr="00AD5F47" w:rsidRDefault="0095697F" w:rsidP="00A47A7E">
            <w:pPr>
              <w:jc w:val="center"/>
              <w:rPr>
                <w:color w:val="000000"/>
                <w:sz w:val="22"/>
                <w:szCs w:val="22"/>
              </w:rPr>
            </w:pPr>
            <w:r w:rsidRPr="00AD5F47">
              <w:rPr>
                <w:color w:val="000000"/>
                <w:sz w:val="22"/>
                <w:szCs w:val="22"/>
              </w:rPr>
              <w:t>53.66</w:t>
            </w:r>
          </w:p>
        </w:tc>
        <w:tc>
          <w:tcPr>
            <w:tcW w:w="1060" w:type="dxa"/>
            <w:tcBorders>
              <w:top w:val="nil"/>
              <w:left w:val="nil"/>
              <w:bottom w:val="nil"/>
              <w:right w:val="nil"/>
            </w:tcBorders>
            <w:shd w:val="clear" w:color="auto" w:fill="auto"/>
            <w:noWrap/>
            <w:vAlign w:val="center"/>
            <w:hideMark/>
          </w:tcPr>
          <w:p w14:paraId="75D6F0C8" w14:textId="77777777" w:rsidR="0095697F" w:rsidRPr="00AD5F47" w:rsidRDefault="0095697F" w:rsidP="00A47A7E">
            <w:pPr>
              <w:jc w:val="center"/>
              <w:rPr>
                <w:color w:val="000000"/>
                <w:sz w:val="22"/>
                <w:szCs w:val="22"/>
              </w:rPr>
            </w:pPr>
            <w:r w:rsidRPr="00AD5F47">
              <w:rPr>
                <w:color w:val="000000"/>
                <w:sz w:val="22"/>
                <w:szCs w:val="22"/>
              </w:rPr>
              <w:t>26.36</w:t>
            </w:r>
          </w:p>
        </w:tc>
        <w:tc>
          <w:tcPr>
            <w:tcW w:w="1160" w:type="dxa"/>
            <w:tcBorders>
              <w:top w:val="nil"/>
              <w:left w:val="nil"/>
              <w:bottom w:val="nil"/>
              <w:right w:val="nil"/>
            </w:tcBorders>
            <w:shd w:val="clear" w:color="auto" w:fill="auto"/>
            <w:noWrap/>
            <w:vAlign w:val="center"/>
            <w:hideMark/>
          </w:tcPr>
          <w:p w14:paraId="51E0215D" w14:textId="77777777" w:rsidR="0095697F" w:rsidRPr="00AD5F47" w:rsidRDefault="0095697F" w:rsidP="00A47A7E">
            <w:pPr>
              <w:jc w:val="center"/>
              <w:rPr>
                <w:color w:val="000000"/>
                <w:sz w:val="22"/>
                <w:szCs w:val="22"/>
              </w:rPr>
            </w:pPr>
            <w:r w:rsidRPr="00AD5F47">
              <w:rPr>
                <w:color w:val="000000"/>
                <w:sz w:val="22"/>
                <w:szCs w:val="22"/>
              </w:rPr>
              <w:t>22.71</w:t>
            </w:r>
          </w:p>
        </w:tc>
      </w:tr>
      <w:tr w:rsidR="0095697F" w:rsidRPr="00AD5F47" w14:paraId="12C9E8EF" w14:textId="77777777" w:rsidTr="00A47A7E">
        <w:trPr>
          <w:trHeight w:val="320"/>
        </w:trPr>
        <w:tc>
          <w:tcPr>
            <w:tcW w:w="1704" w:type="dxa"/>
            <w:tcBorders>
              <w:top w:val="nil"/>
              <w:left w:val="nil"/>
              <w:bottom w:val="nil"/>
              <w:right w:val="nil"/>
            </w:tcBorders>
            <w:shd w:val="clear" w:color="auto" w:fill="auto"/>
            <w:noWrap/>
            <w:vAlign w:val="bottom"/>
            <w:hideMark/>
          </w:tcPr>
          <w:p w14:paraId="51A49069" w14:textId="77777777" w:rsidR="0095697F" w:rsidRPr="00AD5F47" w:rsidRDefault="0095697F" w:rsidP="00A47A7E">
            <w:pPr>
              <w:rPr>
                <w:color w:val="000000"/>
                <w:sz w:val="22"/>
                <w:szCs w:val="22"/>
              </w:rPr>
            </w:pPr>
            <w:r w:rsidRPr="00AD5F47">
              <w:rPr>
                <w:color w:val="000000"/>
                <w:sz w:val="22"/>
                <w:szCs w:val="22"/>
              </w:rPr>
              <w:t>France</w:t>
            </w:r>
          </w:p>
        </w:tc>
        <w:tc>
          <w:tcPr>
            <w:tcW w:w="1200" w:type="dxa"/>
            <w:tcBorders>
              <w:top w:val="nil"/>
              <w:left w:val="nil"/>
              <w:bottom w:val="nil"/>
              <w:right w:val="nil"/>
            </w:tcBorders>
            <w:shd w:val="clear" w:color="auto" w:fill="auto"/>
            <w:noWrap/>
            <w:vAlign w:val="center"/>
            <w:hideMark/>
          </w:tcPr>
          <w:p w14:paraId="3144FD83" w14:textId="77777777" w:rsidR="0095697F" w:rsidRPr="00AD5F47" w:rsidRDefault="0095697F" w:rsidP="00A47A7E">
            <w:pPr>
              <w:jc w:val="center"/>
              <w:rPr>
                <w:color w:val="000000"/>
                <w:sz w:val="22"/>
                <w:szCs w:val="22"/>
              </w:rPr>
            </w:pPr>
            <w:r w:rsidRPr="00AD5F47">
              <w:rPr>
                <w:color w:val="000000"/>
                <w:sz w:val="22"/>
                <w:szCs w:val="22"/>
              </w:rPr>
              <w:t>19.78</w:t>
            </w:r>
          </w:p>
        </w:tc>
        <w:tc>
          <w:tcPr>
            <w:tcW w:w="1120" w:type="dxa"/>
            <w:tcBorders>
              <w:top w:val="nil"/>
              <w:left w:val="nil"/>
              <w:bottom w:val="nil"/>
              <w:right w:val="nil"/>
            </w:tcBorders>
            <w:shd w:val="clear" w:color="auto" w:fill="auto"/>
            <w:noWrap/>
            <w:vAlign w:val="center"/>
            <w:hideMark/>
          </w:tcPr>
          <w:p w14:paraId="3EBE5D9C" w14:textId="77777777" w:rsidR="0095697F" w:rsidRPr="00AD5F47" w:rsidRDefault="0095697F" w:rsidP="00A47A7E">
            <w:pPr>
              <w:jc w:val="center"/>
              <w:rPr>
                <w:color w:val="000000"/>
                <w:sz w:val="22"/>
                <w:szCs w:val="22"/>
              </w:rPr>
            </w:pPr>
            <w:r w:rsidRPr="00AD5F47">
              <w:rPr>
                <w:color w:val="000000"/>
                <w:sz w:val="22"/>
                <w:szCs w:val="22"/>
              </w:rPr>
              <w:t>44.7</w:t>
            </w:r>
          </w:p>
        </w:tc>
        <w:tc>
          <w:tcPr>
            <w:tcW w:w="980" w:type="dxa"/>
            <w:tcBorders>
              <w:top w:val="nil"/>
              <w:left w:val="nil"/>
              <w:bottom w:val="nil"/>
              <w:right w:val="nil"/>
            </w:tcBorders>
            <w:shd w:val="clear" w:color="auto" w:fill="auto"/>
            <w:noWrap/>
            <w:vAlign w:val="center"/>
            <w:hideMark/>
          </w:tcPr>
          <w:p w14:paraId="281A0D67" w14:textId="77777777" w:rsidR="0095697F" w:rsidRPr="00AD5F47" w:rsidRDefault="0095697F" w:rsidP="00A47A7E">
            <w:pPr>
              <w:jc w:val="center"/>
              <w:rPr>
                <w:color w:val="000000"/>
                <w:sz w:val="22"/>
                <w:szCs w:val="22"/>
              </w:rPr>
            </w:pPr>
            <w:r w:rsidRPr="00AD5F47">
              <w:rPr>
                <w:color w:val="000000"/>
                <w:sz w:val="22"/>
                <w:szCs w:val="22"/>
              </w:rPr>
              <w:t>31.29</w:t>
            </w:r>
          </w:p>
        </w:tc>
        <w:tc>
          <w:tcPr>
            <w:tcW w:w="920" w:type="dxa"/>
            <w:tcBorders>
              <w:top w:val="nil"/>
              <w:left w:val="nil"/>
              <w:bottom w:val="nil"/>
              <w:right w:val="nil"/>
            </w:tcBorders>
            <w:shd w:val="clear" w:color="auto" w:fill="auto"/>
            <w:noWrap/>
            <w:vAlign w:val="center"/>
            <w:hideMark/>
          </w:tcPr>
          <w:p w14:paraId="0A80F932" w14:textId="77777777" w:rsidR="0095697F" w:rsidRPr="00AD5F47" w:rsidRDefault="0095697F" w:rsidP="00A47A7E">
            <w:pPr>
              <w:jc w:val="center"/>
              <w:rPr>
                <w:color w:val="000000"/>
                <w:sz w:val="22"/>
                <w:szCs w:val="22"/>
              </w:rPr>
            </w:pPr>
            <w:r w:rsidRPr="00AD5F47">
              <w:rPr>
                <w:color w:val="000000"/>
                <w:sz w:val="22"/>
                <w:szCs w:val="22"/>
              </w:rPr>
              <w:t>25.35</w:t>
            </w:r>
          </w:p>
        </w:tc>
        <w:tc>
          <w:tcPr>
            <w:tcW w:w="1060" w:type="dxa"/>
            <w:tcBorders>
              <w:top w:val="nil"/>
              <w:left w:val="nil"/>
              <w:bottom w:val="nil"/>
              <w:right w:val="nil"/>
            </w:tcBorders>
            <w:shd w:val="clear" w:color="auto" w:fill="auto"/>
            <w:noWrap/>
            <w:vAlign w:val="center"/>
            <w:hideMark/>
          </w:tcPr>
          <w:p w14:paraId="10E49F4D" w14:textId="77777777" w:rsidR="0095697F" w:rsidRPr="00AD5F47" w:rsidRDefault="0095697F" w:rsidP="00A47A7E">
            <w:pPr>
              <w:jc w:val="center"/>
              <w:rPr>
                <w:color w:val="000000"/>
                <w:sz w:val="22"/>
                <w:szCs w:val="22"/>
              </w:rPr>
            </w:pPr>
            <w:r w:rsidRPr="00AD5F47">
              <w:rPr>
                <w:color w:val="000000"/>
                <w:sz w:val="22"/>
                <w:szCs w:val="22"/>
              </w:rPr>
              <w:t>122.27</w:t>
            </w:r>
          </w:p>
        </w:tc>
        <w:tc>
          <w:tcPr>
            <w:tcW w:w="1060" w:type="dxa"/>
            <w:tcBorders>
              <w:top w:val="nil"/>
              <w:left w:val="nil"/>
              <w:bottom w:val="nil"/>
              <w:right w:val="nil"/>
            </w:tcBorders>
            <w:shd w:val="clear" w:color="auto" w:fill="auto"/>
            <w:noWrap/>
            <w:vAlign w:val="center"/>
            <w:hideMark/>
          </w:tcPr>
          <w:p w14:paraId="2DBFFFED" w14:textId="77777777" w:rsidR="0095697F" w:rsidRPr="00AD5F47" w:rsidRDefault="0095697F" w:rsidP="00A47A7E">
            <w:pPr>
              <w:jc w:val="center"/>
              <w:rPr>
                <w:color w:val="000000"/>
                <w:sz w:val="22"/>
                <w:szCs w:val="22"/>
              </w:rPr>
            </w:pPr>
            <w:r w:rsidRPr="00AD5F47">
              <w:rPr>
                <w:color w:val="000000"/>
                <w:sz w:val="22"/>
                <w:szCs w:val="22"/>
              </w:rPr>
              <w:t>53.26</w:t>
            </w:r>
          </w:p>
        </w:tc>
        <w:tc>
          <w:tcPr>
            <w:tcW w:w="1160" w:type="dxa"/>
            <w:tcBorders>
              <w:top w:val="nil"/>
              <w:left w:val="nil"/>
              <w:bottom w:val="nil"/>
              <w:right w:val="nil"/>
            </w:tcBorders>
            <w:shd w:val="clear" w:color="auto" w:fill="auto"/>
            <w:noWrap/>
            <w:vAlign w:val="center"/>
            <w:hideMark/>
          </w:tcPr>
          <w:p w14:paraId="39C9EE5B" w14:textId="77777777" w:rsidR="0095697F" w:rsidRPr="00AD5F47" w:rsidRDefault="0095697F" w:rsidP="00A47A7E">
            <w:pPr>
              <w:jc w:val="center"/>
              <w:rPr>
                <w:color w:val="000000"/>
                <w:sz w:val="22"/>
                <w:szCs w:val="22"/>
              </w:rPr>
            </w:pPr>
            <w:r w:rsidRPr="00AD5F47">
              <w:rPr>
                <w:color w:val="000000"/>
                <w:sz w:val="22"/>
                <w:szCs w:val="22"/>
              </w:rPr>
              <w:t>41.41</w:t>
            </w:r>
          </w:p>
        </w:tc>
      </w:tr>
      <w:tr w:rsidR="0095697F" w:rsidRPr="00AD5F47" w14:paraId="742343C0" w14:textId="77777777" w:rsidTr="00A47A7E">
        <w:trPr>
          <w:trHeight w:val="320"/>
        </w:trPr>
        <w:tc>
          <w:tcPr>
            <w:tcW w:w="1704" w:type="dxa"/>
            <w:tcBorders>
              <w:top w:val="nil"/>
              <w:left w:val="nil"/>
              <w:bottom w:val="nil"/>
              <w:right w:val="nil"/>
            </w:tcBorders>
            <w:shd w:val="clear" w:color="auto" w:fill="auto"/>
            <w:noWrap/>
            <w:vAlign w:val="bottom"/>
            <w:hideMark/>
          </w:tcPr>
          <w:p w14:paraId="66F9E46D" w14:textId="77777777" w:rsidR="0095697F" w:rsidRPr="00AD5F47" w:rsidRDefault="0095697F" w:rsidP="00A47A7E">
            <w:pPr>
              <w:rPr>
                <w:color w:val="000000"/>
                <w:sz w:val="22"/>
                <w:szCs w:val="22"/>
              </w:rPr>
            </w:pPr>
            <w:r w:rsidRPr="00AD5F47">
              <w:rPr>
                <w:color w:val="000000"/>
                <w:sz w:val="22"/>
                <w:szCs w:val="22"/>
              </w:rPr>
              <w:t>Germany</w:t>
            </w:r>
          </w:p>
        </w:tc>
        <w:tc>
          <w:tcPr>
            <w:tcW w:w="1200" w:type="dxa"/>
            <w:tcBorders>
              <w:top w:val="nil"/>
              <w:left w:val="nil"/>
              <w:bottom w:val="nil"/>
              <w:right w:val="nil"/>
            </w:tcBorders>
            <w:shd w:val="clear" w:color="auto" w:fill="auto"/>
            <w:noWrap/>
            <w:vAlign w:val="center"/>
            <w:hideMark/>
          </w:tcPr>
          <w:p w14:paraId="1BBD0E01" w14:textId="77777777" w:rsidR="0095697F" w:rsidRPr="00AD5F47" w:rsidRDefault="0095697F" w:rsidP="00A47A7E">
            <w:pPr>
              <w:jc w:val="center"/>
              <w:rPr>
                <w:color w:val="000000"/>
                <w:sz w:val="22"/>
                <w:szCs w:val="22"/>
              </w:rPr>
            </w:pPr>
            <w:r w:rsidRPr="00AD5F47">
              <w:rPr>
                <w:color w:val="000000"/>
                <w:sz w:val="22"/>
                <w:szCs w:val="22"/>
              </w:rPr>
              <w:t>29.33</w:t>
            </w:r>
          </w:p>
        </w:tc>
        <w:tc>
          <w:tcPr>
            <w:tcW w:w="1120" w:type="dxa"/>
            <w:tcBorders>
              <w:top w:val="nil"/>
              <w:left w:val="nil"/>
              <w:bottom w:val="nil"/>
              <w:right w:val="nil"/>
            </w:tcBorders>
            <w:shd w:val="clear" w:color="auto" w:fill="auto"/>
            <w:noWrap/>
            <w:vAlign w:val="center"/>
            <w:hideMark/>
          </w:tcPr>
          <w:p w14:paraId="3ECEFF20" w14:textId="77777777" w:rsidR="0095697F" w:rsidRPr="00AD5F47" w:rsidRDefault="0095697F" w:rsidP="00A47A7E">
            <w:pPr>
              <w:jc w:val="center"/>
              <w:rPr>
                <w:color w:val="000000"/>
                <w:sz w:val="22"/>
                <w:szCs w:val="22"/>
              </w:rPr>
            </w:pPr>
            <w:r w:rsidRPr="00AD5F47">
              <w:rPr>
                <w:color w:val="000000"/>
                <w:sz w:val="22"/>
                <w:szCs w:val="22"/>
              </w:rPr>
              <w:t>38.1</w:t>
            </w:r>
          </w:p>
        </w:tc>
        <w:tc>
          <w:tcPr>
            <w:tcW w:w="980" w:type="dxa"/>
            <w:tcBorders>
              <w:top w:val="nil"/>
              <w:left w:val="nil"/>
              <w:bottom w:val="nil"/>
              <w:right w:val="nil"/>
            </w:tcBorders>
            <w:shd w:val="clear" w:color="auto" w:fill="auto"/>
            <w:noWrap/>
            <w:vAlign w:val="center"/>
            <w:hideMark/>
          </w:tcPr>
          <w:p w14:paraId="261E4266" w14:textId="77777777" w:rsidR="0095697F" w:rsidRPr="00AD5F47" w:rsidRDefault="0095697F" w:rsidP="00A47A7E">
            <w:pPr>
              <w:jc w:val="center"/>
              <w:rPr>
                <w:color w:val="000000"/>
                <w:sz w:val="22"/>
                <w:szCs w:val="22"/>
              </w:rPr>
            </w:pPr>
            <w:r w:rsidRPr="00AD5F47">
              <w:rPr>
                <w:color w:val="000000"/>
                <w:sz w:val="22"/>
                <w:szCs w:val="22"/>
              </w:rPr>
              <w:t>32.88</w:t>
            </w:r>
          </w:p>
        </w:tc>
        <w:tc>
          <w:tcPr>
            <w:tcW w:w="920" w:type="dxa"/>
            <w:tcBorders>
              <w:top w:val="nil"/>
              <w:left w:val="nil"/>
              <w:bottom w:val="nil"/>
              <w:right w:val="nil"/>
            </w:tcBorders>
            <w:shd w:val="clear" w:color="auto" w:fill="auto"/>
            <w:noWrap/>
            <w:vAlign w:val="center"/>
            <w:hideMark/>
          </w:tcPr>
          <w:p w14:paraId="71E5F960" w14:textId="77777777" w:rsidR="0095697F" w:rsidRPr="00AD5F47" w:rsidRDefault="0095697F" w:rsidP="00A47A7E">
            <w:pPr>
              <w:jc w:val="center"/>
              <w:rPr>
                <w:color w:val="000000"/>
                <w:sz w:val="22"/>
                <w:szCs w:val="22"/>
              </w:rPr>
            </w:pPr>
            <w:r w:rsidRPr="00AD5F47">
              <w:rPr>
                <w:color w:val="000000"/>
                <w:sz w:val="22"/>
                <w:szCs w:val="22"/>
              </w:rPr>
              <w:t>26.5</w:t>
            </w:r>
          </w:p>
        </w:tc>
        <w:tc>
          <w:tcPr>
            <w:tcW w:w="1060" w:type="dxa"/>
            <w:tcBorders>
              <w:top w:val="nil"/>
              <w:left w:val="nil"/>
              <w:bottom w:val="nil"/>
              <w:right w:val="nil"/>
            </w:tcBorders>
            <w:shd w:val="clear" w:color="auto" w:fill="auto"/>
            <w:noWrap/>
            <w:vAlign w:val="center"/>
            <w:hideMark/>
          </w:tcPr>
          <w:p w14:paraId="1E9CCC2B" w14:textId="77777777" w:rsidR="0095697F" w:rsidRPr="00AD5F47" w:rsidRDefault="0095697F" w:rsidP="00A47A7E">
            <w:pPr>
              <w:jc w:val="center"/>
              <w:rPr>
                <w:color w:val="000000"/>
                <w:sz w:val="22"/>
                <w:szCs w:val="22"/>
              </w:rPr>
            </w:pPr>
            <w:r w:rsidRPr="00AD5F47">
              <w:rPr>
                <w:color w:val="000000"/>
                <w:sz w:val="22"/>
                <w:szCs w:val="22"/>
              </w:rPr>
              <w:t>82.13</w:t>
            </w:r>
          </w:p>
        </w:tc>
        <w:tc>
          <w:tcPr>
            <w:tcW w:w="1060" w:type="dxa"/>
            <w:tcBorders>
              <w:top w:val="nil"/>
              <w:left w:val="nil"/>
              <w:bottom w:val="nil"/>
              <w:right w:val="nil"/>
            </w:tcBorders>
            <w:shd w:val="clear" w:color="auto" w:fill="auto"/>
            <w:noWrap/>
            <w:vAlign w:val="center"/>
            <w:hideMark/>
          </w:tcPr>
          <w:p w14:paraId="00513D81" w14:textId="77777777" w:rsidR="0095697F" w:rsidRPr="00AD5F47" w:rsidRDefault="0095697F" w:rsidP="00A47A7E">
            <w:pPr>
              <w:jc w:val="center"/>
              <w:rPr>
                <w:color w:val="000000"/>
                <w:sz w:val="22"/>
                <w:szCs w:val="22"/>
              </w:rPr>
            </w:pPr>
            <w:r w:rsidRPr="00AD5F47">
              <w:rPr>
                <w:color w:val="000000"/>
                <w:sz w:val="22"/>
                <w:szCs w:val="22"/>
              </w:rPr>
              <w:t>45.10</w:t>
            </w:r>
          </w:p>
        </w:tc>
        <w:tc>
          <w:tcPr>
            <w:tcW w:w="1160" w:type="dxa"/>
            <w:tcBorders>
              <w:top w:val="nil"/>
              <w:left w:val="nil"/>
              <w:bottom w:val="nil"/>
              <w:right w:val="nil"/>
            </w:tcBorders>
            <w:shd w:val="clear" w:color="auto" w:fill="auto"/>
            <w:noWrap/>
            <w:vAlign w:val="center"/>
            <w:hideMark/>
          </w:tcPr>
          <w:p w14:paraId="47B133F6" w14:textId="77777777" w:rsidR="0095697F" w:rsidRPr="00AD5F47" w:rsidRDefault="0095697F" w:rsidP="00A47A7E">
            <w:pPr>
              <w:jc w:val="center"/>
              <w:rPr>
                <w:color w:val="000000"/>
                <w:sz w:val="22"/>
                <w:szCs w:val="22"/>
              </w:rPr>
            </w:pPr>
            <w:r w:rsidRPr="00AD5F47">
              <w:rPr>
                <w:color w:val="000000"/>
                <w:sz w:val="22"/>
                <w:szCs w:val="22"/>
              </w:rPr>
              <w:t>34.88</w:t>
            </w:r>
          </w:p>
        </w:tc>
      </w:tr>
      <w:tr w:rsidR="0095697F" w:rsidRPr="00AD5F47" w14:paraId="147FA0EC" w14:textId="77777777" w:rsidTr="00A47A7E">
        <w:trPr>
          <w:trHeight w:val="320"/>
        </w:trPr>
        <w:tc>
          <w:tcPr>
            <w:tcW w:w="1704" w:type="dxa"/>
            <w:tcBorders>
              <w:top w:val="nil"/>
              <w:left w:val="nil"/>
              <w:bottom w:val="nil"/>
              <w:right w:val="nil"/>
            </w:tcBorders>
            <w:shd w:val="clear" w:color="auto" w:fill="auto"/>
            <w:noWrap/>
            <w:vAlign w:val="bottom"/>
            <w:hideMark/>
          </w:tcPr>
          <w:p w14:paraId="07EB0DBF" w14:textId="77777777" w:rsidR="0095697F" w:rsidRPr="00AD5F47" w:rsidRDefault="0095697F" w:rsidP="00A47A7E">
            <w:pPr>
              <w:rPr>
                <w:color w:val="000000"/>
                <w:sz w:val="22"/>
                <w:szCs w:val="22"/>
              </w:rPr>
            </w:pPr>
            <w:r w:rsidRPr="00AD5F47">
              <w:rPr>
                <w:color w:val="000000"/>
                <w:sz w:val="22"/>
                <w:szCs w:val="22"/>
              </w:rPr>
              <w:t>Ireland</w:t>
            </w:r>
          </w:p>
        </w:tc>
        <w:tc>
          <w:tcPr>
            <w:tcW w:w="1200" w:type="dxa"/>
            <w:tcBorders>
              <w:top w:val="nil"/>
              <w:left w:val="nil"/>
              <w:bottom w:val="nil"/>
              <w:right w:val="nil"/>
            </w:tcBorders>
            <w:shd w:val="clear" w:color="auto" w:fill="auto"/>
            <w:noWrap/>
            <w:vAlign w:val="center"/>
            <w:hideMark/>
          </w:tcPr>
          <w:p w14:paraId="5F7B0890" w14:textId="77777777" w:rsidR="0095697F" w:rsidRPr="00AD5F47" w:rsidRDefault="0095697F" w:rsidP="00A47A7E">
            <w:pPr>
              <w:jc w:val="center"/>
              <w:rPr>
                <w:color w:val="000000"/>
                <w:sz w:val="22"/>
                <w:szCs w:val="22"/>
              </w:rPr>
            </w:pPr>
            <w:r w:rsidRPr="00AD5F47">
              <w:rPr>
                <w:color w:val="000000"/>
                <w:sz w:val="22"/>
                <w:szCs w:val="22"/>
              </w:rPr>
              <w:t>3.68</w:t>
            </w:r>
          </w:p>
        </w:tc>
        <w:tc>
          <w:tcPr>
            <w:tcW w:w="1120" w:type="dxa"/>
            <w:tcBorders>
              <w:top w:val="nil"/>
              <w:left w:val="nil"/>
              <w:bottom w:val="nil"/>
              <w:right w:val="nil"/>
            </w:tcBorders>
            <w:shd w:val="clear" w:color="auto" w:fill="auto"/>
            <w:noWrap/>
            <w:vAlign w:val="center"/>
            <w:hideMark/>
          </w:tcPr>
          <w:p w14:paraId="0E0474A7" w14:textId="77777777" w:rsidR="0095697F" w:rsidRPr="00AD5F47" w:rsidRDefault="0095697F" w:rsidP="00A47A7E">
            <w:pPr>
              <w:jc w:val="center"/>
              <w:rPr>
                <w:color w:val="000000"/>
                <w:sz w:val="22"/>
                <w:szCs w:val="22"/>
              </w:rPr>
            </w:pPr>
            <w:r w:rsidRPr="00AD5F47">
              <w:rPr>
                <w:color w:val="000000"/>
                <w:sz w:val="22"/>
                <w:szCs w:val="22"/>
              </w:rPr>
              <w:t>4.1</w:t>
            </w:r>
          </w:p>
        </w:tc>
        <w:tc>
          <w:tcPr>
            <w:tcW w:w="980" w:type="dxa"/>
            <w:tcBorders>
              <w:top w:val="nil"/>
              <w:left w:val="nil"/>
              <w:bottom w:val="nil"/>
              <w:right w:val="nil"/>
            </w:tcBorders>
            <w:shd w:val="clear" w:color="auto" w:fill="auto"/>
            <w:noWrap/>
            <w:vAlign w:val="center"/>
            <w:hideMark/>
          </w:tcPr>
          <w:p w14:paraId="5BFBD334" w14:textId="77777777" w:rsidR="0095697F" w:rsidRPr="00AD5F47" w:rsidRDefault="0095697F" w:rsidP="00A47A7E">
            <w:pPr>
              <w:jc w:val="center"/>
              <w:rPr>
                <w:color w:val="000000"/>
                <w:sz w:val="22"/>
                <w:szCs w:val="22"/>
              </w:rPr>
            </w:pPr>
            <w:r w:rsidRPr="00AD5F47">
              <w:rPr>
                <w:color w:val="000000"/>
                <w:sz w:val="22"/>
                <w:szCs w:val="22"/>
              </w:rPr>
              <w:t>4.87</w:t>
            </w:r>
          </w:p>
        </w:tc>
        <w:tc>
          <w:tcPr>
            <w:tcW w:w="920" w:type="dxa"/>
            <w:tcBorders>
              <w:top w:val="nil"/>
              <w:left w:val="nil"/>
              <w:bottom w:val="nil"/>
              <w:right w:val="nil"/>
            </w:tcBorders>
            <w:shd w:val="clear" w:color="auto" w:fill="auto"/>
            <w:noWrap/>
            <w:vAlign w:val="center"/>
            <w:hideMark/>
          </w:tcPr>
          <w:p w14:paraId="66E255FE" w14:textId="77777777" w:rsidR="0095697F" w:rsidRPr="00AD5F47" w:rsidRDefault="0095697F" w:rsidP="00A47A7E">
            <w:pPr>
              <w:jc w:val="center"/>
              <w:rPr>
                <w:color w:val="000000"/>
                <w:sz w:val="22"/>
                <w:szCs w:val="22"/>
              </w:rPr>
            </w:pPr>
            <w:r w:rsidRPr="00AD5F47">
              <w:rPr>
                <w:color w:val="000000"/>
                <w:sz w:val="22"/>
                <w:szCs w:val="22"/>
              </w:rPr>
              <w:t>2.67</w:t>
            </w:r>
          </w:p>
        </w:tc>
        <w:tc>
          <w:tcPr>
            <w:tcW w:w="1060" w:type="dxa"/>
            <w:tcBorders>
              <w:top w:val="nil"/>
              <w:left w:val="nil"/>
              <w:bottom w:val="nil"/>
              <w:right w:val="nil"/>
            </w:tcBorders>
            <w:shd w:val="clear" w:color="auto" w:fill="auto"/>
            <w:noWrap/>
            <w:vAlign w:val="center"/>
            <w:hideMark/>
          </w:tcPr>
          <w:p w14:paraId="1409E4E4" w14:textId="77777777" w:rsidR="0095697F" w:rsidRPr="00AD5F47" w:rsidRDefault="0095697F" w:rsidP="00A47A7E">
            <w:pPr>
              <w:jc w:val="center"/>
              <w:rPr>
                <w:color w:val="000000"/>
                <w:sz w:val="22"/>
                <w:szCs w:val="22"/>
              </w:rPr>
            </w:pPr>
            <w:r w:rsidRPr="00AD5F47">
              <w:rPr>
                <w:color w:val="000000"/>
                <w:sz w:val="22"/>
                <w:szCs w:val="22"/>
              </w:rPr>
              <w:t>13.25</w:t>
            </w:r>
          </w:p>
        </w:tc>
        <w:tc>
          <w:tcPr>
            <w:tcW w:w="1060" w:type="dxa"/>
            <w:tcBorders>
              <w:top w:val="nil"/>
              <w:left w:val="nil"/>
              <w:bottom w:val="nil"/>
              <w:right w:val="nil"/>
            </w:tcBorders>
            <w:shd w:val="clear" w:color="auto" w:fill="auto"/>
            <w:noWrap/>
            <w:vAlign w:val="center"/>
            <w:hideMark/>
          </w:tcPr>
          <w:p w14:paraId="5A9EBCB8" w14:textId="77777777" w:rsidR="0095697F" w:rsidRPr="00AD5F47" w:rsidRDefault="0095697F" w:rsidP="00A47A7E">
            <w:pPr>
              <w:jc w:val="center"/>
              <w:rPr>
                <w:color w:val="000000"/>
                <w:sz w:val="22"/>
                <w:szCs w:val="22"/>
              </w:rPr>
            </w:pPr>
            <w:r w:rsidRPr="00AD5F47">
              <w:rPr>
                <w:color w:val="000000"/>
                <w:sz w:val="22"/>
                <w:szCs w:val="22"/>
              </w:rPr>
              <w:t>6.83</w:t>
            </w:r>
          </w:p>
        </w:tc>
        <w:tc>
          <w:tcPr>
            <w:tcW w:w="1160" w:type="dxa"/>
            <w:tcBorders>
              <w:top w:val="nil"/>
              <w:left w:val="nil"/>
              <w:bottom w:val="nil"/>
              <w:right w:val="nil"/>
            </w:tcBorders>
            <w:shd w:val="clear" w:color="auto" w:fill="auto"/>
            <w:noWrap/>
            <w:vAlign w:val="center"/>
            <w:hideMark/>
          </w:tcPr>
          <w:p w14:paraId="16BABA09" w14:textId="77777777" w:rsidR="0095697F" w:rsidRPr="00AD5F47" w:rsidRDefault="0095697F" w:rsidP="00A47A7E">
            <w:pPr>
              <w:jc w:val="center"/>
              <w:rPr>
                <w:color w:val="000000"/>
                <w:sz w:val="22"/>
                <w:szCs w:val="22"/>
              </w:rPr>
            </w:pPr>
            <w:r w:rsidRPr="00AD5F47">
              <w:rPr>
                <w:color w:val="000000"/>
                <w:sz w:val="22"/>
                <w:szCs w:val="22"/>
              </w:rPr>
              <w:t>5.78</w:t>
            </w:r>
          </w:p>
        </w:tc>
      </w:tr>
      <w:tr w:rsidR="0095697F" w:rsidRPr="00AD5F47" w14:paraId="6535011C" w14:textId="77777777" w:rsidTr="00A47A7E">
        <w:trPr>
          <w:trHeight w:val="320"/>
        </w:trPr>
        <w:tc>
          <w:tcPr>
            <w:tcW w:w="1704" w:type="dxa"/>
            <w:tcBorders>
              <w:top w:val="nil"/>
              <w:left w:val="nil"/>
              <w:bottom w:val="nil"/>
              <w:right w:val="nil"/>
            </w:tcBorders>
            <w:shd w:val="clear" w:color="auto" w:fill="auto"/>
            <w:noWrap/>
            <w:vAlign w:val="bottom"/>
            <w:hideMark/>
          </w:tcPr>
          <w:p w14:paraId="7F4D334E" w14:textId="77777777" w:rsidR="0095697F" w:rsidRPr="00AD5F47" w:rsidRDefault="0095697F" w:rsidP="00A47A7E">
            <w:pPr>
              <w:rPr>
                <w:color w:val="000000"/>
                <w:sz w:val="22"/>
                <w:szCs w:val="22"/>
              </w:rPr>
            </w:pPr>
            <w:r w:rsidRPr="00AD5F47">
              <w:rPr>
                <w:color w:val="000000"/>
                <w:sz w:val="22"/>
                <w:szCs w:val="22"/>
              </w:rPr>
              <w:t>Italy</w:t>
            </w:r>
          </w:p>
        </w:tc>
        <w:tc>
          <w:tcPr>
            <w:tcW w:w="1200" w:type="dxa"/>
            <w:tcBorders>
              <w:top w:val="nil"/>
              <w:left w:val="nil"/>
              <w:bottom w:val="nil"/>
              <w:right w:val="nil"/>
            </w:tcBorders>
            <w:shd w:val="clear" w:color="auto" w:fill="auto"/>
            <w:noWrap/>
            <w:vAlign w:val="center"/>
            <w:hideMark/>
          </w:tcPr>
          <w:p w14:paraId="4FB632AB" w14:textId="77777777" w:rsidR="0095697F" w:rsidRPr="00AD5F47" w:rsidRDefault="0095697F" w:rsidP="00A47A7E">
            <w:pPr>
              <w:jc w:val="center"/>
              <w:rPr>
                <w:color w:val="000000"/>
                <w:sz w:val="22"/>
                <w:szCs w:val="22"/>
              </w:rPr>
            </w:pPr>
            <w:r w:rsidRPr="00AD5F47">
              <w:rPr>
                <w:color w:val="000000"/>
                <w:sz w:val="22"/>
                <w:szCs w:val="22"/>
              </w:rPr>
              <w:t>25.21</w:t>
            </w:r>
          </w:p>
        </w:tc>
        <w:tc>
          <w:tcPr>
            <w:tcW w:w="1120" w:type="dxa"/>
            <w:tcBorders>
              <w:top w:val="nil"/>
              <w:left w:val="nil"/>
              <w:bottom w:val="nil"/>
              <w:right w:val="nil"/>
            </w:tcBorders>
            <w:shd w:val="clear" w:color="auto" w:fill="auto"/>
            <w:noWrap/>
            <w:vAlign w:val="center"/>
            <w:hideMark/>
          </w:tcPr>
          <w:p w14:paraId="1BC2A35D" w14:textId="77777777" w:rsidR="0095697F" w:rsidRPr="00AD5F47" w:rsidRDefault="0095697F" w:rsidP="00A47A7E">
            <w:pPr>
              <w:jc w:val="center"/>
              <w:rPr>
                <w:color w:val="000000"/>
                <w:sz w:val="22"/>
                <w:szCs w:val="22"/>
              </w:rPr>
            </w:pPr>
            <w:r w:rsidRPr="00AD5F47">
              <w:rPr>
                <w:color w:val="000000"/>
                <w:sz w:val="22"/>
                <w:szCs w:val="22"/>
              </w:rPr>
              <w:t>42.9</w:t>
            </w:r>
          </w:p>
        </w:tc>
        <w:tc>
          <w:tcPr>
            <w:tcW w:w="980" w:type="dxa"/>
            <w:tcBorders>
              <w:top w:val="nil"/>
              <w:left w:val="nil"/>
              <w:bottom w:val="nil"/>
              <w:right w:val="nil"/>
            </w:tcBorders>
            <w:shd w:val="clear" w:color="auto" w:fill="auto"/>
            <w:noWrap/>
            <w:vAlign w:val="center"/>
            <w:hideMark/>
          </w:tcPr>
          <w:p w14:paraId="1501E714" w14:textId="77777777" w:rsidR="0095697F" w:rsidRPr="00AD5F47" w:rsidRDefault="0095697F" w:rsidP="00A47A7E">
            <w:pPr>
              <w:jc w:val="center"/>
              <w:rPr>
                <w:color w:val="000000"/>
                <w:sz w:val="22"/>
                <w:szCs w:val="22"/>
              </w:rPr>
            </w:pPr>
            <w:r w:rsidRPr="00AD5F47">
              <w:rPr>
                <w:color w:val="000000"/>
                <w:sz w:val="22"/>
                <w:szCs w:val="22"/>
              </w:rPr>
              <w:t>32.94</w:t>
            </w:r>
          </w:p>
        </w:tc>
        <w:tc>
          <w:tcPr>
            <w:tcW w:w="920" w:type="dxa"/>
            <w:tcBorders>
              <w:top w:val="nil"/>
              <w:left w:val="nil"/>
              <w:bottom w:val="nil"/>
              <w:right w:val="nil"/>
            </w:tcBorders>
            <w:shd w:val="clear" w:color="auto" w:fill="auto"/>
            <w:noWrap/>
            <w:vAlign w:val="center"/>
            <w:hideMark/>
          </w:tcPr>
          <w:p w14:paraId="050A97E7" w14:textId="77777777" w:rsidR="0095697F" w:rsidRPr="00AD5F47" w:rsidRDefault="0095697F" w:rsidP="00A47A7E">
            <w:pPr>
              <w:jc w:val="center"/>
              <w:rPr>
                <w:color w:val="000000"/>
                <w:sz w:val="22"/>
                <w:szCs w:val="22"/>
              </w:rPr>
            </w:pPr>
            <w:r w:rsidRPr="00AD5F47">
              <w:rPr>
                <w:color w:val="000000"/>
                <w:sz w:val="22"/>
                <w:szCs w:val="22"/>
              </w:rPr>
              <w:t>23.44</w:t>
            </w:r>
          </w:p>
        </w:tc>
        <w:tc>
          <w:tcPr>
            <w:tcW w:w="1060" w:type="dxa"/>
            <w:tcBorders>
              <w:top w:val="nil"/>
              <w:left w:val="nil"/>
              <w:bottom w:val="nil"/>
              <w:right w:val="nil"/>
            </w:tcBorders>
            <w:shd w:val="clear" w:color="auto" w:fill="auto"/>
            <w:noWrap/>
            <w:vAlign w:val="center"/>
            <w:hideMark/>
          </w:tcPr>
          <w:p w14:paraId="02721DC9" w14:textId="77777777" w:rsidR="0095697F" w:rsidRPr="00AD5F47" w:rsidRDefault="0095697F" w:rsidP="00A47A7E">
            <w:pPr>
              <w:jc w:val="center"/>
              <w:rPr>
                <w:color w:val="000000"/>
                <w:sz w:val="22"/>
                <w:szCs w:val="22"/>
              </w:rPr>
            </w:pPr>
            <w:r w:rsidRPr="00AD5F47">
              <w:rPr>
                <w:color w:val="000000"/>
                <w:sz w:val="22"/>
                <w:szCs w:val="22"/>
              </w:rPr>
              <w:t>109.97</w:t>
            </w:r>
          </w:p>
        </w:tc>
        <w:tc>
          <w:tcPr>
            <w:tcW w:w="1060" w:type="dxa"/>
            <w:tcBorders>
              <w:top w:val="nil"/>
              <w:left w:val="nil"/>
              <w:bottom w:val="nil"/>
              <w:right w:val="nil"/>
            </w:tcBorders>
            <w:shd w:val="clear" w:color="auto" w:fill="auto"/>
            <w:noWrap/>
            <w:vAlign w:val="center"/>
            <w:hideMark/>
          </w:tcPr>
          <w:p w14:paraId="6EED6994" w14:textId="77777777" w:rsidR="0095697F" w:rsidRPr="00AD5F47" w:rsidRDefault="0095697F" w:rsidP="00A47A7E">
            <w:pPr>
              <w:jc w:val="center"/>
              <w:rPr>
                <w:color w:val="000000"/>
                <w:sz w:val="22"/>
                <w:szCs w:val="22"/>
              </w:rPr>
            </w:pPr>
            <w:r w:rsidRPr="00AD5F47">
              <w:rPr>
                <w:color w:val="000000"/>
                <w:sz w:val="22"/>
                <w:szCs w:val="22"/>
              </w:rPr>
              <w:t>41.60</w:t>
            </w:r>
          </w:p>
        </w:tc>
        <w:tc>
          <w:tcPr>
            <w:tcW w:w="1160" w:type="dxa"/>
            <w:tcBorders>
              <w:top w:val="nil"/>
              <w:left w:val="nil"/>
              <w:bottom w:val="nil"/>
              <w:right w:val="nil"/>
            </w:tcBorders>
            <w:shd w:val="clear" w:color="auto" w:fill="auto"/>
            <w:noWrap/>
            <w:vAlign w:val="center"/>
            <w:hideMark/>
          </w:tcPr>
          <w:p w14:paraId="24F85080" w14:textId="77777777" w:rsidR="0095697F" w:rsidRPr="00AD5F47" w:rsidRDefault="0095697F" w:rsidP="00A47A7E">
            <w:pPr>
              <w:jc w:val="center"/>
              <w:rPr>
                <w:color w:val="000000"/>
                <w:sz w:val="22"/>
                <w:szCs w:val="22"/>
              </w:rPr>
            </w:pPr>
            <w:r w:rsidRPr="00AD5F47">
              <w:rPr>
                <w:color w:val="000000"/>
                <w:sz w:val="22"/>
                <w:szCs w:val="22"/>
              </w:rPr>
              <w:t>33.33</w:t>
            </w:r>
          </w:p>
        </w:tc>
      </w:tr>
      <w:tr w:rsidR="0095697F" w:rsidRPr="00AD5F47" w14:paraId="693F6B59" w14:textId="77777777" w:rsidTr="00A47A7E">
        <w:trPr>
          <w:trHeight w:val="320"/>
        </w:trPr>
        <w:tc>
          <w:tcPr>
            <w:tcW w:w="1704" w:type="dxa"/>
            <w:tcBorders>
              <w:top w:val="nil"/>
              <w:left w:val="nil"/>
              <w:bottom w:val="nil"/>
              <w:right w:val="nil"/>
            </w:tcBorders>
            <w:shd w:val="clear" w:color="auto" w:fill="auto"/>
            <w:noWrap/>
            <w:vAlign w:val="bottom"/>
            <w:hideMark/>
          </w:tcPr>
          <w:p w14:paraId="3D787B5E" w14:textId="77777777" w:rsidR="0095697F" w:rsidRPr="00AD5F47" w:rsidRDefault="0095697F" w:rsidP="00A47A7E">
            <w:pPr>
              <w:rPr>
                <w:color w:val="000000"/>
                <w:sz w:val="22"/>
                <w:szCs w:val="22"/>
              </w:rPr>
            </w:pPr>
            <w:r w:rsidRPr="00AD5F47">
              <w:rPr>
                <w:color w:val="000000"/>
                <w:sz w:val="22"/>
                <w:szCs w:val="22"/>
              </w:rPr>
              <w:t>Japan</w:t>
            </w:r>
          </w:p>
        </w:tc>
        <w:tc>
          <w:tcPr>
            <w:tcW w:w="1200" w:type="dxa"/>
            <w:tcBorders>
              <w:top w:val="nil"/>
              <w:left w:val="nil"/>
              <w:bottom w:val="nil"/>
              <w:right w:val="nil"/>
            </w:tcBorders>
            <w:shd w:val="clear" w:color="auto" w:fill="auto"/>
            <w:noWrap/>
            <w:vAlign w:val="center"/>
            <w:hideMark/>
          </w:tcPr>
          <w:p w14:paraId="5221AA13" w14:textId="77777777" w:rsidR="0095697F" w:rsidRPr="00AD5F47" w:rsidRDefault="0095697F" w:rsidP="00A47A7E">
            <w:pPr>
              <w:jc w:val="center"/>
              <w:rPr>
                <w:color w:val="000000"/>
                <w:sz w:val="22"/>
                <w:szCs w:val="22"/>
              </w:rPr>
            </w:pPr>
            <w:r w:rsidRPr="00AD5F47">
              <w:rPr>
                <w:color w:val="000000"/>
                <w:sz w:val="22"/>
                <w:szCs w:val="22"/>
              </w:rPr>
              <w:t>89.17</w:t>
            </w:r>
          </w:p>
        </w:tc>
        <w:tc>
          <w:tcPr>
            <w:tcW w:w="1120" w:type="dxa"/>
            <w:tcBorders>
              <w:top w:val="nil"/>
              <w:left w:val="nil"/>
              <w:bottom w:val="nil"/>
              <w:right w:val="nil"/>
            </w:tcBorders>
            <w:shd w:val="clear" w:color="auto" w:fill="auto"/>
            <w:noWrap/>
            <w:vAlign w:val="center"/>
            <w:hideMark/>
          </w:tcPr>
          <w:p w14:paraId="70868E70" w14:textId="77777777" w:rsidR="0095697F" w:rsidRPr="00AD5F47" w:rsidRDefault="0095697F" w:rsidP="00A47A7E">
            <w:pPr>
              <w:jc w:val="center"/>
              <w:rPr>
                <w:color w:val="000000"/>
                <w:sz w:val="22"/>
                <w:szCs w:val="22"/>
              </w:rPr>
            </w:pPr>
            <w:r w:rsidRPr="00AD5F47">
              <w:rPr>
                <w:color w:val="000000"/>
                <w:sz w:val="22"/>
                <w:szCs w:val="22"/>
              </w:rPr>
              <w:t>199.1</w:t>
            </w:r>
          </w:p>
        </w:tc>
        <w:tc>
          <w:tcPr>
            <w:tcW w:w="980" w:type="dxa"/>
            <w:tcBorders>
              <w:top w:val="nil"/>
              <w:left w:val="nil"/>
              <w:bottom w:val="nil"/>
              <w:right w:val="nil"/>
            </w:tcBorders>
            <w:shd w:val="clear" w:color="auto" w:fill="auto"/>
            <w:noWrap/>
            <w:vAlign w:val="center"/>
            <w:hideMark/>
          </w:tcPr>
          <w:p w14:paraId="75136255" w14:textId="77777777" w:rsidR="0095697F" w:rsidRPr="00AD5F47" w:rsidRDefault="0095697F" w:rsidP="00A47A7E">
            <w:pPr>
              <w:jc w:val="center"/>
              <w:rPr>
                <w:color w:val="000000"/>
                <w:sz w:val="22"/>
                <w:szCs w:val="22"/>
              </w:rPr>
            </w:pPr>
            <w:r w:rsidRPr="00AD5F47">
              <w:rPr>
                <w:color w:val="000000"/>
                <w:sz w:val="22"/>
                <w:szCs w:val="22"/>
              </w:rPr>
              <w:t>72.99</w:t>
            </w:r>
          </w:p>
        </w:tc>
        <w:tc>
          <w:tcPr>
            <w:tcW w:w="920" w:type="dxa"/>
            <w:tcBorders>
              <w:top w:val="nil"/>
              <w:left w:val="nil"/>
              <w:bottom w:val="nil"/>
              <w:right w:val="nil"/>
            </w:tcBorders>
            <w:shd w:val="clear" w:color="auto" w:fill="auto"/>
            <w:noWrap/>
            <w:vAlign w:val="center"/>
            <w:hideMark/>
          </w:tcPr>
          <w:p w14:paraId="03B05CA1" w14:textId="77777777" w:rsidR="0095697F" w:rsidRPr="00AD5F47" w:rsidRDefault="0095697F" w:rsidP="00A47A7E">
            <w:pPr>
              <w:jc w:val="center"/>
              <w:rPr>
                <w:color w:val="000000"/>
                <w:sz w:val="22"/>
                <w:szCs w:val="22"/>
              </w:rPr>
            </w:pPr>
            <w:r w:rsidRPr="00AD5F47">
              <w:rPr>
                <w:color w:val="000000"/>
                <w:sz w:val="22"/>
                <w:szCs w:val="22"/>
              </w:rPr>
              <w:t>79.03</w:t>
            </w:r>
          </w:p>
        </w:tc>
        <w:tc>
          <w:tcPr>
            <w:tcW w:w="1060" w:type="dxa"/>
            <w:tcBorders>
              <w:top w:val="nil"/>
              <w:left w:val="nil"/>
              <w:bottom w:val="nil"/>
              <w:right w:val="nil"/>
            </w:tcBorders>
            <w:shd w:val="clear" w:color="auto" w:fill="auto"/>
            <w:noWrap/>
            <w:vAlign w:val="center"/>
            <w:hideMark/>
          </w:tcPr>
          <w:p w14:paraId="1FDE48CF" w14:textId="77777777" w:rsidR="0095697F" w:rsidRPr="00AD5F47" w:rsidRDefault="0095697F" w:rsidP="00A47A7E">
            <w:pPr>
              <w:jc w:val="center"/>
              <w:rPr>
                <w:color w:val="000000"/>
                <w:sz w:val="22"/>
                <w:szCs w:val="22"/>
              </w:rPr>
            </w:pPr>
            <w:r w:rsidRPr="00AD5F47">
              <w:rPr>
                <w:color w:val="000000"/>
                <w:sz w:val="22"/>
                <w:szCs w:val="22"/>
              </w:rPr>
              <w:t>416.47</w:t>
            </w:r>
          </w:p>
        </w:tc>
        <w:tc>
          <w:tcPr>
            <w:tcW w:w="1060" w:type="dxa"/>
            <w:tcBorders>
              <w:top w:val="nil"/>
              <w:left w:val="nil"/>
              <w:bottom w:val="nil"/>
              <w:right w:val="nil"/>
            </w:tcBorders>
            <w:shd w:val="clear" w:color="auto" w:fill="auto"/>
            <w:noWrap/>
            <w:vAlign w:val="center"/>
            <w:hideMark/>
          </w:tcPr>
          <w:p w14:paraId="2D9BE925" w14:textId="77777777" w:rsidR="0095697F" w:rsidRPr="00AD5F47" w:rsidRDefault="0095697F" w:rsidP="00A47A7E">
            <w:pPr>
              <w:jc w:val="center"/>
              <w:rPr>
                <w:color w:val="000000"/>
                <w:sz w:val="22"/>
                <w:szCs w:val="22"/>
              </w:rPr>
            </w:pPr>
            <w:r w:rsidRPr="00AD5F47">
              <w:rPr>
                <w:color w:val="000000"/>
                <w:sz w:val="22"/>
                <w:szCs w:val="22"/>
              </w:rPr>
              <w:t>254.84</w:t>
            </w:r>
          </w:p>
        </w:tc>
        <w:tc>
          <w:tcPr>
            <w:tcW w:w="1160" w:type="dxa"/>
            <w:tcBorders>
              <w:top w:val="nil"/>
              <w:left w:val="nil"/>
              <w:bottom w:val="nil"/>
              <w:right w:val="nil"/>
            </w:tcBorders>
            <w:shd w:val="clear" w:color="auto" w:fill="auto"/>
            <w:noWrap/>
            <w:vAlign w:val="center"/>
            <w:hideMark/>
          </w:tcPr>
          <w:p w14:paraId="514BEFE8" w14:textId="77777777" w:rsidR="0095697F" w:rsidRPr="00AD5F47" w:rsidRDefault="0095697F" w:rsidP="00A47A7E">
            <w:pPr>
              <w:jc w:val="center"/>
              <w:rPr>
                <w:color w:val="000000"/>
                <w:sz w:val="22"/>
                <w:szCs w:val="22"/>
              </w:rPr>
            </w:pPr>
            <w:r w:rsidRPr="00AD5F47">
              <w:rPr>
                <w:color w:val="000000"/>
                <w:sz w:val="22"/>
                <w:szCs w:val="22"/>
              </w:rPr>
              <w:t>214.28</w:t>
            </w:r>
          </w:p>
        </w:tc>
      </w:tr>
      <w:tr w:rsidR="0095697F" w:rsidRPr="00AD5F47" w14:paraId="0EBE5815" w14:textId="77777777" w:rsidTr="00A47A7E">
        <w:trPr>
          <w:trHeight w:val="320"/>
        </w:trPr>
        <w:tc>
          <w:tcPr>
            <w:tcW w:w="1704" w:type="dxa"/>
            <w:tcBorders>
              <w:top w:val="nil"/>
              <w:left w:val="nil"/>
              <w:bottom w:val="nil"/>
              <w:right w:val="nil"/>
            </w:tcBorders>
            <w:shd w:val="clear" w:color="auto" w:fill="auto"/>
            <w:noWrap/>
            <w:vAlign w:val="bottom"/>
            <w:hideMark/>
          </w:tcPr>
          <w:p w14:paraId="41062DE4" w14:textId="77777777" w:rsidR="0095697F" w:rsidRPr="00AD5F47" w:rsidRDefault="0095697F" w:rsidP="00A47A7E">
            <w:pPr>
              <w:rPr>
                <w:color w:val="000000"/>
                <w:sz w:val="22"/>
                <w:szCs w:val="22"/>
              </w:rPr>
            </w:pPr>
            <w:r w:rsidRPr="00AD5F47">
              <w:rPr>
                <w:color w:val="000000"/>
                <w:sz w:val="22"/>
                <w:szCs w:val="22"/>
              </w:rPr>
              <w:t>Netherlands</w:t>
            </w:r>
          </w:p>
        </w:tc>
        <w:tc>
          <w:tcPr>
            <w:tcW w:w="1200" w:type="dxa"/>
            <w:tcBorders>
              <w:top w:val="nil"/>
              <w:left w:val="nil"/>
              <w:bottom w:val="nil"/>
              <w:right w:val="nil"/>
            </w:tcBorders>
            <w:shd w:val="clear" w:color="auto" w:fill="auto"/>
            <w:noWrap/>
            <w:vAlign w:val="center"/>
            <w:hideMark/>
          </w:tcPr>
          <w:p w14:paraId="251B67A2" w14:textId="77777777" w:rsidR="0095697F" w:rsidRPr="00AD5F47" w:rsidRDefault="0095697F" w:rsidP="00A47A7E">
            <w:pPr>
              <w:jc w:val="center"/>
              <w:rPr>
                <w:color w:val="000000"/>
                <w:sz w:val="22"/>
                <w:szCs w:val="22"/>
              </w:rPr>
            </w:pPr>
            <w:r w:rsidRPr="00AD5F47">
              <w:rPr>
                <w:color w:val="000000"/>
                <w:sz w:val="22"/>
                <w:szCs w:val="22"/>
              </w:rPr>
              <w:t>24.85</w:t>
            </w:r>
          </w:p>
        </w:tc>
        <w:tc>
          <w:tcPr>
            <w:tcW w:w="1120" w:type="dxa"/>
            <w:tcBorders>
              <w:top w:val="nil"/>
              <w:left w:val="nil"/>
              <w:bottom w:val="nil"/>
              <w:right w:val="nil"/>
            </w:tcBorders>
            <w:shd w:val="clear" w:color="auto" w:fill="auto"/>
            <w:noWrap/>
            <w:vAlign w:val="center"/>
            <w:hideMark/>
          </w:tcPr>
          <w:p w14:paraId="27638998" w14:textId="77777777" w:rsidR="0095697F" w:rsidRPr="00AD5F47" w:rsidRDefault="0095697F" w:rsidP="00A47A7E">
            <w:pPr>
              <w:jc w:val="center"/>
              <w:rPr>
                <w:color w:val="000000"/>
                <w:sz w:val="22"/>
                <w:szCs w:val="22"/>
              </w:rPr>
            </w:pPr>
            <w:r w:rsidRPr="00AD5F47">
              <w:rPr>
                <w:color w:val="000000"/>
                <w:sz w:val="22"/>
                <w:szCs w:val="22"/>
              </w:rPr>
              <w:t>75.9</w:t>
            </w:r>
          </w:p>
        </w:tc>
        <w:tc>
          <w:tcPr>
            <w:tcW w:w="980" w:type="dxa"/>
            <w:tcBorders>
              <w:top w:val="nil"/>
              <w:left w:val="nil"/>
              <w:bottom w:val="nil"/>
              <w:right w:val="nil"/>
            </w:tcBorders>
            <w:shd w:val="clear" w:color="auto" w:fill="auto"/>
            <w:noWrap/>
            <w:vAlign w:val="center"/>
            <w:hideMark/>
          </w:tcPr>
          <w:p w14:paraId="30A25A98" w14:textId="77777777" w:rsidR="0095697F" w:rsidRPr="00AD5F47" w:rsidRDefault="0095697F" w:rsidP="00A47A7E">
            <w:pPr>
              <w:jc w:val="center"/>
              <w:rPr>
                <w:color w:val="000000"/>
                <w:sz w:val="22"/>
                <w:szCs w:val="22"/>
              </w:rPr>
            </w:pPr>
            <w:r w:rsidRPr="00AD5F47">
              <w:rPr>
                <w:color w:val="000000"/>
                <w:sz w:val="22"/>
                <w:szCs w:val="22"/>
              </w:rPr>
              <w:t>36.94</w:t>
            </w:r>
          </w:p>
        </w:tc>
        <w:tc>
          <w:tcPr>
            <w:tcW w:w="920" w:type="dxa"/>
            <w:tcBorders>
              <w:top w:val="nil"/>
              <w:left w:val="nil"/>
              <w:bottom w:val="nil"/>
              <w:right w:val="nil"/>
            </w:tcBorders>
            <w:shd w:val="clear" w:color="auto" w:fill="auto"/>
            <w:noWrap/>
            <w:vAlign w:val="center"/>
            <w:hideMark/>
          </w:tcPr>
          <w:p w14:paraId="5F7A52E8" w14:textId="77777777" w:rsidR="0095697F" w:rsidRPr="00AD5F47" w:rsidRDefault="0095697F" w:rsidP="00A47A7E">
            <w:pPr>
              <w:jc w:val="center"/>
              <w:rPr>
                <w:color w:val="000000"/>
                <w:sz w:val="22"/>
                <w:szCs w:val="22"/>
              </w:rPr>
            </w:pPr>
            <w:r w:rsidRPr="00AD5F47">
              <w:rPr>
                <w:color w:val="000000"/>
                <w:sz w:val="22"/>
                <w:szCs w:val="22"/>
              </w:rPr>
              <w:t>47.05</w:t>
            </w:r>
          </w:p>
        </w:tc>
        <w:tc>
          <w:tcPr>
            <w:tcW w:w="1060" w:type="dxa"/>
            <w:tcBorders>
              <w:top w:val="nil"/>
              <w:left w:val="nil"/>
              <w:bottom w:val="nil"/>
              <w:right w:val="nil"/>
            </w:tcBorders>
            <w:shd w:val="clear" w:color="auto" w:fill="auto"/>
            <w:noWrap/>
            <w:vAlign w:val="center"/>
            <w:hideMark/>
          </w:tcPr>
          <w:p w14:paraId="72CB7860" w14:textId="77777777" w:rsidR="0095697F" w:rsidRPr="00AD5F47" w:rsidRDefault="0095697F" w:rsidP="00A47A7E">
            <w:pPr>
              <w:jc w:val="center"/>
              <w:rPr>
                <w:color w:val="000000"/>
                <w:sz w:val="22"/>
                <w:szCs w:val="22"/>
              </w:rPr>
            </w:pPr>
            <w:r w:rsidRPr="00AD5F47">
              <w:rPr>
                <w:color w:val="000000"/>
                <w:sz w:val="22"/>
                <w:szCs w:val="22"/>
              </w:rPr>
              <w:t>131.57</w:t>
            </w:r>
          </w:p>
        </w:tc>
        <w:tc>
          <w:tcPr>
            <w:tcW w:w="1060" w:type="dxa"/>
            <w:tcBorders>
              <w:top w:val="nil"/>
              <w:left w:val="nil"/>
              <w:bottom w:val="nil"/>
              <w:right w:val="nil"/>
            </w:tcBorders>
            <w:shd w:val="clear" w:color="auto" w:fill="auto"/>
            <w:noWrap/>
            <w:vAlign w:val="center"/>
            <w:hideMark/>
          </w:tcPr>
          <w:p w14:paraId="02D602E0" w14:textId="77777777" w:rsidR="0095697F" w:rsidRPr="00AD5F47" w:rsidRDefault="0095697F" w:rsidP="00A47A7E">
            <w:pPr>
              <w:jc w:val="center"/>
              <w:rPr>
                <w:color w:val="000000"/>
                <w:sz w:val="22"/>
                <w:szCs w:val="22"/>
              </w:rPr>
            </w:pPr>
            <w:r w:rsidRPr="00AD5F47">
              <w:rPr>
                <w:color w:val="000000"/>
                <w:sz w:val="22"/>
                <w:szCs w:val="22"/>
              </w:rPr>
              <w:t>50.93</w:t>
            </w:r>
          </w:p>
        </w:tc>
        <w:tc>
          <w:tcPr>
            <w:tcW w:w="1160" w:type="dxa"/>
            <w:tcBorders>
              <w:top w:val="nil"/>
              <w:left w:val="nil"/>
              <w:bottom w:val="nil"/>
              <w:right w:val="nil"/>
            </w:tcBorders>
            <w:shd w:val="clear" w:color="auto" w:fill="auto"/>
            <w:noWrap/>
            <w:vAlign w:val="center"/>
            <w:hideMark/>
          </w:tcPr>
          <w:p w14:paraId="6738F28F" w14:textId="77777777" w:rsidR="0095697F" w:rsidRPr="00AD5F47" w:rsidRDefault="0095697F" w:rsidP="00A47A7E">
            <w:pPr>
              <w:jc w:val="center"/>
              <w:rPr>
                <w:color w:val="000000"/>
                <w:sz w:val="22"/>
                <w:szCs w:val="22"/>
              </w:rPr>
            </w:pPr>
            <w:r w:rsidRPr="00AD5F47">
              <w:rPr>
                <w:color w:val="000000"/>
                <w:sz w:val="22"/>
                <w:szCs w:val="22"/>
              </w:rPr>
              <w:t>34.40</w:t>
            </w:r>
          </w:p>
        </w:tc>
      </w:tr>
      <w:tr w:rsidR="0095697F" w:rsidRPr="00AD5F47" w14:paraId="0EE50EFF" w14:textId="77777777" w:rsidTr="00A47A7E">
        <w:trPr>
          <w:trHeight w:val="320"/>
        </w:trPr>
        <w:tc>
          <w:tcPr>
            <w:tcW w:w="1704" w:type="dxa"/>
            <w:tcBorders>
              <w:top w:val="nil"/>
              <w:left w:val="nil"/>
              <w:bottom w:val="nil"/>
              <w:right w:val="nil"/>
            </w:tcBorders>
            <w:shd w:val="clear" w:color="auto" w:fill="auto"/>
            <w:noWrap/>
            <w:vAlign w:val="bottom"/>
            <w:hideMark/>
          </w:tcPr>
          <w:p w14:paraId="3745D8F9" w14:textId="77777777" w:rsidR="0095697F" w:rsidRPr="00AD5F47" w:rsidRDefault="0095697F" w:rsidP="00A47A7E">
            <w:pPr>
              <w:rPr>
                <w:color w:val="000000"/>
                <w:sz w:val="22"/>
                <w:szCs w:val="22"/>
              </w:rPr>
            </w:pPr>
            <w:r w:rsidRPr="00AD5F47">
              <w:rPr>
                <w:color w:val="000000"/>
                <w:sz w:val="22"/>
                <w:szCs w:val="22"/>
              </w:rPr>
              <w:t>Poland</w:t>
            </w:r>
          </w:p>
        </w:tc>
        <w:tc>
          <w:tcPr>
            <w:tcW w:w="1200" w:type="dxa"/>
            <w:tcBorders>
              <w:top w:val="nil"/>
              <w:left w:val="nil"/>
              <w:bottom w:val="nil"/>
              <w:right w:val="nil"/>
            </w:tcBorders>
            <w:shd w:val="clear" w:color="auto" w:fill="auto"/>
            <w:noWrap/>
            <w:vAlign w:val="center"/>
            <w:hideMark/>
          </w:tcPr>
          <w:p w14:paraId="0DA19CE8" w14:textId="77777777" w:rsidR="0095697F" w:rsidRPr="00AD5F47" w:rsidRDefault="0095697F" w:rsidP="00A47A7E">
            <w:pPr>
              <w:jc w:val="center"/>
              <w:rPr>
                <w:color w:val="000000"/>
                <w:sz w:val="22"/>
                <w:szCs w:val="22"/>
              </w:rPr>
            </w:pPr>
            <w:r w:rsidRPr="00AD5F47">
              <w:rPr>
                <w:color w:val="000000"/>
                <w:sz w:val="22"/>
                <w:szCs w:val="22"/>
              </w:rPr>
              <w:t>3.96</w:t>
            </w:r>
          </w:p>
        </w:tc>
        <w:tc>
          <w:tcPr>
            <w:tcW w:w="1120" w:type="dxa"/>
            <w:tcBorders>
              <w:top w:val="nil"/>
              <w:left w:val="nil"/>
              <w:bottom w:val="nil"/>
              <w:right w:val="nil"/>
            </w:tcBorders>
            <w:shd w:val="clear" w:color="auto" w:fill="auto"/>
            <w:noWrap/>
            <w:vAlign w:val="center"/>
            <w:hideMark/>
          </w:tcPr>
          <w:p w14:paraId="0C0D1899" w14:textId="77777777" w:rsidR="0095697F" w:rsidRPr="00AD5F47" w:rsidRDefault="0095697F" w:rsidP="00A47A7E">
            <w:pPr>
              <w:jc w:val="center"/>
              <w:rPr>
                <w:color w:val="000000"/>
                <w:sz w:val="22"/>
                <w:szCs w:val="22"/>
              </w:rPr>
            </w:pPr>
            <w:r w:rsidRPr="00AD5F47">
              <w:rPr>
                <w:color w:val="000000"/>
                <w:sz w:val="22"/>
                <w:szCs w:val="22"/>
              </w:rPr>
              <w:t>16.3</w:t>
            </w:r>
          </w:p>
        </w:tc>
        <w:tc>
          <w:tcPr>
            <w:tcW w:w="980" w:type="dxa"/>
            <w:tcBorders>
              <w:top w:val="nil"/>
              <w:left w:val="nil"/>
              <w:bottom w:val="nil"/>
              <w:right w:val="nil"/>
            </w:tcBorders>
            <w:shd w:val="clear" w:color="auto" w:fill="auto"/>
            <w:noWrap/>
            <w:vAlign w:val="center"/>
            <w:hideMark/>
          </w:tcPr>
          <w:p w14:paraId="6D754E6A" w14:textId="77777777" w:rsidR="0095697F" w:rsidRPr="00AD5F47" w:rsidRDefault="0095697F" w:rsidP="00A47A7E">
            <w:pPr>
              <w:jc w:val="center"/>
              <w:rPr>
                <w:color w:val="000000"/>
                <w:sz w:val="22"/>
                <w:szCs w:val="22"/>
              </w:rPr>
            </w:pPr>
            <w:r w:rsidRPr="00AD5F47">
              <w:rPr>
                <w:color w:val="000000"/>
                <w:sz w:val="22"/>
                <w:szCs w:val="22"/>
              </w:rPr>
              <w:t>3.92</w:t>
            </w:r>
          </w:p>
        </w:tc>
        <w:tc>
          <w:tcPr>
            <w:tcW w:w="920" w:type="dxa"/>
            <w:tcBorders>
              <w:top w:val="nil"/>
              <w:left w:val="nil"/>
              <w:bottom w:val="nil"/>
              <w:right w:val="nil"/>
            </w:tcBorders>
            <w:shd w:val="clear" w:color="auto" w:fill="auto"/>
            <w:noWrap/>
            <w:vAlign w:val="center"/>
            <w:hideMark/>
          </w:tcPr>
          <w:p w14:paraId="484E387C" w14:textId="77777777" w:rsidR="0095697F" w:rsidRPr="00AD5F47" w:rsidRDefault="0095697F" w:rsidP="00A47A7E">
            <w:pPr>
              <w:jc w:val="center"/>
              <w:rPr>
                <w:color w:val="000000"/>
                <w:sz w:val="22"/>
                <w:szCs w:val="22"/>
              </w:rPr>
            </w:pPr>
            <w:r w:rsidRPr="00AD5F47">
              <w:rPr>
                <w:color w:val="000000"/>
                <w:sz w:val="22"/>
                <w:szCs w:val="22"/>
              </w:rPr>
              <w:t>5.32</w:t>
            </w:r>
          </w:p>
        </w:tc>
        <w:tc>
          <w:tcPr>
            <w:tcW w:w="1060" w:type="dxa"/>
            <w:tcBorders>
              <w:top w:val="nil"/>
              <w:left w:val="nil"/>
              <w:bottom w:val="nil"/>
              <w:right w:val="nil"/>
            </w:tcBorders>
            <w:shd w:val="clear" w:color="auto" w:fill="auto"/>
            <w:noWrap/>
            <w:vAlign w:val="center"/>
            <w:hideMark/>
          </w:tcPr>
          <w:p w14:paraId="7BD9D02C" w14:textId="77777777" w:rsidR="0095697F" w:rsidRPr="00AD5F47" w:rsidRDefault="0095697F" w:rsidP="00A47A7E">
            <w:pPr>
              <w:jc w:val="center"/>
              <w:rPr>
                <w:color w:val="000000"/>
                <w:sz w:val="22"/>
                <w:szCs w:val="22"/>
              </w:rPr>
            </w:pPr>
            <w:r w:rsidRPr="00AD5F47">
              <w:rPr>
                <w:color w:val="000000"/>
                <w:sz w:val="22"/>
                <w:szCs w:val="22"/>
              </w:rPr>
              <w:t>18.40</w:t>
            </w:r>
          </w:p>
        </w:tc>
        <w:tc>
          <w:tcPr>
            <w:tcW w:w="1060" w:type="dxa"/>
            <w:tcBorders>
              <w:top w:val="nil"/>
              <w:left w:val="nil"/>
              <w:bottom w:val="nil"/>
              <w:right w:val="nil"/>
            </w:tcBorders>
            <w:shd w:val="clear" w:color="auto" w:fill="auto"/>
            <w:noWrap/>
            <w:vAlign w:val="center"/>
            <w:hideMark/>
          </w:tcPr>
          <w:p w14:paraId="6E143419" w14:textId="77777777" w:rsidR="0095697F" w:rsidRPr="00AD5F47" w:rsidRDefault="0095697F" w:rsidP="00A47A7E">
            <w:pPr>
              <w:jc w:val="center"/>
              <w:rPr>
                <w:color w:val="000000"/>
                <w:sz w:val="22"/>
                <w:szCs w:val="22"/>
              </w:rPr>
            </w:pPr>
            <w:r w:rsidRPr="00AD5F47">
              <w:rPr>
                <w:color w:val="000000"/>
                <w:sz w:val="22"/>
                <w:szCs w:val="22"/>
              </w:rPr>
              <w:t>12.60</w:t>
            </w:r>
          </w:p>
        </w:tc>
        <w:tc>
          <w:tcPr>
            <w:tcW w:w="1160" w:type="dxa"/>
            <w:tcBorders>
              <w:top w:val="nil"/>
              <w:left w:val="nil"/>
              <w:bottom w:val="nil"/>
              <w:right w:val="nil"/>
            </w:tcBorders>
            <w:shd w:val="clear" w:color="auto" w:fill="auto"/>
            <w:noWrap/>
            <w:vAlign w:val="center"/>
            <w:hideMark/>
          </w:tcPr>
          <w:p w14:paraId="181F96B3" w14:textId="77777777" w:rsidR="0095697F" w:rsidRPr="00AD5F47" w:rsidRDefault="0095697F" w:rsidP="00A47A7E">
            <w:pPr>
              <w:jc w:val="center"/>
              <w:rPr>
                <w:color w:val="000000"/>
                <w:sz w:val="22"/>
                <w:szCs w:val="22"/>
              </w:rPr>
            </w:pPr>
            <w:r w:rsidRPr="00AD5F47">
              <w:rPr>
                <w:color w:val="000000"/>
                <w:sz w:val="22"/>
                <w:szCs w:val="22"/>
              </w:rPr>
              <w:t>9.81</w:t>
            </w:r>
          </w:p>
        </w:tc>
      </w:tr>
      <w:tr w:rsidR="0095697F" w:rsidRPr="00AD5F47" w14:paraId="5CB592A0" w14:textId="77777777" w:rsidTr="00A47A7E">
        <w:trPr>
          <w:trHeight w:val="320"/>
        </w:trPr>
        <w:tc>
          <w:tcPr>
            <w:tcW w:w="1704" w:type="dxa"/>
            <w:tcBorders>
              <w:top w:val="nil"/>
              <w:left w:val="nil"/>
              <w:bottom w:val="nil"/>
              <w:right w:val="nil"/>
            </w:tcBorders>
            <w:shd w:val="clear" w:color="auto" w:fill="auto"/>
            <w:noWrap/>
            <w:vAlign w:val="bottom"/>
            <w:hideMark/>
          </w:tcPr>
          <w:p w14:paraId="047D086F" w14:textId="77777777" w:rsidR="0095697F" w:rsidRPr="00AD5F47" w:rsidRDefault="0095697F" w:rsidP="00A47A7E">
            <w:pPr>
              <w:rPr>
                <w:color w:val="000000"/>
                <w:sz w:val="22"/>
                <w:szCs w:val="22"/>
              </w:rPr>
            </w:pPr>
            <w:r w:rsidRPr="00AD5F47">
              <w:rPr>
                <w:color w:val="000000"/>
                <w:sz w:val="22"/>
                <w:szCs w:val="22"/>
              </w:rPr>
              <w:t>Romania</w:t>
            </w:r>
          </w:p>
        </w:tc>
        <w:tc>
          <w:tcPr>
            <w:tcW w:w="1200" w:type="dxa"/>
            <w:tcBorders>
              <w:top w:val="nil"/>
              <w:left w:val="nil"/>
              <w:bottom w:val="nil"/>
              <w:right w:val="nil"/>
            </w:tcBorders>
            <w:shd w:val="clear" w:color="auto" w:fill="auto"/>
            <w:noWrap/>
            <w:vAlign w:val="center"/>
            <w:hideMark/>
          </w:tcPr>
          <w:p w14:paraId="4BB93BDA" w14:textId="77777777" w:rsidR="0095697F" w:rsidRPr="00AD5F47" w:rsidRDefault="0095697F" w:rsidP="00A47A7E">
            <w:pPr>
              <w:jc w:val="center"/>
              <w:rPr>
                <w:color w:val="000000"/>
                <w:sz w:val="22"/>
                <w:szCs w:val="22"/>
              </w:rPr>
            </w:pPr>
            <w:r w:rsidRPr="00AD5F47">
              <w:rPr>
                <w:color w:val="000000"/>
                <w:sz w:val="22"/>
                <w:szCs w:val="22"/>
              </w:rPr>
              <w:t>3.71</w:t>
            </w:r>
          </w:p>
        </w:tc>
        <w:tc>
          <w:tcPr>
            <w:tcW w:w="1120" w:type="dxa"/>
            <w:tcBorders>
              <w:top w:val="nil"/>
              <w:left w:val="nil"/>
              <w:bottom w:val="nil"/>
              <w:right w:val="nil"/>
            </w:tcBorders>
            <w:shd w:val="clear" w:color="auto" w:fill="auto"/>
            <w:noWrap/>
            <w:vAlign w:val="center"/>
            <w:hideMark/>
          </w:tcPr>
          <w:p w14:paraId="1C39F682" w14:textId="77777777" w:rsidR="0095697F" w:rsidRPr="00AD5F47" w:rsidRDefault="0095697F" w:rsidP="00A47A7E">
            <w:pPr>
              <w:jc w:val="center"/>
              <w:rPr>
                <w:color w:val="000000"/>
                <w:sz w:val="22"/>
                <w:szCs w:val="22"/>
              </w:rPr>
            </w:pPr>
            <w:r w:rsidRPr="00AD5F47">
              <w:rPr>
                <w:color w:val="000000"/>
                <w:sz w:val="22"/>
                <w:szCs w:val="22"/>
              </w:rPr>
              <w:t>9.5</w:t>
            </w:r>
          </w:p>
        </w:tc>
        <w:tc>
          <w:tcPr>
            <w:tcW w:w="980" w:type="dxa"/>
            <w:tcBorders>
              <w:top w:val="nil"/>
              <w:left w:val="nil"/>
              <w:bottom w:val="nil"/>
              <w:right w:val="nil"/>
            </w:tcBorders>
            <w:shd w:val="clear" w:color="auto" w:fill="auto"/>
            <w:noWrap/>
            <w:vAlign w:val="center"/>
            <w:hideMark/>
          </w:tcPr>
          <w:p w14:paraId="76B2AAAC" w14:textId="77777777" w:rsidR="0095697F" w:rsidRPr="00AD5F47" w:rsidRDefault="0095697F" w:rsidP="00A47A7E">
            <w:pPr>
              <w:jc w:val="center"/>
              <w:rPr>
                <w:color w:val="000000"/>
                <w:sz w:val="22"/>
                <w:szCs w:val="22"/>
              </w:rPr>
            </w:pPr>
            <w:r w:rsidRPr="00AD5F47">
              <w:rPr>
                <w:color w:val="000000"/>
                <w:sz w:val="22"/>
                <w:szCs w:val="22"/>
              </w:rPr>
              <w:t>4.96</w:t>
            </w:r>
          </w:p>
        </w:tc>
        <w:tc>
          <w:tcPr>
            <w:tcW w:w="920" w:type="dxa"/>
            <w:tcBorders>
              <w:top w:val="nil"/>
              <w:left w:val="nil"/>
              <w:bottom w:val="nil"/>
              <w:right w:val="nil"/>
            </w:tcBorders>
            <w:shd w:val="clear" w:color="auto" w:fill="auto"/>
            <w:noWrap/>
            <w:vAlign w:val="center"/>
            <w:hideMark/>
          </w:tcPr>
          <w:p w14:paraId="3F4A7355" w14:textId="77777777" w:rsidR="0095697F" w:rsidRPr="00AD5F47" w:rsidRDefault="0095697F" w:rsidP="00A47A7E">
            <w:pPr>
              <w:jc w:val="center"/>
              <w:rPr>
                <w:color w:val="000000"/>
                <w:sz w:val="22"/>
                <w:szCs w:val="22"/>
              </w:rPr>
            </w:pPr>
            <w:r w:rsidRPr="00AD5F47">
              <w:rPr>
                <w:color w:val="000000"/>
                <w:sz w:val="22"/>
                <w:szCs w:val="22"/>
              </w:rPr>
              <w:t>4.57</w:t>
            </w:r>
          </w:p>
        </w:tc>
        <w:tc>
          <w:tcPr>
            <w:tcW w:w="1060" w:type="dxa"/>
            <w:tcBorders>
              <w:top w:val="nil"/>
              <w:left w:val="nil"/>
              <w:bottom w:val="nil"/>
              <w:right w:val="nil"/>
            </w:tcBorders>
            <w:shd w:val="clear" w:color="auto" w:fill="auto"/>
            <w:noWrap/>
            <w:vAlign w:val="center"/>
            <w:hideMark/>
          </w:tcPr>
          <w:p w14:paraId="26375E9E" w14:textId="77777777" w:rsidR="0095697F" w:rsidRPr="00AD5F47" w:rsidRDefault="0095697F" w:rsidP="00A47A7E">
            <w:pPr>
              <w:jc w:val="center"/>
              <w:rPr>
                <w:color w:val="000000"/>
                <w:sz w:val="22"/>
                <w:szCs w:val="22"/>
              </w:rPr>
            </w:pPr>
            <w:r w:rsidRPr="00AD5F47">
              <w:rPr>
                <w:color w:val="000000"/>
                <w:sz w:val="22"/>
                <w:szCs w:val="22"/>
              </w:rPr>
              <w:t>11.10</w:t>
            </w:r>
          </w:p>
        </w:tc>
        <w:tc>
          <w:tcPr>
            <w:tcW w:w="1060" w:type="dxa"/>
            <w:tcBorders>
              <w:top w:val="nil"/>
              <w:left w:val="nil"/>
              <w:bottom w:val="nil"/>
              <w:right w:val="nil"/>
            </w:tcBorders>
            <w:shd w:val="clear" w:color="auto" w:fill="auto"/>
            <w:noWrap/>
            <w:vAlign w:val="center"/>
            <w:hideMark/>
          </w:tcPr>
          <w:p w14:paraId="3535ABF7" w14:textId="77777777" w:rsidR="0095697F" w:rsidRPr="00AD5F47" w:rsidRDefault="0095697F" w:rsidP="00A47A7E">
            <w:pPr>
              <w:jc w:val="center"/>
              <w:rPr>
                <w:color w:val="000000"/>
                <w:sz w:val="22"/>
                <w:szCs w:val="22"/>
              </w:rPr>
            </w:pPr>
            <w:r w:rsidRPr="00AD5F47">
              <w:rPr>
                <w:color w:val="000000"/>
                <w:sz w:val="22"/>
                <w:szCs w:val="22"/>
              </w:rPr>
              <w:t>5.22</w:t>
            </w:r>
          </w:p>
        </w:tc>
        <w:tc>
          <w:tcPr>
            <w:tcW w:w="1160" w:type="dxa"/>
            <w:tcBorders>
              <w:top w:val="nil"/>
              <w:left w:val="nil"/>
              <w:bottom w:val="nil"/>
              <w:right w:val="nil"/>
            </w:tcBorders>
            <w:shd w:val="clear" w:color="auto" w:fill="auto"/>
            <w:noWrap/>
            <w:vAlign w:val="center"/>
            <w:hideMark/>
          </w:tcPr>
          <w:p w14:paraId="6712F107" w14:textId="77777777" w:rsidR="0095697F" w:rsidRPr="00AD5F47" w:rsidRDefault="0095697F" w:rsidP="00A47A7E">
            <w:pPr>
              <w:jc w:val="center"/>
              <w:rPr>
                <w:color w:val="000000"/>
                <w:sz w:val="22"/>
                <w:szCs w:val="22"/>
              </w:rPr>
            </w:pPr>
            <w:r w:rsidRPr="00AD5F47">
              <w:rPr>
                <w:color w:val="000000"/>
                <w:sz w:val="22"/>
                <w:szCs w:val="22"/>
              </w:rPr>
              <w:t>4.81</w:t>
            </w:r>
          </w:p>
        </w:tc>
      </w:tr>
      <w:tr w:rsidR="0095697F" w:rsidRPr="00AD5F47" w14:paraId="6C443DF9" w14:textId="77777777" w:rsidTr="00A47A7E">
        <w:trPr>
          <w:trHeight w:val="320"/>
        </w:trPr>
        <w:tc>
          <w:tcPr>
            <w:tcW w:w="1704" w:type="dxa"/>
            <w:tcBorders>
              <w:top w:val="nil"/>
              <w:left w:val="nil"/>
              <w:bottom w:val="nil"/>
              <w:right w:val="nil"/>
            </w:tcBorders>
            <w:shd w:val="clear" w:color="auto" w:fill="auto"/>
            <w:noWrap/>
            <w:vAlign w:val="bottom"/>
            <w:hideMark/>
          </w:tcPr>
          <w:p w14:paraId="3CC6F258" w14:textId="77777777" w:rsidR="0095697F" w:rsidRPr="00AD5F47" w:rsidRDefault="0095697F" w:rsidP="00A47A7E">
            <w:pPr>
              <w:rPr>
                <w:color w:val="000000"/>
                <w:sz w:val="22"/>
                <w:szCs w:val="22"/>
              </w:rPr>
            </w:pPr>
            <w:r w:rsidRPr="00AD5F47">
              <w:rPr>
                <w:color w:val="000000"/>
                <w:sz w:val="22"/>
                <w:szCs w:val="22"/>
              </w:rPr>
              <w:t>Spain</w:t>
            </w:r>
          </w:p>
        </w:tc>
        <w:tc>
          <w:tcPr>
            <w:tcW w:w="1200" w:type="dxa"/>
            <w:tcBorders>
              <w:top w:val="nil"/>
              <w:left w:val="nil"/>
              <w:bottom w:val="nil"/>
              <w:right w:val="nil"/>
            </w:tcBorders>
            <w:shd w:val="clear" w:color="auto" w:fill="auto"/>
            <w:noWrap/>
            <w:vAlign w:val="center"/>
            <w:hideMark/>
          </w:tcPr>
          <w:p w14:paraId="374BFB3A" w14:textId="77777777" w:rsidR="0095697F" w:rsidRPr="00AD5F47" w:rsidRDefault="0095697F" w:rsidP="00A47A7E">
            <w:pPr>
              <w:jc w:val="center"/>
              <w:rPr>
                <w:color w:val="000000"/>
                <w:sz w:val="22"/>
                <w:szCs w:val="22"/>
              </w:rPr>
            </w:pPr>
            <w:r w:rsidRPr="00AD5F47">
              <w:rPr>
                <w:color w:val="000000"/>
                <w:sz w:val="22"/>
                <w:szCs w:val="22"/>
              </w:rPr>
              <w:t>23.14</w:t>
            </w:r>
          </w:p>
        </w:tc>
        <w:tc>
          <w:tcPr>
            <w:tcW w:w="1120" w:type="dxa"/>
            <w:tcBorders>
              <w:top w:val="nil"/>
              <w:left w:val="nil"/>
              <w:bottom w:val="nil"/>
              <w:right w:val="nil"/>
            </w:tcBorders>
            <w:shd w:val="clear" w:color="auto" w:fill="auto"/>
            <w:noWrap/>
            <w:vAlign w:val="center"/>
            <w:hideMark/>
          </w:tcPr>
          <w:p w14:paraId="78F1B111" w14:textId="77777777" w:rsidR="0095697F" w:rsidRPr="00AD5F47" w:rsidRDefault="0095697F" w:rsidP="00A47A7E">
            <w:pPr>
              <w:jc w:val="center"/>
              <w:rPr>
                <w:color w:val="000000"/>
                <w:sz w:val="22"/>
                <w:szCs w:val="22"/>
              </w:rPr>
            </w:pPr>
            <w:r w:rsidRPr="00AD5F47">
              <w:rPr>
                <w:color w:val="000000"/>
                <w:sz w:val="22"/>
                <w:szCs w:val="22"/>
              </w:rPr>
              <w:t>39.7</w:t>
            </w:r>
          </w:p>
        </w:tc>
        <w:tc>
          <w:tcPr>
            <w:tcW w:w="980" w:type="dxa"/>
            <w:tcBorders>
              <w:top w:val="nil"/>
              <w:left w:val="nil"/>
              <w:bottom w:val="nil"/>
              <w:right w:val="nil"/>
            </w:tcBorders>
            <w:shd w:val="clear" w:color="auto" w:fill="auto"/>
            <w:noWrap/>
            <w:vAlign w:val="center"/>
            <w:hideMark/>
          </w:tcPr>
          <w:p w14:paraId="6B22C093" w14:textId="77777777" w:rsidR="0095697F" w:rsidRPr="00AD5F47" w:rsidRDefault="0095697F" w:rsidP="00A47A7E">
            <w:pPr>
              <w:jc w:val="center"/>
              <w:rPr>
                <w:color w:val="000000"/>
                <w:sz w:val="22"/>
                <w:szCs w:val="22"/>
              </w:rPr>
            </w:pPr>
            <w:r w:rsidRPr="00AD5F47">
              <w:rPr>
                <w:color w:val="000000"/>
                <w:sz w:val="22"/>
                <w:szCs w:val="22"/>
              </w:rPr>
              <w:t>39.74</w:t>
            </w:r>
          </w:p>
        </w:tc>
        <w:tc>
          <w:tcPr>
            <w:tcW w:w="920" w:type="dxa"/>
            <w:tcBorders>
              <w:top w:val="nil"/>
              <w:left w:val="nil"/>
              <w:bottom w:val="nil"/>
              <w:right w:val="nil"/>
            </w:tcBorders>
            <w:shd w:val="clear" w:color="auto" w:fill="auto"/>
            <w:noWrap/>
            <w:vAlign w:val="center"/>
            <w:hideMark/>
          </w:tcPr>
          <w:p w14:paraId="2F42BAB8" w14:textId="77777777" w:rsidR="0095697F" w:rsidRPr="00AD5F47" w:rsidRDefault="0095697F" w:rsidP="00A47A7E">
            <w:pPr>
              <w:jc w:val="center"/>
              <w:rPr>
                <w:color w:val="000000"/>
                <w:sz w:val="22"/>
                <w:szCs w:val="22"/>
              </w:rPr>
            </w:pPr>
            <w:r w:rsidRPr="00AD5F47">
              <w:rPr>
                <w:color w:val="000000"/>
                <w:sz w:val="22"/>
                <w:szCs w:val="22"/>
              </w:rPr>
              <w:t>24.98</w:t>
            </w:r>
          </w:p>
        </w:tc>
        <w:tc>
          <w:tcPr>
            <w:tcW w:w="1060" w:type="dxa"/>
            <w:tcBorders>
              <w:top w:val="nil"/>
              <w:left w:val="nil"/>
              <w:bottom w:val="nil"/>
              <w:right w:val="nil"/>
            </w:tcBorders>
            <w:shd w:val="clear" w:color="auto" w:fill="auto"/>
            <w:noWrap/>
            <w:vAlign w:val="center"/>
            <w:hideMark/>
          </w:tcPr>
          <w:p w14:paraId="2E01ED4D" w14:textId="77777777" w:rsidR="0095697F" w:rsidRPr="00AD5F47" w:rsidRDefault="0095697F" w:rsidP="00A47A7E">
            <w:pPr>
              <w:jc w:val="center"/>
              <w:rPr>
                <w:color w:val="000000"/>
                <w:sz w:val="22"/>
                <w:szCs w:val="22"/>
              </w:rPr>
            </w:pPr>
            <w:r w:rsidRPr="00AD5F47">
              <w:rPr>
                <w:color w:val="000000"/>
                <w:sz w:val="22"/>
                <w:szCs w:val="22"/>
              </w:rPr>
              <w:t>112.82</w:t>
            </w:r>
          </w:p>
        </w:tc>
        <w:tc>
          <w:tcPr>
            <w:tcW w:w="1060" w:type="dxa"/>
            <w:tcBorders>
              <w:top w:val="nil"/>
              <w:left w:val="nil"/>
              <w:bottom w:val="nil"/>
              <w:right w:val="nil"/>
            </w:tcBorders>
            <w:shd w:val="clear" w:color="auto" w:fill="auto"/>
            <w:noWrap/>
            <w:vAlign w:val="center"/>
            <w:hideMark/>
          </w:tcPr>
          <w:p w14:paraId="1AF96F41" w14:textId="77777777" w:rsidR="0095697F" w:rsidRPr="00AD5F47" w:rsidRDefault="0095697F" w:rsidP="00A47A7E">
            <w:pPr>
              <w:jc w:val="center"/>
              <w:rPr>
                <w:color w:val="000000"/>
                <w:sz w:val="22"/>
                <w:szCs w:val="22"/>
              </w:rPr>
            </w:pPr>
            <w:r w:rsidRPr="00AD5F47">
              <w:rPr>
                <w:color w:val="000000"/>
                <w:sz w:val="22"/>
                <w:szCs w:val="22"/>
              </w:rPr>
              <w:t>50.54</w:t>
            </w:r>
          </w:p>
        </w:tc>
        <w:tc>
          <w:tcPr>
            <w:tcW w:w="1160" w:type="dxa"/>
            <w:tcBorders>
              <w:top w:val="nil"/>
              <w:left w:val="nil"/>
              <w:bottom w:val="nil"/>
              <w:right w:val="nil"/>
            </w:tcBorders>
            <w:shd w:val="clear" w:color="auto" w:fill="auto"/>
            <w:noWrap/>
            <w:vAlign w:val="center"/>
            <w:hideMark/>
          </w:tcPr>
          <w:p w14:paraId="6E2DC0A4" w14:textId="77777777" w:rsidR="0095697F" w:rsidRPr="00AD5F47" w:rsidRDefault="0095697F" w:rsidP="00A47A7E">
            <w:pPr>
              <w:jc w:val="center"/>
              <w:rPr>
                <w:color w:val="000000"/>
                <w:sz w:val="22"/>
                <w:szCs w:val="22"/>
              </w:rPr>
            </w:pPr>
            <w:r w:rsidRPr="00AD5F47">
              <w:rPr>
                <w:color w:val="000000"/>
                <w:sz w:val="22"/>
                <w:szCs w:val="22"/>
              </w:rPr>
              <w:t>38.44</w:t>
            </w:r>
          </w:p>
        </w:tc>
      </w:tr>
      <w:tr w:rsidR="0095697F" w:rsidRPr="00AD5F47" w14:paraId="17C8786E" w14:textId="77777777" w:rsidTr="00A47A7E">
        <w:trPr>
          <w:trHeight w:val="320"/>
        </w:trPr>
        <w:tc>
          <w:tcPr>
            <w:tcW w:w="1704" w:type="dxa"/>
            <w:tcBorders>
              <w:top w:val="nil"/>
              <w:left w:val="nil"/>
              <w:bottom w:val="nil"/>
              <w:right w:val="nil"/>
            </w:tcBorders>
            <w:shd w:val="clear" w:color="auto" w:fill="auto"/>
            <w:noWrap/>
            <w:vAlign w:val="bottom"/>
            <w:hideMark/>
          </w:tcPr>
          <w:p w14:paraId="110A76F7" w14:textId="77777777" w:rsidR="0095697F" w:rsidRPr="00AD5F47" w:rsidRDefault="0095697F" w:rsidP="00A47A7E">
            <w:pPr>
              <w:rPr>
                <w:color w:val="000000"/>
                <w:sz w:val="22"/>
                <w:szCs w:val="22"/>
              </w:rPr>
            </w:pPr>
            <w:r w:rsidRPr="00AD5F47">
              <w:rPr>
                <w:color w:val="000000"/>
                <w:sz w:val="22"/>
                <w:szCs w:val="22"/>
              </w:rPr>
              <w:t>United Kingdom</w:t>
            </w:r>
          </w:p>
        </w:tc>
        <w:tc>
          <w:tcPr>
            <w:tcW w:w="1200" w:type="dxa"/>
            <w:tcBorders>
              <w:top w:val="nil"/>
              <w:left w:val="nil"/>
              <w:bottom w:val="nil"/>
              <w:right w:val="nil"/>
            </w:tcBorders>
            <w:shd w:val="clear" w:color="auto" w:fill="auto"/>
            <w:noWrap/>
            <w:vAlign w:val="center"/>
            <w:hideMark/>
          </w:tcPr>
          <w:p w14:paraId="59829ECC" w14:textId="77777777" w:rsidR="0095697F" w:rsidRPr="00AD5F47" w:rsidRDefault="0095697F" w:rsidP="00A47A7E">
            <w:pPr>
              <w:jc w:val="center"/>
              <w:rPr>
                <w:color w:val="000000"/>
                <w:sz w:val="22"/>
                <w:szCs w:val="22"/>
              </w:rPr>
            </w:pPr>
            <w:r w:rsidRPr="00AD5F47">
              <w:rPr>
                <w:color w:val="000000"/>
                <w:sz w:val="22"/>
                <w:szCs w:val="22"/>
              </w:rPr>
              <w:t>32.79</w:t>
            </w:r>
          </w:p>
        </w:tc>
        <w:tc>
          <w:tcPr>
            <w:tcW w:w="1120" w:type="dxa"/>
            <w:tcBorders>
              <w:top w:val="nil"/>
              <w:left w:val="nil"/>
              <w:bottom w:val="nil"/>
              <w:right w:val="nil"/>
            </w:tcBorders>
            <w:shd w:val="clear" w:color="auto" w:fill="auto"/>
            <w:noWrap/>
            <w:vAlign w:val="center"/>
            <w:hideMark/>
          </w:tcPr>
          <w:p w14:paraId="0312D360" w14:textId="77777777" w:rsidR="0095697F" w:rsidRPr="00AD5F47" w:rsidRDefault="0095697F" w:rsidP="00A47A7E">
            <w:pPr>
              <w:jc w:val="center"/>
              <w:rPr>
                <w:color w:val="000000"/>
                <w:sz w:val="22"/>
                <w:szCs w:val="22"/>
              </w:rPr>
            </w:pPr>
            <w:r w:rsidRPr="00AD5F47">
              <w:rPr>
                <w:color w:val="000000"/>
                <w:sz w:val="22"/>
                <w:szCs w:val="22"/>
              </w:rPr>
              <w:t>64.4</w:t>
            </w:r>
          </w:p>
        </w:tc>
        <w:tc>
          <w:tcPr>
            <w:tcW w:w="980" w:type="dxa"/>
            <w:tcBorders>
              <w:top w:val="nil"/>
              <w:left w:val="nil"/>
              <w:bottom w:val="nil"/>
              <w:right w:val="nil"/>
            </w:tcBorders>
            <w:shd w:val="clear" w:color="auto" w:fill="auto"/>
            <w:noWrap/>
            <w:vAlign w:val="center"/>
            <w:hideMark/>
          </w:tcPr>
          <w:p w14:paraId="0443C67F" w14:textId="77777777" w:rsidR="0095697F" w:rsidRPr="00AD5F47" w:rsidRDefault="0095697F" w:rsidP="00A47A7E">
            <w:pPr>
              <w:jc w:val="center"/>
              <w:rPr>
                <w:color w:val="000000"/>
                <w:sz w:val="22"/>
                <w:szCs w:val="22"/>
              </w:rPr>
            </w:pPr>
            <w:r w:rsidRPr="00AD5F47">
              <w:rPr>
                <w:color w:val="000000"/>
                <w:sz w:val="22"/>
                <w:szCs w:val="22"/>
              </w:rPr>
              <w:t>38.05</w:t>
            </w:r>
          </w:p>
        </w:tc>
        <w:tc>
          <w:tcPr>
            <w:tcW w:w="920" w:type="dxa"/>
            <w:tcBorders>
              <w:top w:val="nil"/>
              <w:left w:val="nil"/>
              <w:bottom w:val="nil"/>
              <w:right w:val="nil"/>
            </w:tcBorders>
            <w:shd w:val="clear" w:color="auto" w:fill="auto"/>
            <w:noWrap/>
            <w:vAlign w:val="center"/>
            <w:hideMark/>
          </w:tcPr>
          <w:p w14:paraId="3722A798" w14:textId="77777777" w:rsidR="0095697F" w:rsidRPr="00AD5F47" w:rsidRDefault="0095697F" w:rsidP="00A47A7E">
            <w:pPr>
              <w:jc w:val="center"/>
              <w:rPr>
                <w:color w:val="000000"/>
                <w:sz w:val="22"/>
                <w:szCs w:val="22"/>
              </w:rPr>
            </w:pPr>
            <w:r w:rsidRPr="00AD5F47">
              <w:rPr>
                <w:color w:val="000000"/>
                <w:sz w:val="22"/>
                <w:szCs w:val="22"/>
              </w:rPr>
              <w:t>19.79</w:t>
            </w:r>
          </w:p>
        </w:tc>
        <w:tc>
          <w:tcPr>
            <w:tcW w:w="1060" w:type="dxa"/>
            <w:tcBorders>
              <w:top w:val="nil"/>
              <w:left w:val="nil"/>
              <w:bottom w:val="nil"/>
              <w:right w:val="nil"/>
            </w:tcBorders>
            <w:shd w:val="clear" w:color="auto" w:fill="auto"/>
            <w:noWrap/>
            <w:vAlign w:val="center"/>
            <w:hideMark/>
          </w:tcPr>
          <w:p w14:paraId="47843831" w14:textId="77777777" w:rsidR="0095697F" w:rsidRPr="00AD5F47" w:rsidRDefault="0095697F" w:rsidP="00A47A7E">
            <w:pPr>
              <w:jc w:val="center"/>
              <w:rPr>
                <w:color w:val="000000"/>
                <w:sz w:val="22"/>
                <w:szCs w:val="22"/>
              </w:rPr>
            </w:pPr>
            <w:r w:rsidRPr="00AD5F47">
              <w:rPr>
                <w:color w:val="000000"/>
                <w:sz w:val="22"/>
                <w:szCs w:val="22"/>
              </w:rPr>
              <w:t>113.52</w:t>
            </w:r>
          </w:p>
        </w:tc>
        <w:tc>
          <w:tcPr>
            <w:tcW w:w="1060" w:type="dxa"/>
            <w:tcBorders>
              <w:top w:val="nil"/>
              <w:left w:val="nil"/>
              <w:bottom w:val="nil"/>
              <w:right w:val="nil"/>
            </w:tcBorders>
            <w:shd w:val="clear" w:color="auto" w:fill="auto"/>
            <w:noWrap/>
            <w:vAlign w:val="center"/>
            <w:hideMark/>
          </w:tcPr>
          <w:p w14:paraId="366C9362" w14:textId="77777777" w:rsidR="0095697F" w:rsidRPr="00AD5F47" w:rsidRDefault="0095697F" w:rsidP="00A47A7E">
            <w:pPr>
              <w:jc w:val="center"/>
              <w:rPr>
                <w:color w:val="000000"/>
                <w:sz w:val="22"/>
                <w:szCs w:val="22"/>
              </w:rPr>
            </w:pPr>
            <w:r w:rsidRPr="00AD5F47">
              <w:rPr>
                <w:color w:val="000000"/>
                <w:sz w:val="22"/>
                <w:szCs w:val="22"/>
              </w:rPr>
              <w:t>56.54</w:t>
            </w:r>
          </w:p>
        </w:tc>
        <w:tc>
          <w:tcPr>
            <w:tcW w:w="1160" w:type="dxa"/>
            <w:tcBorders>
              <w:top w:val="nil"/>
              <w:left w:val="nil"/>
              <w:bottom w:val="nil"/>
              <w:right w:val="nil"/>
            </w:tcBorders>
            <w:shd w:val="clear" w:color="auto" w:fill="auto"/>
            <w:noWrap/>
            <w:vAlign w:val="center"/>
            <w:hideMark/>
          </w:tcPr>
          <w:p w14:paraId="7E5ED96F" w14:textId="77777777" w:rsidR="0095697F" w:rsidRPr="00AD5F47" w:rsidRDefault="0095697F" w:rsidP="00A47A7E">
            <w:pPr>
              <w:jc w:val="center"/>
              <w:rPr>
                <w:color w:val="000000"/>
                <w:sz w:val="22"/>
                <w:szCs w:val="22"/>
              </w:rPr>
            </w:pPr>
            <w:r w:rsidRPr="00AD5F47">
              <w:rPr>
                <w:color w:val="000000"/>
                <w:sz w:val="22"/>
                <w:szCs w:val="22"/>
              </w:rPr>
              <w:t>47.10</w:t>
            </w:r>
          </w:p>
        </w:tc>
      </w:tr>
      <w:tr w:rsidR="0095697F" w:rsidRPr="00AD5F47" w14:paraId="459AD798" w14:textId="77777777" w:rsidTr="00A47A7E">
        <w:trPr>
          <w:trHeight w:val="320"/>
        </w:trPr>
        <w:tc>
          <w:tcPr>
            <w:tcW w:w="1704" w:type="dxa"/>
            <w:tcBorders>
              <w:top w:val="nil"/>
              <w:left w:val="nil"/>
              <w:bottom w:val="single" w:sz="4" w:space="0" w:color="auto"/>
              <w:right w:val="nil"/>
            </w:tcBorders>
            <w:shd w:val="clear" w:color="auto" w:fill="auto"/>
            <w:noWrap/>
            <w:vAlign w:val="bottom"/>
            <w:hideMark/>
          </w:tcPr>
          <w:p w14:paraId="00C0C63E" w14:textId="77777777" w:rsidR="0095697F" w:rsidRPr="00AD5F47" w:rsidRDefault="0095697F" w:rsidP="00A47A7E">
            <w:pPr>
              <w:rPr>
                <w:color w:val="000000"/>
                <w:sz w:val="22"/>
                <w:szCs w:val="22"/>
              </w:rPr>
            </w:pPr>
            <w:r w:rsidRPr="00AD5F47">
              <w:rPr>
                <w:color w:val="000000"/>
                <w:sz w:val="22"/>
                <w:szCs w:val="22"/>
              </w:rPr>
              <w:t>United States</w:t>
            </w:r>
          </w:p>
        </w:tc>
        <w:tc>
          <w:tcPr>
            <w:tcW w:w="1200" w:type="dxa"/>
            <w:tcBorders>
              <w:top w:val="nil"/>
              <w:left w:val="nil"/>
              <w:bottom w:val="single" w:sz="4" w:space="0" w:color="auto"/>
              <w:right w:val="nil"/>
            </w:tcBorders>
            <w:shd w:val="clear" w:color="auto" w:fill="auto"/>
            <w:noWrap/>
            <w:vAlign w:val="center"/>
            <w:hideMark/>
          </w:tcPr>
          <w:p w14:paraId="7E81E76D" w14:textId="77777777" w:rsidR="0095697F" w:rsidRPr="00AD5F47" w:rsidRDefault="0095697F" w:rsidP="00A47A7E">
            <w:pPr>
              <w:jc w:val="center"/>
              <w:rPr>
                <w:color w:val="000000"/>
                <w:sz w:val="22"/>
                <w:szCs w:val="22"/>
              </w:rPr>
            </w:pPr>
            <w:r w:rsidRPr="00AD5F47">
              <w:rPr>
                <w:color w:val="000000"/>
                <w:sz w:val="22"/>
                <w:szCs w:val="22"/>
              </w:rPr>
              <w:t>112.7</w:t>
            </w:r>
          </w:p>
        </w:tc>
        <w:tc>
          <w:tcPr>
            <w:tcW w:w="1120" w:type="dxa"/>
            <w:tcBorders>
              <w:top w:val="nil"/>
              <w:left w:val="nil"/>
              <w:bottom w:val="single" w:sz="4" w:space="0" w:color="auto"/>
              <w:right w:val="nil"/>
            </w:tcBorders>
            <w:shd w:val="clear" w:color="auto" w:fill="auto"/>
            <w:noWrap/>
            <w:vAlign w:val="center"/>
            <w:hideMark/>
          </w:tcPr>
          <w:p w14:paraId="58983590" w14:textId="77777777" w:rsidR="0095697F" w:rsidRPr="00AD5F47" w:rsidRDefault="0095697F" w:rsidP="00A47A7E">
            <w:pPr>
              <w:jc w:val="center"/>
              <w:rPr>
                <w:color w:val="000000"/>
                <w:sz w:val="22"/>
                <w:szCs w:val="22"/>
              </w:rPr>
            </w:pPr>
            <w:r w:rsidRPr="00AD5F47">
              <w:rPr>
                <w:color w:val="000000"/>
                <w:sz w:val="22"/>
                <w:szCs w:val="22"/>
              </w:rPr>
              <w:t>138.7</w:t>
            </w:r>
          </w:p>
        </w:tc>
        <w:tc>
          <w:tcPr>
            <w:tcW w:w="980" w:type="dxa"/>
            <w:tcBorders>
              <w:top w:val="nil"/>
              <w:left w:val="nil"/>
              <w:bottom w:val="single" w:sz="4" w:space="0" w:color="auto"/>
              <w:right w:val="nil"/>
            </w:tcBorders>
            <w:shd w:val="clear" w:color="auto" w:fill="auto"/>
            <w:noWrap/>
            <w:vAlign w:val="center"/>
            <w:hideMark/>
          </w:tcPr>
          <w:p w14:paraId="624BA928" w14:textId="77777777" w:rsidR="0095697F" w:rsidRPr="00AD5F47" w:rsidRDefault="0095697F" w:rsidP="00A47A7E">
            <w:pPr>
              <w:jc w:val="center"/>
              <w:rPr>
                <w:color w:val="000000"/>
                <w:sz w:val="22"/>
                <w:szCs w:val="22"/>
              </w:rPr>
            </w:pPr>
            <w:r w:rsidRPr="00AD5F47">
              <w:rPr>
                <w:color w:val="000000"/>
                <w:sz w:val="22"/>
                <w:szCs w:val="22"/>
              </w:rPr>
              <w:t>144.9</w:t>
            </w:r>
          </w:p>
        </w:tc>
        <w:tc>
          <w:tcPr>
            <w:tcW w:w="920" w:type="dxa"/>
            <w:tcBorders>
              <w:top w:val="nil"/>
              <w:left w:val="nil"/>
              <w:bottom w:val="single" w:sz="4" w:space="0" w:color="auto"/>
              <w:right w:val="nil"/>
            </w:tcBorders>
            <w:shd w:val="clear" w:color="auto" w:fill="auto"/>
            <w:noWrap/>
            <w:vAlign w:val="center"/>
            <w:hideMark/>
          </w:tcPr>
          <w:p w14:paraId="0BA54730" w14:textId="77777777" w:rsidR="0095697F" w:rsidRPr="00AD5F47" w:rsidRDefault="0095697F" w:rsidP="00A47A7E">
            <w:pPr>
              <w:jc w:val="center"/>
              <w:rPr>
                <w:color w:val="000000"/>
                <w:sz w:val="22"/>
                <w:szCs w:val="22"/>
              </w:rPr>
            </w:pPr>
            <w:r w:rsidRPr="00AD5F47">
              <w:rPr>
                <w:color w:val="000000"/>
                <w:sz w:val="22"/>
                <w:szCs w:val="22"/>
              </w:rPr>
              <w:t>160.26</w:t>
            </w:r>
          </w:p>
        </w:tc>
        <w:tc>
          <w:tcPr>
            <w:tcW w:w="1060" w:type="dxa"/>
            <w:tcBorders>
              <w:top w:val="nil"/>
              <w:left w:val="nil"/>
              <w:bottom w:val="single" w:sz="4" w:space="0" w:color="auto"/>
              <w:right w:val="nil"/>
            </w:tcBorders>
            <w:shd w:val="clear" w:color="auto" w:fill="auto"/>
            <w:noWrap/>
            <w:vAlign w:val="center"/>
            <w:hideMark/>
          </w:tcPr>
          <w:p w14:paraId="5EA8C63E" w14:textId="77777777" w:rsidR="0095697F" w:rsidRPr="00AD5F47" w:rsidRDefault="0095697F" w:rsidP="00A47A7E">
            <w:pPr>
              <w:jc w:val="center"/>
              <w:rPr>
                <w:color w:val="000000"/>
                <w:sz w:val="22"/>
                <w:szCs w:val="22"/>
              </w:rPr>
            </w:pPr>
            <w:r w:rsidRPr="00AD5F47">
              <w:rPr>
                <w:color w:val="000000"/>
                <w:sz w:val="22"/>
                <w:szCs w:val="22"/>
              </w:rPr>
              <w:t>808.96</w:t>
            </w:r>
          </w:p>
        </w:tc>
        <w:tc>
          <w:tcPr>
            <w:tcW w:w="1060" w:type="dxa"/>
            <w:tcBorders>
              <w:top w:val="nil"/>
              <w:left w:val="nil"/>
              <w:bottom w:val="single" w:sz="4" w:space="0" w:color="auto"/>
              <w:right w:val="nil"/>
            </w:tcBorders>
            <w:shd w:val="clear" w:color="auto" w:fill="auto"/>
            <w:noWrap/>
            <w:vAlign w:val="center"/>
            <w:hideMark/>
          </w:tcPr>
          <w:p w14:paraId="0BCA0F25" w14:textId="77777777" w:rsidR="0095697F" w:rsidRPr="00AD5F47" w:rsidRDefault="0095697F" w:rsidP="00A47A7E">
            <w:pPr>
              <w:jc w:val="center"/>
              <w:rPr>
                <w:color w:val="000000"/>
                <w:sz w:val="22"/>
                <w:szCs w:val="22"/>
              </w:rPr>
            </w:pPr>
            <w:r w:rsidRPr="00AD5F47">
              <w:rPr>
                <w:color w:val="000000"/>
                <w:sz w:val="22"/>
                <w:szCs w:val="22"/>
              </w:rPr>
              <w:t>255.82</w:t>
            </w:r>
          </w:p>
        </w:tc>
        <w:tc>
          <w:tcPr>
            <w:tcW w:w="1160" w:type="dxa"/>
            <w:tcBorders>
              <w:top w:val="nil"/>
              <w:left w:val="nil"/>
              <w:bottom w:val="single" w:sz="4" w:space="0" w:color="auto"/>
              <w:right w:val="nil"/>
            </w:tcBorders>
            <w:shd w:val="clear" w:color="auto" w:fill="auto"/>
            <w:noWrap/>
            <w:vAlign w:val="center"/>
            <w:hideMark/>
          </w:tcPr>
          <w:p w14:paraId="61B3B104" w14:textId="77777777" w:rsidR="0095697F" w:rsidRPr="00AD5F47" w:rsidRDefault="0095697F" w:rsidP="00A47A7E">
            <w:pPr>
              <w:jc w:val="center"/>
              <w:rPr>
                <w:color w:val="000000"/>
                <w:sz w:val="22"/>
                <w:szCs w:val="22"/>
              </w:rPr>
            </w:pPr>
            <w:r w:rsidRPr="00AD5F47">
              <w:rPr>
                <w:color w:val="000000"/>
                <w:sz w:val="22"/>
                <w:szCs w:val="22"/>
              </w:rPr>
              <w:t>230.23</w:t>
            </w:r>
          </w:p>
        </w:tc>
      </w:tr>
      <w:tr w:rsidR="0095697F" w:rsidRPr="00AD5F47" w14:paraId="4EA5795A" w14:textId="77777777" w:rsidTr="00A47A7E">
        <w:trPr>
          <w:trHeight w:val="320"/>
        </w:trPr>
        <w:tc>
          <w:tcPr>
            <w:tcW w:w="1704" w:type="dxa"/>
            <w:tcBorders>
              <w:top w:val="nil"/>
              <w:left w:val="nil"/>
              <w:bottom w:val="nil"/>
              <w:right w:val="nil"/>
            </w:tcBorders>
            <w:shd w:val="clear" w:color="auto" w:fill="auto"/>
            <w:noWrap/>
            <w:vAlign w:val="center"/>
            <w:hideMark/>
          </w:tcPr>
          <w:p w14:paraId="604DC6B2" w14:textId="77777777" w:rsidR="0095697F" w:rsidRPr="00AD5F47" w:rsidRDefault="0095697F" w:rsidP="00A47A7E">
            <w:pPr>
              <w:rPr>
                <w:color w:val="000000"/>
                <w:sz w:val="22"/>
                <w:szCs w:val="22"/>
              </w:rPr>
            </w:pPr>
            <w:r w:rsidRPr="00AD5F47">
              <w:rPr>
                <w:color w:val="000000"/>
                <w:sz w:val="22"/>
                <w:szCs w:val="22"/>
              </w:rPr>
              <w:t>Total</w:t>
            </w:r>
          </w:p>
        </w:tc>
        <w:tc>
          <w:tcPr>
            <w:tcW w:w="1200" w:type="dxa"/>
            <w:tcBorders>
              <w:top w:val="nil"/>
              <w:left w:val="nil"/>
              <w:bottom w:val="nil"/>
              <w:right w:val="nil"/>
            </w:tcBorders>
            <w:shd w:val="clear" w:color="auto" w:fill="auto"/>
            <w:noWrap/>
            <w:vAlign w:val="center"/>
            <w:hideMark/>
          </w:tcPr>
          <w:p w14:paraId="22CC8AC2" w14:textId="77777777" w:rsidR="0095697F" w:rsidRPr="00AD5F47" w:rsidRDefault="0095697F" w:rsidP="00A47A7E">
            <w:pPr>
              <w:jc w:val="center"/>
              <w:rPr>
                <w:color w:val="000000"/>
                <w:sz w:val="22"/>
                <w:szCs w:val="22"/>
              </w:rPr>
            </w:pPr>
            <w:r w:rsidRPr="00AD5F47">
              <w:rPr>
                <w:color w:val="000000"/>
                <w:sz w:val="22"/>
                <w:szCs w:val="22"/>
              </w:rPr>
              <w:t>624.94</w:t>
            </w:r>
          </w:p>
        </w:tc>
        <w:tc>
          <w:tcPr>
            <w:tcW w:w="1120" w:type="dxa"/>
            <w:tcBorders>
              <w:top w:val="nil"/>
              <w:left w:val="nil"/>
              <w:bottom w:val="nil"/>
              <w:right w:val="nil"/>
            </w:tcBorders>
            <w:shd w:val="clear" w:color="auto" w:fill="auto"/>
            <w:noWrap/>
            <w:vAlign w:val="center"/>
            <w:hideMark/>
          </w:tcPr>
          <w:p w14:paraId="1BF40421" w14:textId="77777777" w:rsidR="0095697F" w:rsidRPr="00AD5F47" w:rsidRDefault="0095697F" w:rsidP="00A47A7E">
            <w:pPr>
              <w:jc w:val="center"/>
              <w:rPr>
                <w:color w:val="000000"/>
                <w:sz w:val="22"/>
                <w:szCs w:val="22"/>
              </w:rPr>
            </w:pPr>
            <w:r w:rsidRPr="00AD5F47">
              <w:rPr>
                <w:color w:val="000000"/>
                <w:sz w:val="22"/>
                <w:szCs w:val="22"/>
              </w:rPr>
              <w:t>822.8</w:t>
            </w:r>
          </w:p>
        </w:tc>
        <w:tc>
          <w:tcPr>
            <w:tcW w:w="980" w:type="dxa"/>
            <w:tcBorders>
              <w:top w:val="nil"/>
              <w:left w:val="nil"/>
              <w:bottom w:val="nil"/>
              <w:right w:val="nil"/>
            </w:tcBorders>
            <w:shd w:val="clear" w:color="auto" w:fill="auto"/>
            <w:noWrap/>
            <w:vAlign w:val="center"/>
            <w:hideMark/>
          </w:tcPr>
          <w:p w14:paraId="7B4F1CAF" w14:textId="77777777" w:rsidR="0095697F" w:rsidRPr="00AD5F47" w:rsidRDefault="0095697F" w:rsidP="00A47A7E">
            <w:pPr>
              <w:jc w:val="center"/>
              <w:rPr>
                <w:color w:val="000000"/>
                <w:sz w:val="22"/>
                <w:szCs w:val="22"/>
              </w:rPr>
            </w:pPr>
            <w:r w:rsidRPr="00AD5F47">
              <w:rPr>
                <w:color w:val="000000"/>
                <w:sz w:val="22"/>
                <w:szCs w:val="22"/>
              </w:rPr>
              <w:t>947.38</w:t>
            </w:r>
          </w:p>
        </w:tc>
        <w:tc>
          <w:tcPr>
            <w:tcW w:w="920" w:type="dxa"/>
            <w:tcBorders>
              <w:top w:val="nil"/>
              <w:left w:val="nil"/>
              <w:bottom w:val="nil"/>
              <w:right w:val="nil"/>
            </w:tcBorders>
            <w:shd w:val="clear" w:color="auto" w:fill="auto"/>
            <w:noWrap/>
            <w:vAlign w:val="center"/>
            <w:hideMark/>
          </w:tcPr>
          <w:p w14:paraId="250C5658" w14:textId="77777777" w:rsidR="0095697F" w:rsidRPr="00AD5F47" w:rsidRDefault="0095697F" w:rsidP="00A47A7E">
            <w:pPr>
              <w:jc w:val="center"/>
              <w:rPr>
                <w:color w:val="000000"/>
                <w:sz w:val="22"/>
                <w:szCs w:val="22"/>
              </w:rPr>
            </w:pPr>
            <w:r w:rsidRPr="00AD5F47">
              <w:rPr>
                <w:color w:val="000000"/>
                <w:sz w:val="22"/>
                <w:szCs w:val="22"/>
              </w:rPr>
              <w:t>1089.57</w:t>
            </w:r>
          </w:p>
        </w:tc>
        <w:tc>
          <w:tcPr>
            <w:tcW w:w="1060" w:type="dxa"/>
            <w:tcBorders>
              <w:top w:val="nil"/>
              <w:left w:val="nil"/>
              <w:bottom w:val="nil"/>
              <w:right w:val="nil"/>
            </w:tcBorders>
            <w:shd w:val="clear" w:color="auto" w:fill="auto"/>
            <w:noWrap/>
            <w:vAlign w:val="center"/>
            <w:hideMark/>
          </w:tcPr>
          <w:p w14:paraId="65592FAE" w14:textId="77777777" w:rsidR="0095697F" w:rsidRPr="00AD5F47" w:rsidRDefault="0095697F" w:rsidP="00A47A7E">
            <w:pPr>
              <w:jc w:val="center"/>
              <w:rPr>
                <w:color w:val="000000"/>
                <w:sz w:val="22"/>
                <w:szCs w:val="22"/>
              </w:rPr>
            </w:pPr>
            <w:r w:rsidRPr="00AD5F47">
              <w:rPr>
                <w:color w:val="000000"/>
                <w:sz w:val="22"/>
                <w:szCs w:val="22"/>
              </w:rPr>
              <w:t>2993.83</w:t>
            </w:r>
          </w:p>
        </w:tc>
        <w:tc>
          <w:tcPr>
            <w:tcW w:w="1060" w:type="dxa"/>
            <w:tcBorders>
              <w:top w:val="nil"/>
              <w:left w:val="nil"/>
              <w:bottom w:val="nil"/>
              <w:right w:val="nil"/>
            </w:tcBorders>
            <w:shd w:val="clear" w:color="auto" w:fill="auto"/>
            <w:noWrap/>
            <w:vAlign w:val="center"/>
            <w:hideMark/>
          </w:tcPr>
          <w:p w14:paraId="29870B84" w14:textId="77777777" w:rsidR="0095697F" w:rsidRPr="00AD5F47" w:rsidRDefault="0095697F" w:rsidP="00A47A7E">
            <w:pPr>
              <w:jc w:val="center"/>
              <w:rPr>
                <w:color w:val="000000"/>
                <w:sz w:val="22"/>
                <w:szCs w:val="22"/>
              </w:rPr>
            </w:pPr>
            <w:r w:rsidRPr="00AD5F47">
              <w:rPr>
                <w:color w:val="000000"/>
                <w:sz w:val="22"/>
                <w:szCs w:val="22"/>
              </w:rPr>
              <w:t>1568.86</w:t>
            </w:r>
          </w:p>
        </w:tc>
        <w:tc>
          <w:tcPr>
            <w:tcW w:w="1160" w:type="dxa"/>
            <w:tcBorders>
              <w:top w:val="nil"/>
              <w:left w:val="nil"/>
              <w:bottom w:val="nil"/>
              <w:right w:val="nil"/>
            </w:tcBorders>
            <w:shd w:val="clear" w:color="auto" w:fill="auto"/>
            <w:noWrap/>
            <w:vAlign w:val="center"/>
            <w:hideMark/>
          </w:tcPr>
          <w:p w14:paraId="3CD1909C" w14:textId="77777777" w:rsidR="0095697F" w:rsidRPr="00AD5F47" w:rsidRDefault="0095697F" w:rsidP="00A47A7E">
            <w:pPr>
              <w:jc w:val="center"/>
              <w:rPr>
                <w:color w:val="000000"/>
                <w:sz w:val="22"/>
                <w:szCs w:val="22"/>
              </w:rPr>
            </w:pPr>
            <w:r w:rsidRPr="00AD5F47">
              <w:rPr>
                <w:color w:val="000000"/>
                <w:sz w:val="22"/>
                <w:szCs w:val="22"/>
              </w:rPr>
              <w:t>1308.93</w:t>
            </w:r>
          </w:p>
        </w:tc>
      </w:tr>
    </w:tbl>
    <w:p w14:paraId="3D2D52E1" w14:textId="77777777" w:rsidR="0095697F" w:rsidRPr="008E49D3" w:rsidRDefault="0095697F" w:rsidP="0095697F">
      <w:pPr>
        <w:pStyle w:val="SMHeading"/>
        <w:rPr>
          <w:b w:val="0"/>
        </w:rPr>
      </w:pPr>
    </w:p>
    <w:p w14:paraId="0ED14BC5" w14:textId="77777777" w:rsidR="0095697F" w:rsidRPr="008E49D3" w:rsidRDefault="0095697F" w:rsidP="0095697F">
      <w:pPr>
        <w:rPr>
          <w:bCs/>
          <w:kern w:val="32"/>
        </w:rPr>
      </w:pPr>
      <w:r w:rsidRPr="008E49D3">
        <w:rPr>
          <w:b/>
        </w:rPr>
        <w:br w:type="page"/>
      </w:r>
    </w:p>
    <w:p w14:paraId="5C347125" w14:textId="722BC45D" w:rsidR="0095697F" w:rsidRPr="008E49D3" w:rsidRDefault="00487BF3" w:rsidP="0095697F">
      <w:pPr>
        <w:pStyle w:val="SMHeading"/>
        <w:rPr>
          <w:b w:val="0"/>
        </w:rPr>
      </w:pPr>
      <w:r>
        <w:lastRenderedPageBreak/>
        <w:t xml:space="preserve">Supplementary Table </w:t>
      </w:r>
      <w:r w:rsidR="0095697F" w:rsidRPr="008E49D3">
        <w:t xml:space="preserve">4. </w:t>
      </w:r>
      <w:r w:rsidR="0095697F" w:rsidRPr="008E49D3">
        <w:rPr>
          <w:b w:val="0"/>
        </w:rPr>
        <w:t xml:space="preserve">Result of the variance-based sensitivity analysis for global aggregated economic and trade risk. The values indicate to what extent a parameter contribute to the variance of the results. The top-10 most important parameters are highlighted in bold. </w:t>
      </w:r>
    </w:p>
    <w:tbl>
      <w:tblPr>
        <w:tblW w:w="9214" w:type="dxa"/>
        <w:tblLook w:val="04A0" w:firstRow="1" w:lastRow="0" w:firstColumn="1" w:lastColumn="0" w:noHBand="0" w:noVBand="1"/>
      </w:tblPr>
      <w:tblGrid>
        <w:gridCol w:w="2100"/>
        <w:gridCol w:w="3712"/>
        <w:gridCol w:w="1788"/>
        <w:gridCol w:w="1614"/>
      </w:tblGrid>
      <w:tr w:rsidR="0095697F" w:rsidRPr="00487BF3" w14:paraId="4C73D5EC" w14:textId="77777777" w:rsidTr="00487BF3">
        <w:trPr>
          <w:trHeight w:val="227"/>
        </w:trPr>
        <w:tc>
          <w:tcPr>
            <w:tcW w:w="2100" w:type="dxa"/>
            <w:tcBorders>
              <w:top w:val="nil"/>
              <w:left w:val="nil"/>
              <w:bottom w:val="single" w:sz="4" w:space="0" w:color="auto"/>
              <w:right w:val="nil"/>
            </w:tcBorders>
            <w:shd w:val="clear" w:color="auto" w:fill="auto"/>
            <w:noWrap/>
            <w:vAlign w:val="bottom"/>
            <w:hideMark/>
          </w:tcPr>
          <w:p w14:paraId="62E58AB5" w14:textId="77777777" w:rsidR="0095697F" w:rsidRPr="00487BF3" w:rsidRDefault="0095697F" w:rsidP="00A47A7E">
            <w:pPr>
              <w:rPr>
                <w:b/>
                <w:bCs/>
                <w:color w:val="000000"/>
                <w:sz w:val="21"/>
                <w:szCs w:val="21"/>
              </w:rPr>
            </w:pPr>
            <w:r w:rsidRPr="00487BF3">
              <w:rPr>
                <w:b/>
                <w:bCs/>
                <w:color w:val="000000"/>
                <w:sz w:val="21"/>
                <w:szCs w:val="21"/>
              </w:rPr>
              <w:t>Category</w:t>
            </w:r>
          </w:p>
        </w:tc>
        <w:tc>
          <w:tcPr>
            <w:tcW w:w="3712" w:type="dxa"/>
            <w:tcBorders>
              <w:top w:val="nil"/>
              <w:left w:val="nil"/>
              <w:bottom w:val="single" w:sz="4" w:space="0" w:color="auto"/>
              <w:right w:val="nil"/>
            </w:tcBorders>
            <w:shd w:val="clear" w:color="auto" w:fill="auto"/>
            <w:noWrap/>
            <w:vAlign w:val="bottom"/>
            <w:hideMark/>
          </w:tcPr>
          <w:p w14:paraId="1B071BAC" w14:textId="77777777" w:rsidR="0095697F" w:rsidRPr="00487BF3" w:rsidRDefault="0095697F" w:rsidP="00A47A7E">
            <w:pPr>
              <w:rPr>
                <w:b/>
                <w:bCs/>
                <w:color w:val="000000"/>
                <w:sz w:val="21"/>
                <w:szCs w:val="21"/>
              </w:rPr>
            </w:pPr>
            <w:r w:rsidRPr="00487BF3">
              <w:rPr>
                <w:b/>
                <w:bCs/>
                <w:color w:val="000000"/>
                <w:sz w:val="21"/>
                <w:szCs w:val="21"/>
              </w:rPr>
              <w:t>Variable</w:t>
            </w:r>
          </w:p>
        </w:tc>
        <w:tc>
          <w:tcPr>
            <w:tcW w:w="1788" w:type="dxa"/>
            <w:tcBorders>
              <w:top w:val="nil"/>
              <w:left w:val="nil"/>
              <w:bottom w:val="single" w:sz="4" w:space="0" w:color="auto"/>
              <w:right w:val="nil"/>
            </w:tcBorders>
            <w:shd w:val="clear" w:color="auto" w:fill="auto"/>
            <w:noWrap/>
            <w:vAlign w:val="bottom"/>
            <w:hideMark/>
          </w:tcPr>
          <w:p w14:paraId="7ABD47C2" w14:textId="77777777" w:rsidR="0095697F" w:rsidRPr="00487BF3" w:rsidRDefault="0095697F" w:rsidP="00A47A7E">
            <w:pPr>
              <w:rPr>
                <w:b/>
                <w:bCs/>
                <w:color w:val="000000"/>
                <w:sz w:val="21"/>
                <w:szCs w:val="21"/>
              </w:rPr>
            </w:pPr>
            <w:r w:rsidRPr="00487BF3">
              <w:rPr>
                <w:b/>
                <w:bCs/>
                <w:color w:val="000000"/>
                <w:sz w:val="21"/>
                <w:szCs w:val="21"/>
              </w:rPr>
              <w:t>Port-specific risk</w:t>
            </w:r>
          </w:p>
        </w:tc>
        <w:tc>
          <w:tcPr>
            <w:tcW w:w="1614" w:type="dxa"/>
            <w:tcBorders>
              <w:top w:val="nil"/>
              <w:left w:val="nil"/>
              <w:bottom w:val="single" w:sz="4" w:space="0" w:color="auto"/>
              <w:right w:val="nil"/>
            </w:tcBorders>
            <w:shd w:val="clear" w:color="auto" w:fill="auto"/>
            <w:noWrap/>
            <w:vAlign w:val="bottom"/>
            <w:hideMark/>
          </w:tcPr>
          <w:p w14:paraId="4A76D91C" w14:textId="77777777" w:rsidR="0095697F" w:rsidRPr="00487BF3" w:rsidRDefault="0095697F" w:rsidP="00487BF3">
            <w:pPr>
              <w:jc w:val="right"/>
              <w:rPr>
                <w:b/>
                <w:bCs/>
                <w:color w:val="000000"/>
                <w:sz w:val="21"/>
                <w:szCs w:val="21"/>
              </w:rPr>
            </w:pPr>
            <w:r w:rsidRPr="00487BF3">
              <w:rPr>
                <w:b/>
                <w:bCs/>
                <w:color w:val="000000"/>
                <w:sz w:val="21"/>
                <w:szCs w:val="21"/>
              </w:rPr>
              <w:t>Trade risk</w:t>
            </w:r>
          </w:p>
        </w:tc>
      </w:tr>
      <w:tr w:rsidR="0095697F" w:rsidRPr="00487BF3" w14:paraId="15CCCAA2" w14:textId="77777777" w:rsidTr="00487BF3">
        <w:trPr>
          <w:trHeight w:val="227"/>
        </w:trPr>
        <w:tc>
          <w:tcPr>
            <w:tcW w:w="2100" w:type="dxa"/>
            <w:tcBorders>
              <w:top w:val="nil"/>
              <w:left w:val="nil"/>
              <w:bottom w:val="nil"/>
              <w:right w:val="nil"/>
            </w:tcBorders>
            <w:shd w:val="clear" w:color="auto" w:fill="auto"/>
            <w:noWrap/>
            <w:vAlign w:val="bottom"/>
            <w:hideMark/>
          </w:tcPr>
          <w:p w14:paraId="12E294E8" w14:textId="77777777" w:rsidR="0095697F" w:rsidRPr="00487BF3" w:rsidRDefault="0095697F" w:rsidP="00A47A7E">
            <w:pPr>
              <w:rPr>
                <w:color w:val="000000"/>
                <w:sz w:val="21"/>
                <w:szCs w:val="21"/>
              </w:rPr>
            </w:pPr>
            <w:r w:rsidRPr="00487BF3">
              <w:rPr>
                <w:color w:val="000000"/>
                <w:sz w:val="21"/>
                <w:szCs w:val="21"/>
              </w:rPr>
              <w:t>Operational</w:t>
            </w:r>
          </w:p>
        </w:tc>
        <w:tc>
          <w:tcPr>
            <w:tcW w:w="3712" w:type="dxa"/>
            <w:tcBorders>
              <w:top w:val="nil"/>
              <w:left w:val="nil"/>
              <w:bottom w:val="nil"/>
              <w:right w:val="nil"/>
            </w:tcBorders>
            <w:shd w:val="clear" w:color="auto" w:fill="auto"/>
            <w:noWrap/>
            <w:vAlign w:val="bottom"/>
            <w:hideMark/>
          </w:tcPr>
          <w:p w14:paraId="1977376A" w14:textId="77777777" w:rsidR="0095697F" w:rsidRPr="00487BF3" w:rsidRDefault="0095697F" w:rsidP="00A47A7E">
            <w:pPr>
              <w:rPr>
                <w:b/>
                <w:bCs/>
                <w:color w:val="000000"/>
                <w:sz w:val="21"/>
                <w:szCs w:val="21"/>
              </w:rPr>
            </w:pPr>
            <w:r w:rsidRPr="00487BF3">
              <w:rPr>
                <w:b/>
                <w:bCs/>
                <w:color w:val="000000"/>
                <w:sz w:val="21"/>
                <w:szCs w:val="21"/>
              </w:rPr>
              <w:t>Wave threshold</w:t>
            </w:r>
          </w:p>
        </w:tc>
        <w:tc>
          <w:tcPr>
            <w:tcW w:w="1788" w:type="dxa"/>
            <w:tcBorders>
              <w:top w:val="nil"/>
              <w:left w:val="nil"/>
              <w:bottom w:val="nil"/>
              <w:right w:val="nil"/>
            </w:tcBorders>
            <w:shd w:val="clear" w:color="auto" w:fill="auto"/>
            <w:noWrap/>
            <w:vAlign w:val="bottom"/>
            <w:hideMark/>
          </w:tcPr>
          <w:p w14:paraId="0D959AA7" w14:textId="77777777" w:rsidR="0095697F" w:rsidRPr="00487BF3" w:rsidRDefault="0095697F" w:rsidP="00A47A7E">
            <w:pPr>
              <w:jc w:val="right"/>
              <w:rPr>
                <w:b/>
                <w:bCs/>
                <w:color w:val="000000"/>
                <w:sz w:val="21"/>
                <w:szCs w:val="21"/>
              </w:rPr>
            </w:pPr>
            <w:r w:rsidRPr="00487BF3">
              <w:rPr>
                <w:b/>
                <w:bCs/>
                <w:color w:val="000000"/>
                <w:sz w:val="21"/>
                <w:szCs w:val="21"/>
              </w:rPr>
              <w:t>0.024</w:t>
            </w:r>
          </w:p>
        </w:tc>
        <w:tc>
          <w:tcPr>
            <w:tcW w:w="1614" w:type="dxa"/>
            <w:tcBorders>
              <w:top w:val="nil"/>
              <w:left w:val="nil"/>
              <w:bottom w:val="nil"/>
              <w:right w:val="nil"/>
            </w:tcBorders>
            <w:shd w:val="clear" w:color="auto" w:fill="auto"/>
            <w:noWrap/>
            <w:vAlign w:val="bottom"/>
            <w:hideMark/>
          </w:tcPr>
          <w:p w14:paraId="3F5AB489" w14:textId="77777777" w:rsidR="0095697F" w:rsidRPr="00487BF3" w:rsidRDefault="0095697F" w:rsidP="00A47A7E">
            <w:pPr>
              <w:jc w:val="right"/>
              <w:rPr>
                <w:b/>
                <w:bCs/>
                <w:color w:val="000000"/>
                <w:sz w:val="21"/>
                <w:szCs w:val="21"/>
              </w:rPr>
            </w:pPr>
            <w:r w:rsidRPr="00487BF3">
              <w:rPr>
                <w:b/>
                <w:bCs/>
                <w:color w:val="000000"/>
                <w:sz w:val="21"/>
                <w:szCs w:val="21"/>
              </w:rPr>
              <w:t>0.115</w:t>
            </w:r>
          </w:p>
        </w:tc>
      </w:tr>
      <w:tr w:rsidR="0095697F" w:rsidRPr="00487BF3" w14:paraId="4BDBD907" w14:textId="77777777" w:rsidTr="00487BF3">
        <w:trPr>
          <w:trHeight w:val="227"/>
        </w:trPr>
        <w:tc>
          <w:tcPr>
            <w:tcW w:w="2100" w:type="dxa"/>
            <w:tcBorders>
              <w:top w:val="nil"/>
              <w:left w:val="nil"/>
              <w:bottom w:val="nil"/>
              <w:right w:val="nil"/>
            </w:tcBorders>
            <w:shd w:val="clear" w:color="auto" w:fill="auto"/>
            <w:noWrap/>
            <w:vAlign w:val="bottom"/>
            <w:hideMark/>
          </w:tcPr>
          <w:p w14:paraId="6C865AAD" w14:textId="77777777" w:rsidR="0095697F" w:rsidRPr="00487BF3" w:rsidRDefault="0095697F" w:rsidP="00A47A7E">
            <w:pPr>
              <w:jc w:val="right"/>
              <w:rPr>
                <w:b/>
                <w:bCs/>
                <w:color w:val="000000"/>
                <w:sz w:val="21"/>
                <w:szCs w:val="21"/>
              </w:rPr>
            </w:pPr>
          </w:p>
        </w:tc>
        <w:tc>
          <w:tcPr>
            <w:tcW w:w="3712" w:type="dxa"/>
            <w:tcBorders>
              <w:top w:val="nil"/>
              <w:left w:val="nil"/>
              <w:bottom w:val="nil"/>
              <w:right w:val="nil"/>
            </w:tcBorders>
            <w:shd w:val="clear" w:color="auto" w:fill="auto"/>
            <w:noWrap/>
            <w:vAlign w:val="bottom"/>
            <w:hideMark/>
          </w:tcPr>
          <w:p w14:paraId="79519708" w14:textId="77777777" w:rsidR="0095697F" w:rsidRPr="00487BF3" w:rsidRDefault="0095697F" w:rsidP="00A47A7E">
            <w:pPr>
              <w:rPr>
                <w:b/>
                <w:bCs/>
                <w:color w:val="000000"/>
                <w:sz w:val="21"/>
                <w:szCs w:val="21"/>
              </w:rPr>
            </w:pPr>
            <w:r w:rsidRPr="00487BF3">
              <w:rPr>
                <w:b/>
                <w:bCs/>
                <w:color w:val="000000"/>
                <w:sz w:val="21"/>
                <w:szCs w:val="21"/>
              </w:rPr>
              <w:t>Temperature threshold</w:t>
            </w:r>
          </w:p>
        </w:tc>
        <w:tc>
          <w:tcPr>
            <w:tcW w:w="1788" w:type="dxa"/>
            <w:tcBorders>
              <w:top w:val="nil"/>
              <w:left w:val="nil"/>
              <w:bottom w:val="nil"/>
              <w:right w:val="nil"/>
            </w:tcBorders>
            <w:shd w:val="clear" w:color="auto" w:fill="auto"/>
            <w:noWrap/>
            <w:vAlign w:val="bottom"/>
            <w:hideMark/>
          </w:tcPr>
          <w:p w14:paraId="4A1BF53B"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2D9BC4DB" w14:textId="77777777" w:rsidR="0095697F" w:rsidRPr="00487BF3" w:rsidRDefault="0095697F" w:rsidP="00A47A7E">
            <w:pPr>
              <w:jc w:val="right"/>
              <w:rPr>
                <w:b/>
                <w:bCs/>
                <w:color w:val="000000"/>
                <w:sz w:val="21"/>
                <w:szCs w:val="21"/>
              </w:rPr>
            </w:pPr>
            <w:r w:rsidRPr="00487BF3">
              <w:rPr>
                <w:b/>
                <w:bCs/>
                <w:color w:val="000000"/>
                <w:sz w:val="21"/>
                <w:szCs w:val="21"/>
              </w:rPr>
              <w:t>0.038</w:t>
            </w:r>
          </w:p>
        </w:tc>
      </w:tr>
      <w:tr w:rsidR="0095697F" w:rsidRPr="00487BF3" w14:paraId="43587763" w14:textId="77777777" w:rsidTr="00487BF3">
        <w:trPr>
          <w:trHeight w:val="227"/>
        </w:trPr>
        <w:tc>
          <w:tcPr>
            <w:tcW w:w="2100" w:type="dxa"/>
            <w:tcBorders>
              <w:top w:val="nil"/>
              <w:left w:val="nil"/>
              <w:bottom w:val="nil"/>
              <w:right w:val="nil"/>
            </w:tcBorders>
            <w:shd w:val="clear" w:color="auto" w:fill="auto"/>
            <w:noWrap/>
            <w:vAlign w:val="bottom"/>
            <w:hideMark/>
          </w:tcPr>
          <w:p w14:paraId="4C21C8B8" w14:textId="77777777" w:rsidR="0095697F" w:rsidRPr="00487BF3" w:rsidRDefault="0095697F" w:rsidP="00A47A7E">
            <w:pPr>
              <w:jc w:val="right"/>
              <w:rPr>
                <w:b/>
                <w:bCs/>
                <w:color w:val="000000"/>
                <w:sz w:val="21"/>
                <w:szCs w:val="21"/>
              </w:rPr>
            </w:pPr>
          </w:p>
        </w:tc>
        <w:tc>
          <w:tcPr>
            <w:tcW w:w="3712" w:type="dxa"/>
            <w:tcBorders>
              <w:top w:val="nil"/>
              <w:left w:val="nil"/>
              <w:bottom w:val="nil"/>
              <w:right w:val="nil"/>
            </w:tcBorders>
            <w:shd w:val="clear" w:color="auto" w:fill="auto"/>
            <w:noWrap/>
            <w:vAlign w:val="bottom"/>
            <w:hideMark/>
          </w:tcPr>
          <w:p w14:paraId="471E1941" w14:textId="77777777" w:rsidR="0095697F" w:rsidRPr="00487BF3" w:rsidRDefault="0095697F" w:rsidP="00A47A7E">
            <w:pPr>
              <w:rPr>
                <w:color w:val="000000"/>
                <w:sz w:val="21"/>
                <w:szCs w:val="21"/>
              </w:rPr>
            </w:pPr>
            <w:r w:rsidRPr="00487BF3">
              <w:rPr>
                <w:color w:val="000000"/>
                <w:sz w:val="21"/>
                <w:szCs w:val="21"/>
              </w:rPr>
              <w:t>Wind speed threshold</w:t>
            </w:r>
          </w:p>
        </w:tc>
        <w:tc>
          <w:tcPr>
            <w:tcW w:w="1788" w:type="dxa"/>
            <w:tcBorders>
              <w:top w:val="nil"/>
              <w:left w:val="nil"/>
              <w:bottom w:val="nil"/>
              <w:right w:val="nil"/>
            </w:tcBorders>
            <w:shd w:val="clear" w:color="auto" w:fill="auto"/>
            <w:noWrap/>
            <w:vAlign w:val="bottom"/>
            <w:hideMark/>
          </w:tcPr>
          <w:p w14:paraId="68BBA75B"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0210389C"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2DE75E67" w14:textId="77777777" w:rsidTr="00487BF3">
        <w:trPr>
          <w:trHeight w:val="227"/>
        </w:trPr>
        <w:tc>
          <w:tcPr>
            <w:tcW w:w="2100" w:type="dxa"/>
            <w:tcBorders>
              <w:top w:val="nil"/>
              <w:left w:val="nil"/>
              <w:bottom w:val="nil"/>
              <w:right w:val="nil"/>
            </w:tcBorders>
            <w:shd w:val="clear" w:color="auto" w:fill="auto"/>
            <w:noWrap/>
            <w:vAlign w:val="bottom"/>
            <w:hideMark/>
          </w:tcPr>
          <w:p w14:paraId="33E8EC15"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09B5A751" w14:textId="77777777" w:rsidR="0095697F" w:rsidRPr="00487BF3" w:rsidRDefault="0095697F" w:rsidP="00A47A7E">
            <w:pPr>
              <w:rPr>
                <w:color w:val="000000"/>
                <w:sz w:val="21"/>
                <w:szCs w:val="21"/>
              </w:rPr>
            </w:pPr>
            <w:r w:rsidRPr="00487BF3">
              <w:rPr>
                <w:color w:val="000000"/>
                <w:sz w:val="21"/>
                <w:szCs w:val="21"/>
              </w:rPr>
              <w:t>Breakwater design</w:t>
            </w:r>
          </w:p>
        </w:tc>
        <w:tc>
          <w:tcPr>
            <w:tcW w:w="1788" w:type="dxa"/>
            <w:tcBorders>
              <w:top w:val="nil"/>
              <w:left w:val="nil"/>
              <w:bottom w:val="nil"/>
              <w:right w:val="nil"/>
            </w:tcBorders>
            <w:shd w:val="clear" w:color="auto" w:fill="auto"/>
            <w:noWrap/>
            <w:vAlign w:val="bottom"/>
            <w:hideMark/>
          </w:tcPr>
          <w:p w14:paraId="18E07F0F"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77771180"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013E4AA6" w14:textId="77777777" w:rsidTr="00487BF3">
        <w:trPr>
          <w:trHeight w:val="227"/>
        </w:trPr>
        <w:tc>
          <w:tcPr>
            <w:tcW w:w="2100" w:type="dxa"/>
            <w:tcBorders>
              <w:top w:val="nil"/>
              <w:left w:val="nil"/>
              <w:bottom w:val="single" w:sz="4" w:space="0" w:color="auto"/>
              <w:right w:val="nil"/>
            </w:tcBorders>
            <w:shd w:val="clear" w:color="auto" w:fill="auto"/>
            <w:noWrap/>
            <w:vAlign w:val="bottom"/>
            <w:hideMark/>
          </w:tcPr>
          <w:p w14:paraId="201D557C" w14:textId="77777777" w:rsidR="0095697F" w:rsidRPr="00487BF3" w:rsidRDefault="0095697F" w:rsidP="00A47A7E">
            <w:pPr>
              <w:rPr>
                <w:color w:val="000000"/>
                <w:sz w:val="21"/>
                <w:szCs w:val="21"/>
              </w:rPr>
            </w:pPr>
            <w:r w:rsidRPr="00487BF3">
              <w:rPr>
                <w:color w:val="000000"/>
                <w:sz w:val="21"/>
                <w:szCs w:val="21"/>
              </w:rPr>
              <w:t> </w:t>
            </w:r>
          </w:p>
        </w:tc>
        <w:tc>
          <w:tcPr>
            <w:tcW w:w="3712" w:type="dxa"/>
            <w:tcBorders>
              <w:top w:val="nil"/>
              <w:left w:val="nil"/>
              <w:bottom w:val="single" w:sz="4" w:space="0" w:color="auto"/>
              <w:right w:val="nil"/>
            </w:tcBorders>
            <w:shd w:val="clear" w:color="auto" w:fill="auto"/>
            <w:noWrap/>
            <w:vAlign w:val="bottom"/>
            <w:hideMark/>
          </w:tcPr>
          <w:p w14:paraId="20653524" w14:textId="77777777" w:rsidR="0095697F" w:rsidRPr="00487BF3" w:rsidRDefault="0095697F" w:rsidP="00A47A7E">
            <w:pPr>
              <w:rPr>
                <w:color w:val="000000"/>
                <w:sz w:val="21"/>
                <w:szCs w:val="21"/>
              </w:rPr>
            </w:pPr>
            <w:r w:rsidRPr="00487BF3">
              <w:rPr>
                <w:color w:val="000000"/>
                <w:sz w:val="21"/>
                <w:szCs w:val="21"/>
              </w:rPr>
              <w:t>Design wave height breakwater</w:t>
            </w:r>
          </w:p>
        </w:tc>
        <w:tc>
          <w:tcPr>
            <w:tcW w:w="1788" w:type="dxa"/>
            <w:tcBorders>
              <w:top w:val="nil"/>
              <w:left w:val="nil"/>
              <w:bottom w:val="single" w:sz="4" w:space="0" w:color="auto"/>
              <w:right w:val="nil"/>
            </w:tcBorders>
            <w:shd w:val="clear" w:color="auto" w:fill="auto"/>
            <w:noWrap/>
            <w:vAlign w:val="bottom"/>
            <w:hideMark/>
          </w:tcPr>
          <w:p w14:paraId="65B4574E"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single" w:sz="4" w:space="0" w:color="auto"/>
              <w:right w:val="nil"/>
            </w:tcBorders>
            <w:shd w:val="clear" w:color="auto" w:fill="auto"/>
            <w:noWrap/>
            <w:vAlign w:val="bottom"/>
            <w:hideMark/>
          </w:tcPr>
          <w:p w14:paraId="52863223"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7A9D5DA1" w14:textId="77777777" w:rsidTr="00487BF3">
        <w:trPr>
          <w:trHeight w:val="227"/>
        </w:trPr>
        <w:tc>
          <w:tcPr>
            <w:tcW w:w="2100" w:type="dxa"/>
            <w:tcBorders>
              <w:top w:val="nil"/>
              <w:left w:val="nil"/>
              <w:bottom w:val="single" w:sz="4" w:space="0" w:color="auto"/>
              <w:right w:val="nil"/>
            </w:tcBorders>
            <w:shd w:val="clear" w:color="auto" w:fill="auto"/>
            <w:noWrap/>
            <w:vAlign w:val="bottom"/>
            <w:hideMark/>
          </w:tcPr>
          <w:p w14:paraId="4DC2854A" w14:textId="77777777" w:rsidR="0095697F" w:rsidRPr="00487BF3" w:rsidRDefault="0095697F" w:rsidP="00A47A7E">
            <w:pPr>
              <w:rPr>
                <w:color w:val="000000"/>
                <w:sz w:val="21"/>
                <w:szCs w:val="21"/>
              </w:rPr>
            </w:pPr>
            <w:r w:rsidRPr="00487BF3">
              <w:rPr>
                <w:color w:val="000000"/>
                <w:sz w:val="21"/>
                <w:szCs w:val="21"/>
              </w:rPr>
              <w:t>Equipment</w:t>
            </w:r>
          </w:p>
        </w:tc>
        <w:tc>
          <w:tcPr>
            <w:tcW w:w="3712" w:type="dxa"/>
            <w:tcBorders>
              <w:top w:val="nil"/>
              <w:left w:val="nil"/>
              <w:bottom w:val="single" w:sz="4" w:space="0" w:color="auto"/>
              <w:right w:val="nil"/>
            </w:tcBorders>
            <w:shd w:val="clear" w:color="auto" w:fill="auto"/>
            <w:noWrap/>
            <w:vAlign w:val="bottom"/>
            <w:hideMark/>
          </w:tcPr>
          <w:p w14:paraId="3A80508F" w14:textId="77777777" w:rsidR="0095697F" w:rsidRPr="00487BF3" w:rsidRDefault="0095697F" w:rsidP="00A47A7E">
            <w:pPr>
              <w:rPr>
                <w:color w:val="000000"/>
                <w:sz w:val="21"/>
                <w:szCs w:val="21"/>
              </w:rPr>
            </w:pPr>
            <w:r w:rsidRPr="00487BF3">
              <w:rPr>
                <w:color w:val="000000"/>
                <w:sz w:val="21"/>
                <w:szCs w:val="21"/>
              </w:rPr>
              <w:t>Number of cranes</w:t>
            </w:r>
          </w:p>
        </w:tc>
        <w:tc>
          <w:tcPr>
            <w:tcW w:w="1788" w:type="dxa"/>
            <w:tcBorders>
              <w:top w:val="nil"/>
              <w:left w:val="nil"/>
              <w:bottom w:val="single" w:sz="4" w:space="0" w:color="auto"/>
              <w:right w:val="nil"/>
            </w:tcBorders>
            <w:shd w:val="clear" w:color="auto" w:fill="auto"/>
            <w:noWrap/>
            <w:vAlign w:val="bottom"/>
            <w:hideMark/>
          </w:tcPr>
          <w:p w14:paraId="679F59BC" w14:textId="77777777" w:rsidR="0095697F" w:rsidRPr="00487BF3" w:rsidRDefault="0095697F" w:rsidP="00A47A7E">
            <w:pPr>
              <w:jc w:val="right"/>
              <w:rPr>
                <w:color w:val="000000"/>
                <w:sz w:val="21"/>
                <w:szCs w:val="21"/>
              </w:rPr>
            </w:pPr>
            <w:r w:rsidRPr="00487BF3">
              <w:rPr>
                <w:color w:val="000000"/>
                <w:sz w:val="21"/>
                <w:szCs w:val="21"/>
              </w:rPr>
              <w:t>0.001</w:t>
            </w:r>
          </w:p>
        </w:tc>
        <w:tc>
          <w:tcPr>
            <w:tcW w:w="1614" w:type="dxa"/>
            <w:tcBorders>
              <w:top w:val="nil"/>
              <w:left w:val="nil"/>
              <w:bottom w:val="single" w:sz="4" w:space="0" w:color="auto"/>
              <w:right w:val="nil"/>
            </w:tcBorders>
            <w:shd w:val="clear" w:color="auto" w:fill="auto"/>
            <w:noWrap/>
            <w:vAlign w:val="bottom"/>
            <w:hideMark/>
          </w:tcPr>
          <w:p w14:paraId="67426EB1"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6EBC5FAD" w14:textId="77777777" w:rsidTr="00487BF3">
        <w:trPr>
          <w:trHeight w:val="227"/>
        </w:trPr>
        <w:tc>
          <w:tcPr>
            <w:tcW w:w="2100" w:type="dxa"/>
            <w:tcBorders>
              <w:top w:val="nil"/>
              <w:left w:val="nil"/>
              <w:bottom w:val="nil"/>
              <w:right w:val="nil"/>
            </w:tcBorders>
            <w:shd w:val="clear" w:color="auto" w:fill="auto"/>
            <w:noWrap/>
            <w:vAlign w:val="bottom"/>
            <w:hideMark/>
          </w:tcPr>
          <w:p w14:paraId="021DE7D2" w14:textId="77777777" w:rsidR="0095697F" w:rsidRPr="00487BF3" w:rsidRDefault="0095697F" w:rsidP="00A47A7E">
            <w:pPr>
              <w:rPr>
                <w:color w:val="000000"/>
                <w:sz w:val="21"/>
                <w:szCs w:val="21"/>
              </w:rPr>
            </w:pPr>
            <w:r w:rsidRPr="00487BF3">
              <w:rPr>
                <w:color w:val="000000"/>
                <w:sz w:val="21"/>
                <w:szCs w:val="21"/>
              </w:rPr>
              <w:t>Reconstruction costs</w:t>
            </w:r>
          </w:p>
        </w:tc>
        <w:tc>
          <w:tcPr>
            <w:tcW w:w="3712" w:type="dxa"/>
            <w:tcBorders>
              <w:top w:val="nil"/>
              <w:left w:val="nil"/>
              <w:bottom w:val="nil"/>
              <w:right w:val="nil"/>
            </w:tcBorders>
            <w:shd w:val="clear" w:color="auto" w:fill="auto"/>
            <w:noWrap/>
            <w:vAlign w:val="bottom"/>
            <w:hideMark/>
          </w:tcPr>
          <w:p w14:paraId="5053205B" w14:textId="77777777" w:rsidR="0095697F" w:rsidRPr="00487BF3" w:rsidRDefault="0095697F" w:rsidP="00A47A7E">
            <w:pPr>
              <w:rPr>
                <w:b/>
                <w:bCs/>
                <w:color w:val="000000"/>
                <w:sz w:val="21"/>
                <w:szCs w:val="21"/>
              </w:rPr>
            </w:pPr>
            <w:r w:rsidRPr="00487BF3">
              <w:rPr>
                <w:b/>
                <w:bCs/>
                <w:color w:val="000000"/>
                <w:sz w:val="21"/>
                <w:szCs w:val="21"/>
              </w:rPr>
              <w:t>Maximum damage General cargo</w:t>
            </w:r>
          </w:p>
        </w:tc>
        <w:tc>
          <w:tcPr>
            <w:tcW w:w="1788" w:type="dxa"/>
            <w:tcBorders>
              <w:top w:val="nil"/>
              <w:left w:val="nil"/>
              <w:bottom w:val="nil"/>
              <w:right w:val="nil"/>
            </w:tcBorders>
            <w:shd w:val="clear" w:color="auto" w:fill="auto"/>
            <w:noWrap/>
            <w:vAlign w:val="bottom"/>
            <w:hideMark/>
          </w:tcPr>
          <w:p w14:paraId="200D1E53" w14:textId="77777777" w:rsidR="0095697F" w:rsidRPr="00487BF3" w:rsidRDefault="0095697F" w:rsidP="00A47A7E">
            <w:pPr>
              <w:jc w:val="right"/>
              <w:rPr>
                <w:b/>
                <w:bCs/>
                <w:color w:val="000000"/>
                <w:sz w:val="21"/>
                <w:szCs w:val="21"/>
              </w:rPr>
            </w:pPr>
            <w:r w:rsidRPr="00487BF3">
              <w:rPr>
                <w:b/>
                <w:bCs/>
                <w:color w:val="000000"/>
                <w:sz w:val="21"/>
                <w:szCs w:val="21"/>
              </w:rPr>
              <w:t>0.005</w:t>
            </w:r>
          </w:p>
        </w:tc>
        <w:tc>
          <w:tcPr>
            <w:tcW w:w="1614" w:type="dxa"/>
            <w:tcBorders>
              <w:top w:val="nil"/>
              <w:left w:val="nil"/>
              <w:bottom w:val="nil"/>
              <w:right w:val="nil"/>
            </w:tcBorders>
            <w:shd w:val="clear" w:color="auto" w:fill="auto"/>
            <w:noWrap/>
            <w:vAlign w:val="bottom"/>
            <w:hideMark/>
          </w:tcPr>
          <w:p w14:paraId="325129C6"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02936BA4" w14:textId="77777777" w:rsidTr="00487BF3">
        <w:trPr>
          <w:trHeight w:val="227"/>
        </w:trPr>
        <w:tc>
          <w:tcPr>
            <w:tcW w:w="2100" w:type="dxa"/>
            <w:tcBorders>
              <w:top w:val="nil"/>
              <w:left w:val="nil"/>
              <w:bottom w:val="nil"/>
              <w:right w:val="nil"/>
            </w:tcBorders>
            <w:shd w:val="clear" w:color="auto" w:fill="auto"/>
            <w:noWrap/>
            <w:vAlign w:val="bottom"/>
            <w:hideMark/>
          </w:tcPr>
          <w:p w14:paraId="4BAF6C61"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23DD9AE2" w14:textId="77777777" w:rsidR="0095697F" w:rsidRPr="00487BF3" w:rsidRDefault="0095697F" w:rsidP="00A47A7E">
            <w:pPr>
              <w:rPr>
                <w:color w:val="000000"/>
                <w:sz w:val="21"/>
                <w:szCs w:val="21"/>
              </w:rPr>
            </w:pPr>
            <w:r w:rsidRPr="00487BF3">
              <w:rPr>
                <w:color w:val="000000"/>
                <w:sz w:val="21"/>
                <w:szCs w:val="21"/>
              </w:rPr>
              <w:t xml:space="preserve">Maximum damage </w:t>
            </w:r>
            <w:proofErr w:type="spellStart"/>
            <w:r w:rsidRPr="00487BF3">
              <w:rPr>
                <w:color w:val="000000"/>
                <w:sz w:val="21"/>
                <w:szCs w:val="21"/>
              </w:rPr>
              <w:t>RoRo</w:t>
            </w:r>
            <w:proofErr w:type="spellEnd"/>
          </w:p>
        </w:tc>
        <w:tc>
          <w:tcPr>
            <w:tcW w:w="1788" w:type="dxa"/>
            <w:tcBorders>
              <w:top w:val="nil"/>
              <w:left w:val="nil"/>
              <w:bottom w:val="nil"/>
              <w:right w:val="nil"/>
            </w:tcBorders>
            <w:shd w:val="clear" w:color="auto" w:fill="auto"/>
            <w:noWrap/>
            <w:vAlign w:val="bottom"/>
            <w:hideMark/>
          </w:tcPr>
          <w:p w14:paraId="078B9B2F"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11CD0DB4"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0CFDD1A7" w14:textId="77777777" w:rsidTr="00487BF3">
        <w:trPr>
          <w:trHeight w:val="227"/>
        </w:trPr>
        <w:tc>
          <w:tcPr>
            <w:tcW w:w="2100" w:type="dxa"/>
            <w:tcBorders>
              <w:top w:val="nil"/>
              <w:left w:val="nil"/>
              <w:bottom w:val="nil"/>
              <w:right w:val="nil"/>
            </w:tcBorders>
            <w:shd w:val="clear" w:color="auto" w:fill="auto"/>
            <w:noWrap/>
            <w:vAlign w:val="bottom"/>
            <w:hideMark/>
          </w:tcPr>
          <w:p w14:paraId="6C951D5C"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2F9447C3" w14:textId="77777777" w:rsidR="0095697F" w:rsidRPr="00487BF3" w:rsidRDefault="0095697F" w:rsidP="00A47A7E">
            <w:pPr>
              <w:rPr>
                <w:color w:val="000000"/>
                <w:sz w:val="21"/>
                <w:szCs w:val="21"/>
              </w:rPr>
            </w:pPr>
            <w:r w:rsidRPr="00487BF3">
              <w:rPr>
                <w:color w:val="000000"/>
                <w:sz w:val="21"/>
                <w:szCs w:val="21"/>
              </w:rPr>
              <w:t>Maximum damage Liquid</w:t>
            </w:r>
          </w:p>
        </w:tc>
        <w:tc>
          <w:tcPr>
            <w:tcW w:w="1788" w:type="dxa"/>
            <w:tcBorders>
              <w:top w:val="nil"/>
              <w:left w:val="nil"/>
              <w:bottom w:val="nil"/>
              <w:right w:val="nil"/>
            </w:tcBorders>
            <w:shd w:val="clear" w:color="auto" w:fill="auto"/>
            <w:noWrap/>
            <w:vAlign w:val="bottom"/>
            <w:hideMark/>
          </w:tcPr>
          <w:p w14:paraId="6691DFA0"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053CEA86"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1E0ECDE7" w14:textId="77777777" w:rsidTr="00487BF3">
        <w:trPr>
          <w:trHeight w:val="227"/>
        </w:trPr>
        <w:tc>
          <w:tcPr>
            <w:tcW w:w="2100" w:type="dxa"/>
            <w:tcBorders>
              <w:top w:val="nil"/>
              <w:left w:val="nil"/>
              <w:bottom w:val="nil"/>
              <w:right w:val="nil"/>
            </w:tcBorders>
            <w:shd w:val="clear" w:color="auto" w:fill="auto"/>
            <w:noWrap/>
            <w:vAlign w:val="bottom"/>
            <w:hideMark/>
          </w:tcPr>
          <w:p w14:paraId="0060A546"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16B12B59" w14:textId="77777777" w:rsidR="0095697F" w:rsidRPr="00487BF3" w:rsidRDefault="0095697F" w:rsidP="00A47A7E">
            <w:pPr>
              <w:rPr>
                <w:color w:val="000000"/>
                <w:sz w:val="21"/>
                <w:szCs w:val="21"/>
              </w:rPr>
            </w:pPr>
            <w:r w:rsidRPr="00487BF3">
              <w:rPr>
                <w:color w:val="000000"/>
                <w:sz w:val="21"/>
                <w:szCs w:val="21"/>
              </w:rPr>
              <w:t>Maximum damage Container</w:t>
            </w:r>
          </w:p>
        </w:tc>
        <w:tc>
          <w:tcPr>
            <w:tcW w:w="1788" w:type="dxa"/>
            <w:tcBorders>
              <w:top w:val="nil"/>
              <w:left w:val="nil"/>
              <w:bottom w:val="nil"/>
              <w:right w:val="nil"/>
            </w:tcBorders>
            <w:shd w:val="clear" w:color="auto" w:fill="auto"/>
            <w:noWrap/>
            <w:vAlign w:val="bottom"/>
            <w:hideMark/>
          </w:tcPr>
          <w:p w14:paraId="25D8C2A9" w14:textId="77777777" w:rsidR="0095697F" w:rsidRPr="00487BF3" w:rsidRDefault="0095697F" w:rsidP="00A47A7E">
            <w:pPr>
              <w:jc w:val="right"/>
              <w:rPr>
                <w:color w:val="000000"/>
                <w:sz w:val="21"/>
                <w:szCs w:val="21"/>
              </w:rPr>
            </w:pPr>
            <w:r w:rsidRPr="00487BF3">
              <w:rPr>
                <w:color w:val="000000"/>
                <w:sz w:val="21"/>
                <w:szCs w:val="21"/>
              </w:rPr>
              <w:t>0.002</w:t>
            </w:r>
          </w:p>
        </w:tc>
        <w:tc>
          <w:tcPr>
            <w:tcW w:w="1614" w:type="dxa"/>
            <w:tcBorders>
              <w:top w:val="nil"/>
              <w:left w:val="nil"/>
              <w:bottom w:val="nil"/>
              <w:right w:val="nil"/>
            </w:tcBorders>
            <w:shd w:val="clear" w:color="auto" w:fill="auto"/>
            <w:noWrap/>
            <w:vAlign w:val="bottom"/>
            <w:hideMark/>
          </w:tcPr>
          <w:p w14:paraId="07B0A0A0"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0A527034" w14:textId="77777777" w:rsidTr="00487BF3">
        <w:trPr>
          <w:trHeight w:val="227"/>
        </w:trPr>
        <w:tc>
          <w:tcPr>
            <w:tcW w:w="2100" w:type="dxa"/>
            <w:tcBorders>
              <w:top w:val="nil"/>
              <w:left w:val="nil"/>
              <w:bottom w:val="nil"/>
              <w:right w:val="nil"/>
            </w:tcBorders>
            <w:shd w:val="clear" w:color="auto" w:fill="auto"/>
            <w:noWrap/>
            <w:vAlign w:val="bottom"/>
            <w:hideMark/>
          </w:tcPr>
          <w:p w14:paraId="38FDDE1A"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7E3E5459" w14:textId="77777777" w:rsidR="0095697F" w:rsidRPr="00487BF3" w:rsidRDefault="0095697F" w:rsidP="00A47A7E">
            <w:pPr>
              <w:rPr>
                <w:color w:val="000000"/>
                <w:sz w:val="21"/>
                <w:szCs w:val="21"/>
              </w:rPr>
            </w:pPr>
            <w:r w:rsidRPr="00487BF3">
              <w:rPr>
                <w:color w:val="000000"/>
                <w:sz w:val="21"/>
                <w:szCs w:val="21"/>
              </w:rPr>
              <w:t>Maximum damage Bulk</w:t>
            </w:r>
          </w:p>
        </w:tc>
        <w:tc>
          <w:tcPr>
            <w:tcW w:w="1788" w:type="dxa"/>
            <w:tcBorders>
              <w:top w:val="nil"/>
              <w:left w:val="nil"/>
              <w:bottom w:val="nil"/>
              <w:right w:val="nil"/>
            </w:tcBorders>
            <w:shd w:val="clear" w:color="auto" w:fill="auto"/>
            <w:noWrap/>
            <w:vAlign w:val="bottom"/>
            <w:hideMark/>
          </w:tcPr>
          <w:p w14:paraId="3836D06B"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29E67CE7"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041C3107" w14:textId="77777777" w:rsidTr="00487BF3">
        <w:trPr>
          <w:trHeight w:val="227"/>
        </w:trPr>
        <w:tc>
          <w:tcPr>
            <w:tcW w:w="2100" w:type="dxa"/>
            <w:tcBorders>
              <w:top w:val="nil"/>
              <w:left w:val="nil"/>
              <w:bottom w:val="nil"/>
              <w:right w:val="nil"/>
            </w:tcBorders>
            <w:shd w:val="clear" w:color="auto" w:fill="auto"/>
            <w:noWrap/>
            <w:vAlign w:val="bottom"/>
            <w:hideMark/>
          </w:tcPr>
          <w:p w14:paraId="17A73CE8"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05D844BC" w14:textId="77777777" w:rsidR="0095697F" w:rsidRPr="00487BF3" w:rsidRDefault="0095697F" w:rsidP="00A47A7E">
            <w:pPr>
              <w:rPr>
                <w:color w:val="000000"/>
                <w:sz w:val="21"/>
                <w:szCs w:val="21"/>
              </w:rPr>
            </w:pPr>
            <w:r w:rsidRPr="00487BF3">
              <w:rPr>
                <w:color w:val="000000"/>
                <w:sz w:val="21"/>
                <w:szCs w:val="21"/>
              </w:rPr>
              <w:t>Maximum damage Raw</w:t>
            </w:r>
          </w:p>
        </w:tc>
        <w:tc>
          <w:tcPr>
            <w:tcW w:w="1788" w:type="dxa"/>
            <w:tcBorders>
              <w:top w:val="nil"/>
              <w:left w:val="nil"/>
              <w:bottom w:val="nil"/>
              <w:right w:val="nil"/>
            </w:tcBorders>
            <w:shd w:val="clear" w:color="auto" w:fill="auto"/>
            <w:noWrap/>
            <w:vAlign w:val="bottom"/>
            <w:hideMark/>
          </w:tcPr>
          <w:p w14:paraId="54D19977"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07F95AC7"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5D62BCCE" w14:textId="77777777" w:rsidTr="00487BF3">
        <w:trPr>
          <w:trHeight w:val="227"/>
        </w:trPr>
        <w:tc>
          <w:tcPr>
            <w:tcW w:w="2100" w:type="dxa"/>
            <w:tcBorders>
              <w:top w:val="nil"/>
              <w:left w:val="nil"/>
              <w:bottom w:val="nil"/>
              <w:right w:val="nil"/>
            </w:tcBorders>
            <w:shd w:val="clear" w:color="auto" w:fill="auto"/>
            <w:noWrap/>
            <w:vAlign w:val="bottom"/>
            <w:hideMark/>
          </w:tcPr>
          <w:p w14:paraId="48919DE1"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15628D65" w14:textId="77777777" w:rsidR="0095697F" w:rsidRPr="00487BF3" w:rsidRDefault="0095697F" w:rsidP="00A47A7E">
            <w:pPr>
              <w:rPr>
                <w:color w:val="000000"/>
                <w:sz w:val="21"/>
                <w:szCs w:val="21"/>
              </w:rPr>
            </w:pPr>
            <w:r w:rsidRPr="00487BF3">
              <w:rPr>
                <w:color w:val="000000"/>
                <w:sz w:val="21"/>
                <w:szCs w:val="21"/>
              </w:rPr>
              <w:t>Maximum damage Refinery</w:t>
            </w:r>
          </w:p>
        </w:tc>
        <w:tc>
          <w:tcPr>
            <w:tcW w:w="1788" w:type="dxa"/>
            <w:tcBorders>
              <w:top w:val="nil"/>
              <w:left w:val="nil"/>
              <w:bottom w:val="nil"/>
              <w:right w:val="nil"/>
            </w:tcBorders>
            <w:shd w:val="clear" w:color="auto" w:fill="auto"/>
            <w:noWrap/>
            <w:vAlign w:val="bottom"/>
            <w:hideMark/>
          </w:tcPr>
          <w:p w14:paraId="00D70834"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54626252"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73375648" w14:textId="77777777" w:rsidTr="00487BF3">
        <w:trPr>
          <w:trHeight w:val="227"/>
        </w:trPr>
        <w:tc>
          <w:tcPr>
            <w:tcW w:w="2100" w:type="dxa"/>
            <w:tcBorders>
              <w:top w:val="nil"/>
              <w:left w:val="nil"/>
              <w:bottom w:val="nil"/>
              <w:right w:val="nil"/>
            </w:tcBorders>
            <w:shd w:val="clear" w:color="auto" w:fill="auto"/>
            <w:noWrap/>
            <w:vAlign w:val="bottom"/>
            <w:hideMark/>
          </w:tcPr>
          <w:p w14:paraId="2FF2080C"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732B8CB2" w14:textId="77777777" w:rsidR="0095697F" w:rsidRPr="00487BF3" w:rsidRDefault="0095697F" w:rsidP="00A47A7E">
            <w:pPr>
              <w:rPr>
                <w:b/>
                <w:bCs/>
                <w:color w:val="000000"/>
                <w:sz w:val="21"/>
                <w:szCs w:val="21"/>
              </w:rPr>
            </w:pPr>
            <w:r w:rsidRPr="00487BF3">
              <w:rPr>
                <w:b/>
                <w:bCs/>
                <w:color w:val="000000"/>
                <w:sz w:val="21"/>
                <w:szCs w:val="21"/>
              </w:rPr>
              <w:t>Maximum damage Industry</w:t>
            </w:r>
          </w:p>
        </w:tc>
        <w:tc>
          <w:tcPr>
            <w:tcW w:w="1788" w:type="dxa"/>
            <w:tcBorders>
              <w:top w:val="nil"/>
              <w:left w:val="nil"/>
              <w:bottom w:val="nil"/>
              <w:right w:val="nil"/>
            </w:tcBorders>
            <w:shd w:val="clear" w:color="auto" w:fill="auto"/>
            <w:noWrap/>
            <w:vAlign w:val="bottom"/>
            <w:hideMark/>
          </w:tcPr>
          <w:p w14:paraId="68C18EC9" w14:textId="77777777" w:rsidR="0095697F" w:rsidRPr="00487BF3" w:rsidRDefault="0095697F" w:rsidP="00A47A7E">
            <w:pPr>
              <w:jc w:val="right"/>
              <w:rPr>
                <w:b/>
                <w:bCs/>
                <w:color w:val="000000"/>
                <w:sz w:val="21"/>
                <w:szCs w:val="21"/>
              </w:rPr>
            </w:pPr>
            <w:r w:rsidRPr="00487BF3">
              <w:rPr>
                <w:b/>
                <w:bCs/>
                <w:color w:val="000000"/>
                <w:sz w:val="21"/>
                <w:szCs w:val="21"/>
              </w:rPr>
              <w:t>0.004</w:t>
            </w:r>
          </w:p>
        </w:tc>
        <w:tc>
          <w:tcPr>
            <w:tcW w:w="1614" w:type="dxa"/>
            <w:tcBorders>
              <w:top w:val="nil"/>
              <w:left w:val="nil"/>
              <w:bottom w:val="nil"/>
              <w:right w:val="nil"/>
            </w:tcBorders>
            <w:shd w:val="clear" w:color="auto" w:fill="auto"/>
            <w:noWrap/>
            <w:vAlign w:val="bottom"/>
            <w:hideMark/>
          </w:tcPr>
          <w:p w14:paraId="648F9440"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4B59170E" w14:textId="77777777" w:rsidTr="00487BF3">
        <w:trPr>
          <w:trHeight w:val="227"/>
        </w:trPr>
        <w:tc>
          <w:tcPr>
            <w:tcW w:w="2100" w:type="dxa"/>
            <w:tcBorders>
              <w:top w:val="nil"/>
              <w:left w:val="nil"/>
              <w:bottom w:val="nil"/>
              <w:right w:val="nil"/>
            </w:tcBorders>
            <w:shd w:val="clear" w:color="auto" w:fill="auto"/>
            <w:noWrap/>
            <w:vAlign w:val="bottom"/>
            <w:hideMark/>
          </w:tcPr>
          <w:p w14:paraId="2CF5EBBD"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71617492" w14:textId="77777777" w:rsidR="0095697F" w:rsidRPr="00487BF3" w:rsidRDefault="0095697F" w:rsidP="00A47A7E">
            <w:pPr>
              <w:rPr>
                <w:color w:val="000000"/>
                <w:sz w:val="21"/>
                <w:szCs w:val="21"/>
              </w:rPr>
            </w:pPr>
            <w:r w:rsidRPr="00487BF3">
              <w:rPr>
                <w:color w:val="000000"/>
                <w:sz w:val="21"/>
                <w:szCs w:val="21"/>
              </w:rPr>
              <w:t>Maximum damage Warehouse</w:t>
            </w:r>
          </w:p>
        </w:tc>
        <w:tc>
          <w:tcPr>
            <w:tcW w:w="1788" w:type="dxa"/>
            <w:tcBorders>
              <w:top w:val="nil"/>
              <w:left w:val="nil"/>
              <w:bottom w:val="nil"/>
              <w:right w:val="nil"/>
            </w:tcBorders>
            <w:shd w:val="clear" w:color="auto" w:fill="auto"/>
            <w:noWrap/>
            <w:vAlign w:val="bottom"/>
            <w:hideMark/>
          </w:tcPr>
          <w:p w14:paraId="42C1E6BF"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23BE01D5"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6A8CD1C9" w14:textId="77777777" w:rsidTr="00487BF3">
        <w:trPr>
          <w:trHeight w:val="227"/>
        </w:trPr>
        <w:tc>
          <w:tcPr>
            <w:tcW w:w="2100" w:type="dxa"/>
            <w:tcBorders>
              <w:top w:val="nil"/>
              <w:left w:val="nil"/>
              <w:bottom w:val="nil"/>
              <w:right w:val="nil"/>
            </w:tcBorders>
            <w:shd w:val="clear" w:color="auto" w:fill="auto"/>
            <w:noWrap/>
            <w:vAlign w:val="bottom"/>
            <w:hideMark/>
          </w:tcPr>
          <w:p w14:paraId="33D64349"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3DE02122" w14:textId="77777777" w:rsidR="0095697F" w:rsidRPr="00487BF3" w:rsidRDefault="0095697F" w:rsidP="00A47A7E">
            <w:pPr>
              <w:rPr>
                <w:color w:val="000000"/>
                <w:sz w:val="21"/>
                <w:szCs w:val="21"/>
              </w:rPr>
            </w:pPr>
            <w:r w:rsidRPr="00487BF3">
              <w:rPr>
                <w:color w:val="000000"/>
                <w:sz w:val="21"/>
                <w:szCs w:val="21"/>
              </w:rPr>
              <w:t>Maximum damage Ship to Shore crane</w:t>
            </w:r>
          </w:p>
        </w:tc>
        <w:tc>
          <w:tcPr>
            <w:tcW w:w="1788" w:type="dxa"/>
            <w:tcBorders>
              <w:top w:val="nil"/>
              <w:left w:val="nil"/>
              <w:bottom w:val="nil"/>
              <w:right w:val="nil"/>
            </w:tcBorders>
            <w:shd w:val="clear" w:color="auto" w:fill="auto"/>
            <w:noWrap/>
            <w:vAlign w:val="bottom"/>
            <w:hideMark/>
          </w:tcPr>
          <w:p w14:paraId="5A63F87B"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48406C70"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68106DA1" w14:textId="77777777" w:rsidTr="00487BF3">
        <w:trPr>
          <w:trHeight w:val="227"/>
        </w:trPr>
        <w:tc>
          <w:tcPr>
            <w:tcW w:w="2100" w:type="dxa"/>
            <w:tcBorders>
              <w:top w:val="nil"/>
              <w:left w:val="nil"/>
              <w:bottom w:val="nil"/>
              <w:right w:val="nil"/>
            </w:tcBorders>
            <w:shd w:val="clear" w:color="auto" w:fill="auto"/>
            <w:noWrap/>
            <w:vAlign w:val="bottom"/>
            <w:hideMark/>
          </w:tcPr>
          <w:p w14:paraId="375908B3"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6DAF9E74" w14:textId="77777777" w:rsidR="0095697F" w:rsidRPr="00487BF3" w:rsidRDefault="0095697F" w:rsidP="00A47A7E">
            <w:pPr>
              <w:rPr>
                <w:sz w:val="21"/>
                <w:szCs w:val="21"/>
              </w:rPr>
            </w:pPr>
          </w:p>
        </w:tc>
        <w:tc>
          <w:tcPr>
            <w:tcW w:w="1788" w:type="dxa"/>
            <w:tcBorders>
              <w:top w:val="nil"/>
              <w:left w:val="nil"/>
              <w:bottom w:val="nil"/>
              <w:right w:val="nil"/>
            </w:tcBorders>
            <w:shd w:val="clear" w:color="auto" w:fill="auto"/>
            <w:noWrap/>
            <w:vAlign w:val="bottom"/>
            <w:hideMark/>
          </w:tcPr>
          <w:p w14:paraId="055EC9C5" w14:textId="77777777" w:rsidR="0095697F" w:rsidRPr="00487BF3" w:rsidRDefault="0095697F" w:rsidP="00A47A7E">
            <w:pPr>
              <w:rPr>
                <w:sz w:val="21"/>
                <w:szCs w:val="21"/>
              </w:rPr>
            </w:pPr>
          </w:p>
        </w:tc>
        <w:tc>
          <w:tcPr>
            <w:tcW w:w="1614" w:type="dxa"/>
            <w:tcBorders>
              <w:top w:val="nil"/>
              <w:left w:val="nil"/>
              <w:bottom w:val="nil"/>
              <w:right w:val="nil"/>
            </w:tcBorders>
            <w:shd w:val="clear" w:color="auto" w:fill="auto"/>
            <w:noWrap/>
            <w:vAlign w:val="bottom"/>
            <w:hideMark/>
          </w:tcPr>
          <w:p w14:paraId="206F4756" w14:textId="77777777" w:rsidR="0095697F" w:rsidRPr="00487BF3" w:rsidRDefault="0095697F" w:rsidP="00A47A7E">
            <w:pPr>
              <w:rPr>
                <w:sz w:val="21"/>
                <w:szCs w:val="21"/>
              </w:rPr>
            </w:pPr>
          </w:p>
        </w:tc>
      </w:tr>
      <w:tr w:rsidR="0095697F" w:rsidRPr="00487BF3" w14:paraId="56DD1A79" w14:textId="77777777" w:rsidTr="00487BF3">
        <w:trPr>
          <w:trHeight w:val="227"/>
        </w:trPr>
        <w:tc>
          <w:tcPr>
            <w:tcW w:w="2100" w:type="dxa"/>
            <w:tcBorders>
              <w:top w:val="nil"/>
              <w:left w:val="nil"/>
              <w:bottom w:val="nil"/>
              <w:right w:val="nil"/>
            </w:tcBorders>
            <w:shd w:val="clear" w:color="auto" w:fill="auto"/>
            <w:noWrap/>
            <w:vAlign w:val="bottom"/>
            <w:hideMark/>
          </w:tcPr>
          <w:p w14:paraId="594AACF4" w14:textId="77777777" w:rsidR="0095697F" w:rsidRPr="00487BF3" w:rsidRDefault="0095697F" w:rsidP="00A47A7E">
            <w:pPr>
              <w:rPr>
                <w:sz w:val="21"/>
                <w:szCs w:val="21"/>
              </w:rPr>
            </w:pPr>
          </w:p>
        </w:tc>
        <w:tc>
          <w:tcPr>
            <w:tcW w:w="3712" w:type="dxa"/>
            <w:tcBorders>
              <w:top w:val="nil"/>
              <w:left w:val="nil"/>
              <w:bottom w:val="nil"/>
              <w:right w:val="nil"/>
            </w:tcBorders>
            <w:shd w:val="clear" w:color="auto" w:fill="auto"/>
            <w:noWrap/>
            <w:vAlign w:val="bottom"/>
            <w:hideMark/>
          </w:tcPr>
          <w:p w14:paraId="20D9E2F6" w14:textId="77777777" w:rsidR="0095697F" w:rsidRPr="00487BF3" w:rsidRDefault="0095697F" w:rsidP="00A47A7E">
            <w:pPr>
              <w:rPr>
                <w:color w:val="000000"/>
                <w:sz w:val="21"/>
                <w:szCs w:val="21"/>
              </w:rPr>
            </w:pPr>
            <w:r w:rsidRPr="00487BF3">
              <w:rPr>
                <w:color w:val="000000"/>
                <w:sz w:val="21"/>
                <w:szCs w:val="21"/>
              </w:rPr>
              <w:t>Construction costs Road</w:t>
            </w:r>
          </w:p>
        </w:tc>
        <w:tc>
          <w:tcPr>
            <w:tcW w:w="1788" w:type="dxa"/>
            <w:tcBorders>
              <w:top w:val="nil"/>
              <w:left w:val="nil"/>
              <w:bottom w:val="nil"/>
              <w:right w:val="nil"/>
            </w:tcBorders>
            <w:shd w:val="clear" w:color="auto" w:fill="auto"/>
            <w:noWrap/>
            <w:vAlign w:val="bottom"/>
            <w:hideMark/>
          </w:tcPr>
          <w:p w14:paraId="61E4B46F"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1DEAE197"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6C87B92C" w14:textId="77777777" w:rsidTr="00487BF3">
        <w:trPr>
          <w:trHeight w:val="227"/>
        </w:trPr>
        <w:tc>
          <w:tcPr>
            <w:tcW w:w="2100" w:type="dxa"/>
            <w:tcBorders>
              <w:top w:val="nil"/>
              <w:left w:val="nil"/>
              <w:bottom w:val="nil"/>
              <w:right w:val="nil"/>
            </w:tcBorders>
            <w:shd w:val="clear" w:color="auto" w:fill="auto"/>
            <w:noWrap/>
            <w:vAlign w:val="bottom"/>
            <w:hideMark/>
          </w:tcPr>
          <w:p w14:paraId="7B4D6BC5"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642C6045" w14:textId="77777777" w:rsidR="0095697F" w:rsidRPr="00487BF3" w:rsidRDefault="0095697F" w:rsidP="00A47A7E">
            <w:pPr>
              <w:rPr>
                <w:b/>
                <w:bCs/>
                <w:color w:val="000000"/>
                <w:sz w:val="21"/>
                <w:szCs w:val="21"/>
              </w:rPr>
            </w:pPr>
            <w:r w:rsidRPr="00487BF3">
              <w:rPr>
                <w:b/>
                <w:bCs/>
                <w:color w:val="000000"/>
                <w:sz w:val="21"/>
                <w:szCs w:val="21"/>
              </w:rPr>
              <w:t>Construction costs Rail</w:t>
            </w:r>
          </w:p>
        </w:tc>
        <w:tc>
          <w:tcPr>
            <w:tcW w:w="1788" w:type="dxa"/>
            <w:tcBorders>
              <w:top w:val="nil"/>
              <w:left w:val="nil"/>
              <w:bottom w:val="nil"/>
              <w:right w:val="nil"/>
            </w:tcBorders>
            <w:shd w:val="clear" w:color="auto" w:fill="auto"/>
            <w:noWrap/>
            <w:vAlign w:val="bottom"/>
            <w:hideMark/>
          </w:tcPr>
          <w:p w14:paraId="15763313" w14:textId="77777777" w:rsidR="0095697F" w:rsidRPr="00487BF3" w:rsidRDefault="0095697F" w:rsidP="00A47A7E">
            <w:pPr>
              <w:jc w:val="right"/>
              <w:rPr>
                <w:b/>
                <w:bCs/>
                <w:color w:val="000000"/>
                <w:sz w:val="21"/>
                <w:szCs w:val="21"/>
              </w:rPr>
            </w:pPr>
            <w:r w:rsidRPr="00487BF3">
              <w:rPr>
                <w:b/>
                <w:bCs/>
                <w:color w:val="000000"/>
                <w:sz w:val="21"/>
                <w:szCs w:val="21"/>
              </w:rPr>
              <w:t>0.003</w:t>
            </w:r>
          </w:p>
        </w:tc>
        <w:tc>
          <w:tcPr>
            <w:tcW w:w="1614" w:type="dxa"/>
            <w:tcBorders>
              <w:top w:val="nil"/>
              <w:left w:val="nil"/>
              <w:bottom w:val="nil"/>
              <w:right w:val="nil"/>
            </w:tcBorders>
            <w:shd w:val="clear" w:color="auto" w:fill="auto"/>
            <w:noWrap/>
            <w:vAlign w:val="bottom"/>
            <w:hideMark/>
          </w:tcPr>
          <w:p w14:paraId="72922AFA"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65B054F1" w14:textId="77777777" w:rsidTr="00487BF3">
        <w:trPr>
          <w:trHeight w:val="227"/>
        </w:trPr>
        <w:tc>
          <w:tcPr>
            <w:tcW w:w="2100" w:type="dxa"/>
            <w:tcBorders>
              <w:top w:val="nil"/>
              <w:left w:val="nil"/>
              <w:bottom w:val="nil"/>
              <w:right w:val="nil"/>
            </w:tcBorders>
            <w:shd w:val="clear" w:color="auto" w:fill="auto"/>
            <w:noWrap/>
            <w:vAlign w:val="bottom"/>
            <w:hideMark/>
          </w:tcPr>
          <w:p w14:paraId="2DD7ACAB"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4607F450" w14:textId="77777777" w:rsidR="0095697F" w:rsidRPr="00487BF3" w:rsidRDefault="0095697F" w:rsidP="00A47A7E">
            <w:pPr>
              <w:rPr>
                <w:color w:val="000000"/>
                <w:sz w:val="21"/>
                <w:szCs w:val="21"/>
              </w:rPr>
            </w:pPr>
            <w:r w:rsidRPr="00487BF3">
              <w:rPr>
                <w:color w:val="000000"/>
                <w:sz w:val="21"/>
                <w:szCs w:val="21"/>
              </w:rPr>
              <w:t>Construction costs Transmission</w:t>
            </w:r>
          </w:p>
        </w:tc>
        <w:tc>
          <w:tcPr>
            <w:tcW w:w="1788" w:type="dxa"/>
            <w:tcBorders>
              <w:top w:val="nil"/>
              <w:left w:val="nil"/>
              <w:bottom w:val="nil"/>
              <w:right w:val="nil"/>
            </w:tcBorders>
            <w:shd w:val="clear" w:color="auto" w:fill="auto"/>
            <w:noWrap/>
            <w:vAlign w:val="bottom"/>
            <w:hideMark/>
          </w:tcPr>
          <w:p w14:paraId="3A3472E3"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09282F6E"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65212474" w14:textId="77777777" w:rsidTr="00487BF3">
        <w:trPr>
          <w:trHeight w:val="227"/>
        </w:trPr>
        <w:tc>
          <w:tcPr>
            <w:tcW w:w="2100" w:type="dxa"/>
            <w:tcBorders>
              <w:top w:val="nil"/>
              <w:left w:val="nil"/>
              <w:bottom w:val="nil"/>
              <w:right w:val="nil"/>
            </w:tcBorders>
            <w:shd w:val="clear" w:color="auto" w:fill="auto"/>
            <w:noWrap/>
            <w:vAlign w:val="bottom"/>
            <w:hideMark/>
          </w:tcPr>
          <w:p w14:paraId="38B7946B"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75C591CD" w14:textId="77777777" w:rsidR="0095697F" w:rsidRPr="00487BF3" w:rsidRDefault="0095697F" w:rsidP="00A47A7E">
            <w:pPr>
              <w:rPr>
                <w:color w:val="000000"/>
                <w:sz w:val="21"/>
                <w:szCs w:val="21"/>
              </w:rPr>
            </w:pPr>
            <w:r w:rsidRPr="00487BF3">
              <w:rPr>
                <w:color w:val="000000"/>
                <w:sz w:val="21"/>
                <w:szCs w:val="21"/>
              </w:rPr>
              <w:t>Construction costs Power plant</w:t>
            </w:r>
          </w:p>
        </w:tc>
        <w:tc>
          <w:tcPr>
            <w:tcW w:w="1788" w:type="dxa"/>
            <w:tcBorders>
              <w:top w:val="nil"/>
              <w:left w:val="nil"/>
              <w:bottom w:val="nil"/>
              <w:right w:val="nil"/>
            </w:tcBorders>
            <w:shd w:val="clear" w:color="auto" w:fill="auto"/>
            <w:noWrap/>
            <w:vAlign w:val="bottom"/>
            <w:hideMark/>
          </w:tcPr>
          <w:p w14:paraId="377769DF"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7B256859"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3E602A2F" w14:textId="77777777" w:rsidTr="00487BF3">
        <w:trPr>
          <w:trHeight w:val="227"/>
        </w:trPr>
        <w:tc>
          <w:tcPr>
            <w:tcW w:w="2100" w:type="dxa"/>
            <w:tcBorders>
              <w:top w:val="nil"/>
              <w:left w:val="nil"/>
              <w:bottom w:val="single" w:sz="4" w:space="0" w:color="auto"/>
              <w:right w:val="nil"/>
            </w:tcBorders>
            <w:shd w:val="clear" w:color="auto" w:fill="auto"/>
            <w:noWrap/>
            <w:vAlign w:val="bottom"/>
            <w:hideMark/>
          </w:tcPr>
          <w:p w14:paraId="43805560" w14:textId="77777777" w:rsidR="0095697F" w:rsidRPr="00487BF3" w:rsidRDefault="0095697F" w:rsidP="00A47A7E">
            <w:pPr>
              <w:rPr>
                <w:color w:val="000000"/>
                <w:sz w:val="21"/>
                <w:szCs w:val="21"/>
              </w:rPr>
            </w:pPr>
            <w:r w:rsidRPr="00487BF3">
              <w:rPr>
                <w:color w:val="000000"/>
                <w:sz w:val="21"/>
                <w:szCs w:val="21"/>
              </w:rPr>
              <w:t> </w:t>
            </w:r>
          </w:p>
        </w:tc>
        <w:tc>
          <w:tcPr>
            <w:tcW w:w="3712" w:type="dxa"/>
            <w:tcBorders>
              <w:top w:val="nil"/>
              <w:left w:val="nil"/>
              <w:bottom w:val="single" w:sz="4" w:space="0" w:color="auto"/>
              <w:right w:val="nil"/>
            </w:tcBorders>
            <w:shd w:val="clear" w:color="auto" w:fill="auto"/>
            <w:noWrap/>
            <w:vAlign w:val="bottom"/>
            <w:hideMark/>
          </w:tcPr>
          <w:p w14:paraId="2D58188C" w14:textId="77777777" w:rsidR="0095697F" w:rsidRPr="00487BF3" w:rsidRDefault="0095697F" w:rsidP="00A47A7E">
            <w:pPr>
              <w:rPr>
                <w:b/>
                <w:bCs/>
                <w:color w:val="000000"/>
                <w:sz w:val="21"/>
                <w:szCs w:val="21"/>
              </w:rPr>
            </w:pPr>
            <w:r w:rsidRPr="00487BF3">
              <w:rPr>
                <w:b/>
                <w:bCs/>
                <w:color w:val="000000"/>
                <w:sz w:val="21"/>
                <w:szCs w:val="21"/>
              </w:rPr>
              <w:t>Ratio reconstruction/ construction costs</w:t>
            </w:r>
          </w:p>
        </w:tc>
        <w:tc>
          <w:tcPr>
            <w:tcW w:w="1788" w:type="dxa"/>
            <w:tcBorders>
              <w:top w:val="nil"/>
              <w:left w:val="nil"/>
              <w:bottom w:val="single" w:sz="4" w:space="0" w:color="auto"/>
              <w:right w:val="nil"/>
            </w:tcBorders>
            <w:shd w:val="clear" w:color="auto" w:fill="auto"/>
            <w:noWrap/>
            <w:vAlign w:val="bottom"/>
            <w:hideMark/>
          </w:tcPr>
          <w:p w14:paraId="27B27014" w14:textId="77777777" w:rsidR="0095697F" w:rsidRPr="00487BF3" w:rsidRDefault="0095697F" w:rsidP="00A47A7E">
            <w:pPr>
              <w:jc w:val="right"/>
              <w:rPr>
                <w:b/>
                <w:bCs/>
                <w:color w:val="000000"/>
                <w:sz w:val="21"/>
                <w:szCs w:val="21"/>
              </w:rPr>
            </w:pPr>
            <w:r w:rsidRPr="00487BF3">
              <w:rPr>
                <w:b/>
                <w:bCs/>
                <w:color w:val="000000"/>
                <w:sz w:val="21"/>
                <w:szCs w:val="21"/>
              </w:rPr>
              <w:t>0.002</w:t>
            </w:r>
          </w:p>
        </w:tc>
        <w:tc>
          <w:tcPr>
            <w:tcW w:w="1614" w:type="dxa"/>
            <w:tcBorders>
              <w:top w:val="nil"/>
              <w:left w:val="nil"/>
              <w:bottom w:val="single" w:sz="4" w:space="0" w:color="auto"/>
              <w:right w:val="nil"/>
            </w:tcBorders>
            <w:shd w:val="clear" w:color="auto" w:fill="auto"/>
            <w:noWrap/>
            <w:vAlign w:val="bottom"/>
            <w:hideMark/>
          </w:tcPr>
          <w:p w14:paraId="0382721B"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381CEC77" w14:textId="77777777" w:rsidTr="00487BF3">
        <w:trPr>
          <w:trHeight w:val="227"/>
        </w:trPr>
        <w:tc>
          <w:tcPr>
            <w:tcW w:w="2100" w:type="dxa"/>
            <w:tcBorders>
              <w:top w:val="nil"/>
              <w:left w:val="nil"/>
              <w:bottom w:val="nil"/>
              <w:right w:val="nil"/>
            </w:tcBorders>
            <w:shd w:val="clear" w:color="auto" w:fill="auto"/>
            <w:noWrap/>
            <w:vAlign w:val="bottom"/>
            <w:hideMark/>
          </w:tcPr>
          <w:p w14:paraId="0A3F25A5" w14:textId="77777777" w:rsidR="0095697F" w:rsidRPr="00487BF3" w:rsidRDefault="0095697F" w:rsidP="00A47A7E">
            <w:pPr>
              <w:rPr>
                <w:color w:val="000000"/>
                <w:sz w:val="21"/>
                <w:szCs w:val="21"/>
              </w:rPr>
            </w:pPr>
            <w:r w:rsidRPr="00487BF3">
              <w:rPr>
                <w:color w:val="000000"/>
                <w:sz w:val="21"/>
                <w:szCs w:val="21"/>
              </w:rPr>
              <w:t>Depth-damage curve</w:t>
            </w:r>
          </w:p>
        </w:tc>
        <w:tc>
          <w:tcPr>
            <w:tcW w:w="3712" w:type="dxa"/>
            <w:tcBorders>
              <w:top w:val="nil"/>
              <w:left w:val="nil"/>
              <w:bottom w:val="nil"/>
              <w:right w:val="nil"/>
            </w:tcBorders>
            <w:shd w:val="clear" w:color="auto" w:fill="auto"/>
            <w:noWrap/>
            <w:vAlign w:val="bottom"/>
            <w:hideMark/>
          </w:tcPr>
          <w:p w14:paraId="3393D2E1" w14:textId="77777777" w:rsidR="0095697F" w:rsidRPr="00487BF3" w:rsidRDefault="0095697F" w:rsidP="00A47A7E">
            <w:pPr>
              <w:rPr>
                <w:b/>
                <w:bCs/>
                <w:color w:val="000000"/>
                <w:sz w:val="21"/>
                <w:szCs w:val="21"/>
              </w:rPr>
            </w:pPr>
            <w:r w:rsidRPr="00487BF3">
              <w:rPr>
                <w:b/>
                <w:bCs/>
                <w:color w:val="000000"/>
                <w:sz w:val="21"/>
                <w:szCs w:val="21"/>
              </w:rPr>
              <w:t>Uncertainty fragility flood</w:t>
            </w:r>
          </w:p>
        </w:tc>
        <w:tc>
          <w:tcPr>
            <w:tcW w:w="1788" w:type="dxa"/>
            <w:tcBorders>
              <w:top w:val="nil"/>
              <w:left w:val="nil"/>
              <w:bottom w:val="nil"/>
              <w:right w:val="nil"/>
            </w:tcBorders>
            <w:shd w:val="clear" w:color="auto" w:fill="auto"/>
            <w:noWrap/>
            <w:vAlign w:val="bottom"/>
            <w:hideMark/>
          </w:tcPr>
          <w:p w14:paraId="490DD475" w14:textId="77777777" w:rsidR="0095697F" w:rsidRPr="00487BF3" w:rsidRDefault="0095697F" w:rsidP="00A47A7E">
            <w:pPr>
              <w:jc w:val="right"/>
              <w:rPr>
                <w:b/>
                <w:bCs/>
                <w:color w:val="000000"/>
                <w:sz w:val="21"/>
                <w:szCs w:val="21"/>
              </w:rPr>
            </w:pPr>
            <w:r w:rsidRPr="00487BF3">
              <w:rPr>
                <w:b/>
                <w:bCs/>
                <w:color w:val="000000"/>
                <w:sz w:val="21"/>
                <w:szCs w:val="21"/>
              </w:rPr>
              <w:t>0.060</w:t>
            </w:r>
          </w:p>
        </w:tc>
        <w:tc>
          <w:tcPr>
            <w:tcW w:w="1614" w:type="dxa"/>
            <w:tcBorders>
              <w:top w:val="nil"/>
              <w:left w:val="nil"/>
              <w:bottom w:val="nil"/>
              <w:right w:val="nil"/>
            </w:tcBorders>
            <w:shd w:val="clear" w:color="auto" w:fill="auto"/>
            <w:noWrap/>
            <w:vAlign w:val="bottom"/>
            <w:hideMark/>
          </w:tcPr>
          <w:p w14:paraId="329C7AB9" w14:textId="77777777" w:rsidR="0095697F" w:rsidRPr="00487BF3" w:rsidRDefault="0095697F" w:rsidP="00A47A7E">
            <w:pPr>
              <w:jc w:val="right"/>
              <w:rPr>
                <w:b/>
                <w:bCs/>
                <w:color w:val="000000"/>
                <w:sz w:val="21"/>
                <w:szCs w:val="21"/>
              </w:rPr>
            </w:pPr>
            <w:r w:rsidRPr="00487BF3">
              <w:rPr>
                <w:b/>
                <w:bCs/>
                <w:color w:val="000000"/>
                <w:sz w:val="21"/>
                <w:szCs w:val="21"/>
              </w:rPr>
              <w:t>0.016</w:t>
            </w:r>
          </w:p>
        </w:tc>
      </w:tr>
      <w:tr w:rsidR="0095697F" w:rsidRPr="00487BF3" w14:paraId="420790B9" w14:textId="77777777" w:rsidTr="00487BF3">
        <w:trPr>
          <w:trHeight w:val="227"/>
        </w:trPr>
        <w:tc>
          <w:tcPr>
            <w:tcW w:w="2100" w:type="dxa"/>
            <w:tcBorders>
              <w:top w:val="nil"/>
              <w:left w:val="nil"/>
              <w:bottom w:val="nil"/>
              <w:right w:val="nil"/>
            </w:tcBorders>
            <w:shd w:val="clear" w:color="auto" w:fill="auto"/>
            <w:noWrap/>
            <w:vAlign w:val="bottom"/>
            <w:hideMark/>
          </w:tcPr>
          <w:p w14:paraId="48A8623A" w14:textId="77777777" w:rsidR="0095697F" w:rsidRPr="00487BF3" w:rsidRDefault="0095697F" w:rsidP="00A47A7E">
            <w:pPr>
              <w:jc w:val="right"/>
              <w:rPr>
                <w:b/>
                <w:bCs/>
                <w:color w:val="000000"/>
                <w:sz w:val="21"/>
                <w:szCs w:val="21"/>
              </w:rPr>
            </w:pPr>
          </w:p>
        </w:tc>
        <w:tc>
          <w:tcPr>
            <w:tcW w:w="3712" w:type="dxa"/>
            <w:tcBorders>
              <w:top w:val="nil"/>
              <w:left w:val="nil"/>
              <w:bottom w:val="nil"/>
              <w:right w:val="nil"/>
            </w:tcBorders>
            <w:shd w:val="clear" w:color="auto" w:fill="auto"/>
            <w:noWrap/>
            <w:vAlign w:val="bottom"/>
            <w:hideMark/>
          </w:tcPr>
          <w:p w14:paraId="7ECD3278" w14:textId="77777777" w:rsidR="0095697F" w:rsidRPr="00487BF3" w:rsidRDefault="0095697F" w:rsidP="00A47A7E">
            <w:pPr>
              <w:rPr>
                <w:b/>
                <w:bCs/>
                <w:color w:val="000000"/>
                <w:sz w:val="21"/>
                <w:szCs w:val="21"/>
              </w:rPr>
            </w:pPr>
            <w:r w:rsidRPr="00487BF3">
              <w:rPr>
                <w:b/>
                <w:bCs/>
                <w:color w:val="000000"/>
                <w:sz w:val="21"/>
                <w:szCs w:val="21"/>
              </w:rPr>
              <w:t>Uncertainty fragility cyclone</w:t>
            </w:r>
          </w:p>
        </w:tc>
        <w:tc>
          <w:tcPr>
            <w:tcW w:w="1788" w:type="dxa"/>
            <w:tcBorders>
              <w:top w:val="nil"/>
              <w:left w:val="nil"/>
              <w:bottom w:val="nil"/>
              <w:right w:val="nil"/>
            </w:tcBorders>
            <w:shd w:val="clear" w:color="auto" w:fill="auto"/>
            <w:noWrap/>
            <w:vAlign w:val="bottom"/>
            <w:hideMark/>
          </w:tcPr>
          <w:p w14:paraId="211618E9" w14:textId="77777777" w:rsidR="0095697F" w:rsidRPr="00487BF3" w:rsidRDefault="0095697F" w:rsidP="00A47A7E">
            <w:pPr>
              <w:jc w:val="right"/>
              <w:rPr>
                <w:b/>
                <w:bCs/>
                <w:color w:val="000000"/>
                <w:sz w:val="21"/>
                <w:szCs w:val="21"/>
              </w:rPr>
            </w:pPr>
            <w:r w:rsidRPr="00487BF3">
              <w:rPr>
                <w:b/>
                <w:bCs/>
                <w:color w:val="000000"/>
                <w:sz w:val="21"/>
                <w:szCs w:val="21"/>
              </w:rPr>
              <w:t>0.929</w:t>
            </w:r>
          </w:p>
        </w:tc>
        <w:tc>
          <w:tcPr>
            <w:tcW w:w="1614" w:type="dxa"/>
            <w:tcBorders>
              <w:top w:val="nil"/>
              <w:left w:val="nil"/>
              <w:bottom w:val="nil"/>
              <w:right w:val="nil"/>
            </w:tcBorders>
            <w:shd w:val="clear" w:color="auto" w:fill="auto"/>
            <w:noWrap/>
            <w:vAlign w:val="bottom"/>
            <w:hideMark/>
          </w:tcPr>
          <w:p w14:paraId="67C66B19" w14:textId="77777777" w:rsidR="0095697F" w:rsidRPr="00487BF3" w:rsidRDefault="0095697F" w:rsidP="00A47A7E">
            <w:pPr>
              <w:jc w:val="right"/>
              <w:rPr>
                <w:b/>
                <w:bCs/>
                <w:color w:val="000000"/>
                <w:sz w:val="21"/>
                <w:szCs w:val="21"/>
              </w:rPr>
            </w:pPr>
            <w:r w:rsidRPr="00487BF3">
              <w:rPr>
                <w:b/>
                <w:bCs/>
                <w:color w:val="000000"/>
                <w:sz w:val="21"/>
                <w:szCs w:val="21"/>
              </w:rPr>
              <w:t>0.772</w:t>
            </w:r>
          </w:p>
        </w:tc>
      </w:tr>
      <w:tr w:rsidR="0095697F" w:rsidRPr="00487BF3" w14:paraId="04F7CC86" w14:textId="77777777" w:rsidTr="00487BF3">
        <w:trPr>
          <w:trHeight w:val="227"/>
        </w:trPr>
        <w:tc>
          <w:tcPr>
            <w:tcW w:w="2100" w:type="dxa"/>
            <w:tcBorders>
              <w:top w:val="nil"/>
              <w:left w:val="nil"/>
              <w:bottom w:val="single" w:sz="4" w:space="0" w:color="auto"/>
              <w:right w:val="nil"/>
            </w:tcBorders>
            <w:shd w:val="clear" w:color="auto" w:fill="auto"/>
            <w:noWrap/>
            <w:vAlign w:val="bottom"/>
            <w:hideMark/>
          </w:tcPr>
          <w:p w14:paraId="3747DF9A" w14:textId="77777777" w:rsidR="0095697F" w:rsidRPr="00487BF3" w:rsidRDefault="0095697F" w:rsidP="00A47A7E">
            <w:pPr>
              <w:rPr>
                <w:color w:val="000000"/>
                <w:sz w:val="21"/>
                <w:szCs w:val="21"/>
              </w:rPr>
            </w:pPr>
            <w:r w:rsidRPr="00487BF3">
              <w:rPr>
                <w:color w:val="000000"/>
                <w:sz w:val="21"/>
                <w:szCs w:val="21"/>
              </w:rPr>
              <w:t> </w:t>
            </w:r>
          </w:p>
        </w:tc>
        <w:tc>
          <w:tcPr>
            <w:tcW w:w="3712" w:type="dxa"/>
            <w:tcBorders>
              <w:top w:val="nil"/>
              <w:left w:val="nil"/>
              <w:bottom w:val="single" w:sz="4" w:space="0" w:color="auto"/>
              <w:right w:val="nil"/>
            </w:tcBorders>
            <w:shd w:val="clear" w:color="auto" w:fill="auto"/>
            <w:noWrap/>
            <w:vAlign w:val="bottom"/>
            <w:hideMark/>
          </w:tcPr>
          <w:p w14:paraId="5B59DAFB" w14:textId="77777777" w:rsidR="0095697F" w:rsidRPr="00487BF3" w:rsidRDefault="0095697F" w:rsidP="00A47A7E">
            <w:pPr>
              <w:rPr>
                <w:b/>
                <w:bCs/>
                <w:color w:val="000000"/>
                <w:sz w:val="21"/>
                <w:szCs w:val="21"/>
              </w:rPr>
            </w:pPr>
            <w:r w:rsidRPr="00487BF3">
              <w:rPr>
                <w:b/>
                <w:bCs/>
                <w:color w:val="000000"/>
                <w:sz w:val="21"/>
                <w:szCs w:val="21"/>
              </w:rPr>
              <w:t>Uncertainty fragility earthquake</w:t>
            </w:r>
          </w:p>
        </w:tc>
        <w:tc>
          <w:tcPr>
            <w:tcW w:w="1788" w:type="dxa"/>
            <w:tcBorders>
              <w:top w:val="nil"/>
              <w:left w:val="nil"/>
              <w:bottom w:val="single" w:sz="4" w:space="0" w:color="auto"/>
              <w:right w:val="nil"/>
            </w:tcBorders>
            <w:shd w:val="clear" w:color="auto" w:fill="auto"/>
            <w:noWrap/>
            <w:vAlign w:val="bottom"/>
            <w:hideMark/>
          </w:tcPr>
          <w:p w14:paraId="2132A654" w14:textId="77777777" w:rsidR="0095697F" w:rsidRPr="00487BF3" w:rsidRDefault="0095697F" w:rsidP="00A47A7E">
            <w:pPr>
              <w:jc w:val="right"/>
              <w:rPr>
                <w:b/>
                <w:bCs/>
                <w:color w:val="000000"/>
                <w:sz w:val="21"/>
                <w:szCs w:val="21"/>
              </w:rPr>
            </w:pPr>
            <w:r w:rsidRPr="00487BF3">
              <w:rPr>
                <w:b/>
                <w:bCs/>
                <w:color w:val="000000"/>
                <w:sz w:val="21"/>
                <w:szCs w:val="21"/>
              </w:rPr>
              <w:t>0.006</w:t>
            </w:r>
          </w:p>
        </w:tc>
        <w:tc>
          <w:tcPr>
            <w:tcW w:w="1614" w:type="dxa"/>
            <w:tcBorders>
              <w:top w:val="nil"/>
              <w:left w:val="nil"/>
              <w:bottom w:val="single" w:sz="4" w:space="0" w:color="auto"/>
              <w:right w:val="nil"/>
            </w:tcBorders>
            <w:shd w:val="clear" w:color="auto" w:fill="auto"/>
            <w:noWrap/>
            <w:vAlign w:val="bottom"/>
            <w:hideMark/>
          </w:tcPr>
          <w:p w14:paraId="2F23A182" w14:textId="77777777" w:rsidR="0095697F" w:rsidRPr="00487BF3" w:rsidRDefault="0095697F" w:rsidP="00A47A7E">
            <w:pPr>
              <w:jc w:val="right"/>
              <w:rPr>
                <w:b/>
                <w:bCs/>
                <w:color w:val="000000"/>
                <w:sz w:val="21"/>
                <w:szCs w:val="21"/>
              </w:rPr>
            </w:pPr>
            <w:r w:rsidRPr="00487BF3">
              <w:rPr>
                <w:b/>
                <w:bCs/>
                <w:color w:val="000000"/>
                <w:sz w:val="21"/>
                <w:szCs w:val="21"/>
              </w:rPr>
              <w:t>0.002</w:t>
            </w:r>
          </w:p>
        </w:tc>
      </w:tr>
      <w:tr w:rsidR="0095697F" w:rsidRPr="00487BF3" w14:paraId="200C93AB" w14:textId="77777777" w:rsidTr="00487BF3">
        <w:trPr>
          <w:trHeight w:val="227"/>
        </w:trPr>
        <w:tc>
          <w:tcPr>
            <w:tcW w:w="2100" w:type="dxa"/>
            <w:tcBorders>
              <w:top w:val="nil"/>
              <w:left w:val="nil"/>
              <w:bottom w:val="nil"/>
              <w:right w:val="nil"/>
            </w:tcBorders>
            <w:shd w:val="clear" w:color="auto" w:fill="auto"/>
            <w:noWrap/>
            <w:vAlign w:val="bottom"/>
            <w:hideMark/>
          </w:tcPr>
          <w:p w14:paraId="316DF16B" w14:textId="77777777" w:rsidR="0095697F" w:rsidRPr="00487BF3" w:rsidRDefault="0095697F" w:rsidP="00A47A7E">
            <w:pPr>
              <w:rPr>
                <w:color w:val="000000"/>
                <w:sz w:val="21"/>
                <w:szCs w:val="21"/>
              </w:rPr>
            </w:pPr>
            <w:r w:rsidRPr="00487BF3">
              <w:rPr>
                <w:color w:val="000000"/>
                <w:sz w:val="21"/>
                <w:szCs w:val="21"/>
              </w:rPr>
              <w:t>Recovery</w:t>
            </w:r>
          </w:p>
        </w:tc>
        <w:tc>
          <w:tcPr>
            <w:tcW w:w="3712" w:type="dxa"/>
            <w:tcBorders>
              <w:top w:val="nil"/>
              <w:left w:val="nil"/>
              <w:bottom w:val="nil"/>
              <w:right w:val="nil"/>
            </w:tcBorders>
            <w:shd w:val="clear" w:color="auto" w:fill="auto"/>
            <w:noWrap/>
            <w:vAlign w:val="bottom"/>
            <w:hideMark/>
          </w:tcPr>
          <w:p w14:paraId="61D36D50" w14:textId="77777777" w:rsidR="0095697F" w:rsidRPr="00487BF3" w:rsidRDefault="0095697F" w:rsidP="00A47A7E">
            <w:pPr>
              <w:rPr>
                <w:b/>
                <w:bCs/>
                <w:color w:val="000000"/>
                <w:sz w:val="21"/>
                <w:szCs w:val="21"/>
              </w:rPr>
            </w:pPr>
            <w:r w:rsidRPr="00487BF3">
              <w:rPr>
                <w:b/>
                <w:bCs/>
                <w:color w:val="000000"/>
                <w:sz w:val="21"/>
                <w:szCs w:val="21"/>
              </w:rPr>
              <w:t>Recovery duration flooding</w:t>
            </w:r>
          </w:p>
        </w:tc>
        <w:tc>
          <w:tcPr>
            <w:tcW w:w="1788" w:type="dxa"/>
            <w:tcBorders>
              <w:top w:val="nil"/>
              <w:left w:val="nil"/>
              <w:bottom w:val="nil"/>
              <w:right w:val="nil"/>
            </w:tcBorders>
            <w:shd w:val="clear" w:color="auto" w:fill="auto"/>
            <w:noWrap/>
            <w:vAlign w:val="bottom"/>
            <w:hideMark/>
          </w:tcPr>
          <w:p w14:paraId="07156EEE"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5C4D6445" w14:textId="77777777" w:rsidR="0095697F" w:rsidRPr="00487BF3" w:rsidRDefault="0095697F" w:rsidP="00A47A7E">
            <w:pPr>
              <w:jc w:val="right"/>
              <w:rPr>
                <w:b/>
                <w:bCs/>
                <w:color w:val="000000"/>
                <w:sz w:val="21"/>
                <w:szCs w:val="21"/>
              </w:rPr>
            </w:pPr>
            <w:r w:rsidRPr="00487BF3">
              <w:rPr>
                <w:b/>
                <w:bCs/>
                <w:color w:val="000000"/>
                <w:sz w:val="21"/>
                <w:szCs w:val="21"/>
              </w:rPr>
              <w:t>0.022</w:t>
            </w:r>
          </w:p>
        </w:tc>
      </w:tr>
      <w:tr w:rsidR="0095697F" w:rsidRPr="00487BF3" w14:paraId="2EEEDC5B" w14:textId="77777777" w:rsidTr="00487BF3">
        <w:trPr>
          <w:trHeight w:val="227"/>
        </w:trPr>
        <w:tc>
          <w:tcPr>
            <w:tcW w:w="2100" w:type="dxa"/>
            <w:tcBorders>
              <w:top w:val="nil"/>
              <w:left w:val="nil"/>
              <w:bottom w:val="nil"/>
              <w:right w:val="nil"/>
            </w:tcBorders>
            <w:shd w:val="clear" w:color="auto" w:fill="auto"/>
            <w:noWrap/>
            <w:vAlign w:val="bottom"/>
            <w:hideMark/>
          </w:tcPr>
          <w:p w14:paraId="1D89D07A" w14:textId="77777777" w:rsidR="0095697F" w:rsidRPr="00487BF3" w:rsidRDefault="0095697F" w:rsidP="00A47A7E">
            <w:pPr>
              <w:jc w:val="right"/>
              <w:rPr>
                <w:b/>
                <w:bCs/>
                <w:color w:val="000000"/>
                <w:sz w:val="21"/>
                <w:szCs w:val="21"/>
              </w:rPr>
            </w:pPr>
          </w:p>
        </w:tc>
        <w:tc>
          <w:tcPr>
            <w:tcW w:w="3712" w:type="dxa"/>
            <w:tcBorders>
              <w:top w:val="nil"/>
              <w:left w:val="nil"/>
              <w:bottom w:val="nil"/>
              <w:right w:val="nil"/>
            </w:tcBorders>
            <w:shd w:val="clear" w:color="auto" w:fill="auto"/>
            <w:noWrap/>
            <w:vAlign w:val="bottom"/>
            <w:hideMark/>
          </w:tcPr>
          <w:p w14:paraId="4B0FAB7E" w14:textId="77777777" w:rsidR="0095697F" w:rsidRPr="00487BF3" w:rsidRDefault="0095697F" w:rsidP="00A47A7E">
            <w:pPr>
              <w:rPr>
                <w:b/>
                <w:bCs/>
                <w:color w:val="000000"/>
                <w:sz w:val="21"/>
                <w:szCs w:val="21"/>
              </w:rPr>
            </w:pPr>
            <w:r w:rsidRPr="00487BF3">
              <w:rPr>
                <w:b/>
                <w:bCs/>
                <w:color w:val="000000"/>
                <w:sz w:val="21"/>
                <w:szCs w:val="21"/>
              </w:rPr>
              <w:t>Recovery duration cyclone</w:t>
            </w:r>
          </w:p>
        </w:tc>
        <w:tc>
          <w:tcPr>
            <w:tcW w:w="1788" w:type="dxa"/>
            <w:tcBorders>
              <w:top w:val="nil"/>
              <w:left w:val="nil"/>
              <w:bottom w:val="nil"/>
              <w:right w:val="nil"/>
            </w:tcBorders>
            <w:shd w:val="clear" w:color="auto" w:fill="auto"/>
            <w:noWrap/>
            <w:vAlign w:val="bottom"/>
            <w:hideMark/>
          </w:tcPr>
          <w:p w14:paraId="3332CC14" w14:textId="77777777" w:rsidR="0095697F" w:rsidRPr="00487BF3" w:rsidRDefault="0095697F" w:rsidP="00A47A7E">
            <w:pPr>
              <w:jc w:val="right"/>
              <w:rPr>
                <w:b/>
                <w:bCs/>
                <w:color w:val="000000"/>
                <w:sz w:val="21"/>
                <w:szCs w:val="21"/>
              </w:rPr>
            </w:pPr>
            <w:r w:rsidRPr="00487BF3">
              <w:rPr>
                <w:b/>
                <w:bCs/>
                <w:color w:val="000000"/>
                <w:sz w:val="21"/>
                <w:szCs w:val="21"/>
              </w:rPr>
              <w:t>0.010</w:t>
            </w:r>
          </w:p>
        </w:tc>
        <w:tc>
          <w:tcPr>
            <w:tcW w:w="1614" w:type="dxa"/>
            <w:tcBorders>
              <w:top w:val="nil"/>
              <w:left w:val="nil"/>
              <w:bottom w:val="nil"/>
              <w:right w:val="nil"/>
            </w:tcBorders>
            <w:shd w:val="clear" w:color="auto" w:fill="auto"/>
            <w:noWrap/>
            <w:vAlign w:val="bottom"/>
            <w:hideMark/>
          </w:tcPr>
          <w:p w14:paraId="3ECBE3CC" w14:textId="77777777" w:rsidR="0095697F" w:rsidRPr="00487BF3" w:rsidRDefault="0095697F" w:rsidP="00A47A7E">
            <w:pPr>
              <w:jc w:val="right"/>
              <w:rPr>
                <w:b/>
                <w:bCs/>
                <w:color w:val="000000"/>
                <w:sz w:val="21"/>
                <w:szCs w:val="21"/>
              </w:rPr>
            </w:pPr>
            <w:r w:rsidRPr="00487BF3">
              <w:rPr>
                <w:b/>
                <w:bCs/>
                <w:color w:val="000000"/>
                <w:sz w:val="21"/>
                <w:szCs w:val="21"/>
              </w:rPr>
              <w:t>0.027</w:t>
            </w:r>
          </w:p>
        </w:tc>
      </w:tr>
      <w:tr w:rsidR="0095697F" w:rsidRPr="00487BF3" w14:paraId="50318434" w14:textId="77777777" w:rsidTr="00487BF3">
        <w:trPr>
          <w:trHeight w:val="227"/>
        </w:trPr>
        <w:tc>
          <w:tcPr>
            <w:tcW w:w="2100" w:type="dxa"/>
            <w:tcBorders>
              <w:top w:val="nil"/>
              <w:left w:val="nil"/>
              <w:bottom w:val="nil"/>
              <w:right w:val="nil"/>
            </w:tcBorders>
            <w:shd w:val="clear" w:color="auto" w:fill="auto"/>
            <w:noWrap/>
            <w:vAlign w:val="bottom"/>
            <w:hideMark/>
          </w:tcPr>
          <w:p w14:paraId="1C886155" w14:textId="77777777" w:rsidR="0095697F" w:rsidRPr="00487BF3" w:rsidRDefault="0095697F" w:rsidP="00A47A7E">
            <w:pPr>
              <w:jc w:val="right"/>
              <w:rPr>
                <w:b/>
                <w:bCs/>
                <w:color w:val="000000"/>
                <w:sz w:val="21"/>
                <w:szCs w:val="21"/>
              </w:rPr>
            </w:pPr>
          </w:p>
        </w:tc>
        <w:tc>
          <w:tcPr>
            <w:tcW w:w="3712" w:type="dxa"/>
            <w:tcBorders>
              <w:top w:val="nil"/>
              <w:left w:val="nil"/>
              <w:bottom w:val="nil"/>
              <w:right w:val="nil"/>
            </w:tcBorders>
            <w:shd w:val="clear" w:color="auto" w:fill="auto"/>
            <w:noWrap/>
            <w:vAlign w:val="bottom"/>
            <w:hideMark/>
          </w:tcPr>
          <w:p w14:paraId="370ABE4A" w14:textId="77777777" w:rsidR="0095697F" w:rsidRPr="00487BF3" w:rsidRDefault="0095697F" w:rsidP="00A47A7E">
            <w:pPr>
              <w:rPr>
                <w:color w:val="000000"/>
                <w:sz w:val="21"/>
                <w:szCs w:val="21"/>
              </w:rPr>
            </w:pPr>
            <w:r w:rsidRPr="00487BF3">
              <w:rPr>
                <w:color w:val="000000"/>
                <w:sz w:val="21"/>
                <w:szCs w:val="21"/>
              </w:rPr>
              <w:t>Recovery duration earthquake</w:t>
            </w:r>
          </w:p>
        </w:tc>
        <w:tc>
          <w:tcPr>
            <w:tcW w:w="1788" w:type="dxa"/>
            <w:tcBorders>
              <w:top w:val="nil"/>
              <w:left w:val="nil"/>
              <w:bottom w:val="nil"/>
              <w:right w:val="nil"/>
            </w:tcBorders>
            <w:shd w:val="clear" w:color="auto" w:fill="auto"/>
            <w:noWrap/>
            <w:vAlign w:val="bottom"/>
            <w:hideMark/>
          </w:tcPr>
          <w:p w14:paraId="3232F081"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6741539C"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59AC880A" w14:textId="77777777" w:rsidTr="00487BF3">
        <w:trPr>
          <w:trHeight w:val="227"/>
        </w:trPr>
        <w:tc>
          <w:tcPr>
            <w:tcW w:w="2100" w:type="dxa"/>
            <w:tcBorders>
              <w:top w:val="nil"/>
              <w:left w:val="nil"/>
              <w:bottom w:val="nil"/>
              <w:right w:val="nil"/>
            </w:tcBorders>
            <w:shd w:val="clear" w:color="auto" w:fill="auto"/>
            <w:noWrap/>
            <w:vAlign w:val="bottom"/>
            <w:hideMark/>
          </w:tcPr>
          <w:p w14:paraId="16A99463"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02AE571C" w14:textId="77777777" w:rsidR="0095697F" w:rsidRPr="00487BF3" w:rsidRDefault="0095697F" w:rsidP="00A47A7E">
            <w:pPr>
              <w:rPr>
                <w:sz w:val="21"/>
                <w:szCs w:val="21"/>
              </w:rPr>
            </w:pPr>
          </w:p>
        </w:tc>
        <w:tc>
          <w:tcPr>
            <w:tcW w:w="1788" w:type="dxa"/>
            <w:tcBorders>
              <w:top w:val="nil"/>
              <w:left w:val="nil"/>
              <w:bottom w:val="nil"/>
              <w:right w:val="nil"/>
            </w:tcBorders>
            <w:shd w:val="clear" w:color="auto" w:fill="auto"/>
            <w:noWrap/>
            <w:vAlign w:val="bottom"/>
            <w:hideMark/>
          </w:tcPr>
          <w:p w14:paraId="75508909" w14:textId="77777777" w:rsidR="0095697F" w:rsidRPr="00487BF3" w:rsidRDefault="0095697F" w:rsidP="00A47A7E">
            <w:pPr>
              <w:rPr>
                <w:sz w:val="21"/>
                <w:szCs w:val="21"/>
              </w:rPr>
            </w:pPr>
          </w:p>
        </w:tc>
        <w:tc>
          <w:tcPr>
            <w:tcW w:w="1614" w:type="dxa"/>
            <w:tcBorders>
              <w:top w:val="nil"/>
              <w:left w:val="nil"/>
              <w:bottom w:val="nil"/>
              <w:right w:val="nil"/>
            </w:tcBorders>
            <w:shd w:val="clear" w:color="auto" w:fill="auto"/>
            <w:noWrap/>
            <w:vAlign w:val="bottom"/>
            <w:hideMark/>
          </w:tcPr>
          <w:p w14:paraId="2DA6237F" w14:textId="77777777" w:rsidR="0095697F" w:rsidRPr="00487BF3" w:rsidRDefault="0095697F" w:rsidP="00A47A7E">
            <w:pPr>
              <w:rPr>
                <w:sz w:val="21"/>
                <w:szCs w:val="21"/>
              </w:rPr>
            </w:pPr>
          </w:p>
        </w:tc>
      </w:tr>
      <w:tr w:rsidR="0095697F" w:rsidRPr="00487BF3" w14:paraId="2C221B99" w14:textId="77777777" w:rsidTr="00487BF3">
        <w:trPr>
          <w:trHeight w:val="227"/>
        </w:trPr>
        <w:tc>
          <w:tcPr>
            <w:tcW w:w="2100" w:type="dxa"/>
            <w:tcBorders>
              <w:top w:val="nil"/>
              <w:left w:val="nil"/>
              <w:bottom w:val="nil"/>
              <w:right w:val="nil"/>
            </w:tcBorders>
            <w:shd w:val="clear" w:color="auto" w:fill="auto"/>
            <w:noWrap/>
            <w:vAlign w:val="bottom"/>
            <w:hideMark/>
          </w:tcPr>
          <w:p w14:paraId="4AEBDDB8" w14:textId="77777777" w:rsidR="0095697F" w:rsidRPr="00487BF3" w:rsidRDefault="0095697F" w:rsidP="00A47A7E">
            <w:pPr>
              <w:rPr>
                <w:sz w:val="21"/>
                <w:szCs w:val="21"/>
              </w:rPr>
            </w:pPr>
          </w:p>
        </w:tc>
        <w:tc>
          <w:tcPr>
            <w:tcW w:w="3712" w:type="dxa"/>
            <w:tcBorders>
              <w:top w:val="nil"/>
              <w:left w:val="nil"/>
              <w:bottom w:val="nil"/>
              <w:right w:val="nil"/>
            </w:tcBorders>
            <w:shd w:val="clear" w:color="auto" w:fill="auto"/>
            <w:noWrap/>
            <w:vAlign w:val="bottom"/>
            <w:hideMark/>
          </w:tcPr>
          <w:p w14:paraId="55A5BFDF" w14:textId="77777777" w:rsidR="0095697F" w:rsidRPr="00487BF3" w:rsidRDefault="0095697F" w:rsidP="00A47A7E">
            <w:pPr>
              <w:rPr>
                <w:color w:val="000000"/>
                <w:sz w:val="21"/>
                <w:szCs w:val="21"/>
              </w:rPr>
            </w:pPr>
            <w:r w:rsidRPr="00487BF3">
              <w:rPr>
                <w:color w:val="000000"/>
                <w:sz w:val="21"/>
                <w:szCs w:val="21"/>
              </w:rPr>
              <w:t>Maximum recovery port flooding</w:t>
            </w:r>
          </w:p>
        </w:tc>
        <w:tc>
          <w:tcPr>
            <w:tcW w:w="1788" w:type="dxa"/>
            <w:tcBorders>
              <w:top w:val="nil"/>
              <w:left w:val="nil"/>
              <w:bottom w:val="nil"/>
              <w:right w:val="nil"/>
            </w:tcBorders>
            <w:shd w:val="clear" w:color="auto" w:fill="auto"/>
            <w:noWrap/>
            <w:vAlign w:val="bottom"/>
            <w:hideMark/>
          </w:tcPr>
          <w:p w14:paraId="52BEBAA8"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7A0BA767"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68BEC3FC" w14:textId="77777777" w:rsidTr="00487BF3">
        <w:trPr>
          <w:trHeight w:val="227"/>
        </w:trPr>
        <w:tc>
          <w:tcPr>
            <w:tcW w:w="2100" w:type="dxa"/>
            <w:tcBorders>
              <w:top w:val="nil"/>
              <w:left w:val="nil"/>
              <w:bottom w:val="nil"/>
              <w:right w:val="nil"/>
            </w:tcBorders>
            <w:shd w:val="clear" w:color="auto" w:fill="auto"/>
            <w:noWrap/>
            <w:vAlign w:val="bottom"/>
            <w:hideMark/>
          </w:tcPr>
          <w:p w14:paraId="338975C1"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3B77374B" w14:textId="77777777" w:rsidR="0095697F" w:rsidRPr="00487BF3" w:rsidRDefault="0095697F" w:rsidP="00A47A7E">
            <w:pPr>
              <w:rPr>
                <w:color w:val="000000"/>
                <w:sz w:val="21"/>
                <w:szCs w:val="21"/>
              </w:rPr>
            </w:pPr>
            <w:r w:rsidRPr="00487BF3">
              <w:rPr>
                <w:color w:val="000000"/>
                <w:sz w:val="21"/>
                <w:szCs w:val="21"/>
              </w:rPr>
              <w:t>Maximum recovery road flooding</w:t>
            </w:r>
          </w:p>
        </w:tc>
        <w:tc>
          <w:tcPr>
            <w:tcW w:w="1788" w:type="dxa"/>
            <w:tcBorders>
              <w:top w:val="nil"/>
              <w:left w:val="nil"/>
              <w:bottom w:val="nil"/>
              <w:right w:val="nil"/>
            </w:tcBorders>
            <w:shd w:val="clear" w:color="auto" w:fill="auto"/>
            <w:noWrap/>
            <w:vAlign w:val="bottom"/>
            <w:hideMark/>
          </w:tcPr>
          <w:p w14:paraId="67910B57"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426CF34E"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392F1206" w14:textId="77777777" w:rsidTr="00487BF3">
        <w:trPr>
          <w:trHeight w:val="227"/>
        </w:trPr>
        <w:tc>
          <w:tcPr>
            <w:tcW w:w="2100" w:type="dxa"/>
            <w:tcBorders>
              <w:top w:val="nil"/>
              <w:left w:val="nil"/>
              <w:bottom w:val="nil"/>
              <w:right w:val="nil"/>
            </w:tcBorders>
            <w:shd w:val="clear" w:color="auto" w:fill="auto"/>
            <w:noWrap/>
            <w:vAlign w:val="bottom"/>
            <w:hideMark/>
          </w:tcPr>
          <w:p w14:paraId="797193C7"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153F3574" w14:textId="77777777" w:rsidR="0095697F" w:rsidRPr="00487BF3" w:rsidRDefault="0095697F" w:rsidP="00A47A7E">
            <w:pPr>
              <w:rPr>
                <w:color w:val="000000"/>
                <w:sz w:val="21"/>
                <w:szCs w:val="21"/>
              </w:rPr>
            </w:pPr>
            <w:r w:rsidRPr="00487BF3">
              <w:rPr>
                <w:color w:val="000000"/>
                <w:sz w:val="21"/>
                <w:szCs w:val="21"/>
              </w:rPr>
              <w:t>Maximum recovery rail flooding</w:t>
            </w:r>
          </w:p>
        </w:tc>
        <w:tc>
          <w:tcPr>
            <w:tcW w:w="1788" w:type="dxa"/>
            <w:tcBorders>
              <w:top w:val="nil"/>
              <w:left w:val="nil"/>
              <w:bottom w:val="nil"/>
              <w:right w:val="nil"/>
            </w:tcBorders>
            <w:shd w:val="clear" w:color="auto" w:fill="auto"/>
            <w:noWrap/>
            <w:vAlign w:val="bottom"/>
            <w:hideMark/>
          </w:tcPr>
          <w:p w14:paraId="34F255DE"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4FD4FE5D"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28EF4924" w14:textId="77777777" w:rsidTr="00487BF3">
        <w:trPr>
          <w:trHeight w:val="227"/>
        </w:trPr>
        <w:tc>
          <w:tcPr>
            <w:tcW w:w="2100" w:type="dxa"/>
            <w:tcBorders>
              <w:top w:val="nil"/>
              <w:left w:val="nil"/>
              <w:bottom w:val="nil"/>
              <w:right w:val="nil"/>
            </w:tcBorders>
            <w:shd w:val="clear" w:color="auto" w:fill="auto"/>
            <w:noWrap/>
            <w:vAlign w:val="bottom"/>
            <w:hideMark/>
          </w:tcPr>
          <w:p w14:paraId="5DD33AA8"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0B7E2E01" w14:textId="77777777" w:rsidR="0095697F" w:rsidRPr="00487BF3" w:rsidRDefault="0095697F" w:rsidP="00A47A7E">
            <w:pPr>
              <w:rPr>
                <w:b/>
                <w:bCs/>
                <w:color w:val="000000"/>
                <w:sz w:val="21"/>
                <w:szCs w:val="21"/>
              </w:rPr>
            </w:pPr>
            <w:r w:rsidRPr="00487BF3">
              <w:rPr>
                <w:b/>
                <w:bCs/>
                <w:color w:val="000000"/>
                <w:sz w:val="21"/>
                <w:szCs w:val="21"/>
              </w:rPr>
              <w:t>Maximum recovery power flooding</w:t>
            </w:r>
          </w:p>
        </w:tc>
        <w:tc>
          <w:tcPr>
            <w:tcW w:w="1788" w:type="dxa"/>
            <w:tcBorders>
              <w:top w:val="nil"/>
              <w:left w:val="nil"/>
              <w:bottom w:val="nil"/>
              <w:right w:val="nil"/>
            </w:tcBorders>
            <w:shd w:val="clear" w:color="auto" w:fill="auto"/>
            <w:noWrap/>
            <w:vAlign w:val="bottom"/>
            <w:hideMark/>
          </w:tcPr>
          <w:p w14:paraId="02B79038"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57245C21" w14:textId="77777777" w:rsidR="0095697F" w:rsidRPr="00487BF3" w:rsidRDefault="0095697F" w:rsidP="00A47A7E">
            <w:pPr>
              <w:jc w:val="right"/>
              <w:rPr>
                <w:b/>
                <w:bCs/>
                <w:color w:val="000000"/>
                <w:sz w:val="21"/>
                <w:szCs w:val="21"/>
              </w:rPr>
            </w:pPr>
            <w:r w:rsidRPr="00487BF3">
              <w:rPr>
                <w:b/>
                <w:bCs/>
                <w:color w:val="000000"/>
                <w:sz w:val="21"/>
                <w:szCs w:val="21"/>
              </w:rPr>
              <w:t>0.002</w:t>
            </w:r>
          </w:p>
        </w:tc>
      </w:tr>
      <w:tr w:rsidR="0095697F" w:rsidRPr="00487BF3" w14:paraId="6B5963D4" w14:textId="77777777" w:rsidTr="00487BF3">
        <w:trPr>
          <w:trHeight w:val="227"/>
        </w:trPr>
        <w:tc>
          <w:tcPr>
            <w:tcW w:w="2100" w:type="dxa"/>
            <w:tcBorders>
              <w:top w:val="nil"/>
              <w:left w:val="nil"/>
              <w:bottom w:val="nil"/>
              <w:right w:val="nil"/>
            </w:tcBorders>
            <w:shd w:val="clear" w:color="auto" w:fill="auto"/>
            <w:noWrap/>
            <w:vAlign w:val="bottom"/>
            <w:hideMark/>
          </w:tcPr>
          <w:p w14:paraId="7ED5AAD0" w14:textId="77777777" w:rsidR="0095697F" w:rsidRPr="00487BF3" w:rsidRDefault="0095697F" w:rsidP="00A47A7E">
            <w:pPr>
              <w:jc w:val="right"/>
              <w:rPr>
                <w:b/>
                <w:bCs/>
                <w:color w:val="000000"/>
                <w:sz w:val="21"/>
                <w:szCs w:val="21"/>
              </w:rPr>
            </w:pPr>
          </w:p>
        </w:tc>
        <w:tc>
          <w:tcPr>
            <w:tcW w:w="3712" w:type="dxa"/>
            <w:tcBorders>
              <w:top w:val="nil"/>
              <w:left w:val="nil"/>
              <w:bottom w:val="nil"/>
              <w:right w:val="nil"/>
            </w:tcBorders>
            <w:shd w:val="clear" w:color="auto" w:fill="auto"/>
            <w:noWrap/>
            <w:vAlign w:val="bottom"/>
            <w:hideMark/>
          </w:tcPr>
          <w:p w14:paraId="6606EB5D" w14:textId="77777777" w:rsidR="0095697F" w:rsidRPr="00487BF3" w:rsidRDefault="0095697F" w:rsidP="00A47A7E">
            <w:pPr>
              <w:rPr>
                <w:sz w:val="21"/>
                <w:szCs w:val="21"/>
              </w:rPr>
            </w:pPr>
          </w:p>
        </w:tc>
        <w:tc>
          <w:tcPr>
            <w:tcW w:w="1788" w:type="dxa"/>
            <w:tcBorders>
              <w:top w:val="nil"/>
              <w:left w:val="nil"/>
              <w:bottom w:val="nil"/>
              <w:right w:val="nil"/>
            </w:tcBorders>
            <w:shd w:val="clear" w:color="auto" w:fill="auto"/>
            <w:noWrap/>
            <w:vAlign w:val="bottom"/>
            <w:hideMark/>
          </w:tcPr>
          <w:p w14:paraId="32804E17" w14:textId="77777777" w:rsidR="0095697F" w:rsidRPr="00487BF3" w:rsidRDefault="0095697F" w:rsidP="00A47A7E">
            <w:pPr>
              <w:rPr>
                <w:sz w:val="21"/>
                <w:szCs w:val="21"/>
              </w:rPr>
            </w:pPr>
          </w:p>
        </w:tc>
        <w:tc>
          <w:tcPr>
            <w:tcW w:w="1614" w:type="dxa"/>
            <w:tcBorders>
              <w:top w:val="nil"/>
              <w:left w:val="nil"/>
              <w:bottom w:val="nil"/>
              <w:right w:val="nil"/>
            </w:tcBorders>
            <w:shd w:val="clear" w:color="auto" w:fill="auto"/>
            <w:noWrap/>
            <w:vAlign w:val="bottom"/>
            <w:hideMark/>
          </w:tcPr>
          <w:p w14:paraId="7F409321" w14:textId="77777777" w:rsidR="0095697F" w:rsidRPr="00487BF3" w:rsidRDefault="0095697F" w:rsidP="00A47A7E">
            <w:pPr>
              <w:rPr>
                <w:sz w:val="21"/>
                <w:szCs w:val="21"/>
              </w:rPr>
            </w:pPr>
          </w:p>
        </w:tc>
      </w:tr>
      <w:tr w:rsidR="0095697F" w:rsidRPr="00487BF3" w14:paraId="1F87C7A8" w14:textId="77777777" w:rsidTr="00487BF3">
        <w:trPr>
          <w:trHeight w:val="227"/>
        </w:trPr>
        <w:tc>
          <w:tcPr>
            <w:tcW w:w="2100" w:type="dxa"/>
            <w:tcBorders>
              <w:top w:val="nil"/>
              <w:left w:val="nil"/>
              <w:bottom w:val="nil"/>
              <w:right w:val="nil"/>
            </w:tcBorders>
            <w:shd w:val="clear" w:color="auto" w:fill="auto"/>
            <w:noWrap/>
            <w:vAlign w:val="bottom"/>
            <w:hideMark/>
          </w:tcPr>
          <w:p w14:paraId="5F57AC2F" w14:textId="77777777" w:rsidR="0095697F" w:rsidRPr="00487BF3" w:rsidRDefault="0095697F" w:rsidP="00A47A7E">
            <w:pPr>
              <w:rPr>
                <w:sz w:val="21"/>
                <w:szCs w:val="21"/>
              </w:rPr>
            </w:pPr>
          </w:p>
        </w:tc>
        <w:tc>
          <w:tcPr>
            <w:tcW w:w="3712" w:type="dxa"/>
            <w:tcBorders>
              <w:top w:val="nil"/>
              <w:left w:val="nil"/>
              <w:bottom w:val="nil"/>
              <w:right w:val="nil"/>
            </w:tcBorders>
            <w:shd w:val="clear" w:color="auto" w:fill="auto"/>
            <w:noWrap/>
            <w:vAlign w:val="bottom"/>
            <w:hideMark/>
          </w:tcPr>
          <w:p w14:paraId="41755DC4" w14:textId="77777777" w:rsidR="0095697F" w:rsidRPr="00487BF3" w:rsidRDefault="0095697F" w:rsidP="00A47A7E">
            <w:pPr>
              <w:rPr>
                <w:b/>
                <w:bCs/>
                <w:color w:val="000000"/>
                <w:sz w:val="21"/>
                <w:szCs w:val="21"/>
              </w:rPr>
            </w:pPr>
            <w:r w:rsidRPr="00487BF3">
              <w:rPr>
                <w:b/>
                <w:bCs/>
                <w:color w:val="000000"/>
                <w:sz w:val="21"/>
                <w:szCs w:val="21"/>
              </w:rPr>
              <w:t>Maximum recovery port earthquake</w:t>
            </w:r>
          </w:p>
        </w:tc>
        <w:tc>
          <w:tcPr>
            <w:tcW w:w="1788" w:type="dxa"/>
            <w:tcBorders>
              <w:top w:val="nil"/>
              <w:left w:val="nil"/>
              <w:bottom w:val="nil"/>
              <w:right w:val="nil"/>
            </w:tcBorders>
            <w:shd w:val="clear" w:color="auto" w:fill="auto"/>
            <w:noWrap/>
            <w:vAlign w:val="bottom"/>
            <w:hideMark/>
          </w:tcPr>
          <w:p w14:paraId="4E9B081C"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2C930732" w14:textId="77777777" w:rsidR="0095697F" w:rsidRPr="00487BF3" w:rsidRDefault="0095697F" w:rsidP="00A47A7E">
            <w:pPr>
              <w:jc w:val="right"/>
              <w:rPr>
                <w:b/>
                <w:bCs/>
                <w:color w:val="000000"/>
                <w:sz w:val="21"/>
                <w:szCs w:val="21"/>
              </w:rPr>
            </w:pPr>
            <w:r w:rsidRPr="00487BF3">
              <w:rPr>
                <w:b/>
                <w:bCs/>
                <w:color w:val="000000"/>
                <w:sz w:val="21"/>
                <w:szCs w:val="21"/>
              </w:rPr>
              <w:t>0.000</w:t>
            </w:r>
          </w:p>
        </w:tc>
      </w:tr>
      <w:tr w:rsidR="0095697F" w:rsidRPr="00487BF3" w14:paraId="2ABE7415" w14:textId="77777777" w:rsidTr="00487BF3">
        <w:trPr>
          <w:trHeight w:val="227"/>
        </w:trPr>
        <w:tc>
          <w:tcPr>
            <w:tcW w:w="2100" w:type="dxa"/>
            <w:tcBorders>
              <w:top w:val="nil"/>
              <w:left w:val="nil"/>
              <w:bottom w:val="nil"/>
              <w:right w:val="nil"/>
            </w:tcBorders>
            <w:shd w:val="clear" w:color="auto" w:fill="auto"/>
            <w:noWrap/>
            <w:vAlign w:val="bottom"/>
            <w:hideMark/>
          </w:tcPr>
          <w:p w14:paraId="37033E3D" w14:textId="77777777" w:rsidR="0095697F" w:rsidRPr="00487BF3" w:rsidRDefault="0095697F" w:rsidP="00A47A7E">
            <w:pPr>
              <w:jc w:val="right"/>
              <w:rPr>
                <w:b/>
                <w:bCs/>
                <w:color w:val="000000"/>
                <w:sz w:val="21"/>
                <w:szCs w:val="21"/>
              </w:rPr>
            </w:pPr>
          </w:p>
        </w:tc>
        <w:tc>
          <w:tcPr>
            <w:tcW w:w="3712" w:type="dxa"/>
            <w:tcBorders>
              <w:top w:val="nil"/>
              <w:left w:val="nil"/>
              <w:bottom w:val="nil"/>
              <w:right w:val="nil"/>
            </w:tcBorders>
            <w:shd w:val="clear" w:color="auto" w:fill="auto"/>
            <w:noWrap/>
            <w:vAlign w:val="bottom"/>
            <w:hideMark/>
          </w:tcPr>
          <w:p w14:paraId="12778B92" w14:textId="77777777" w:rsidR="0095697F" w:rsidRPr="00487BF3" w:rsidRDefault="0095697F" w:rsidP="00A47A7E">
            <w:pPr>
              <w:rPr>
                <w:color w:val="000000"/>
                <w:sz w:val="21"/>
                <w:szCs w:val="21"/>
              </w:rPr>
            </w:pPr>
            <w:r w:rsidRPr="00487BF3">
              <w:rPr>
                <w:color w:val="000000"/>
                <w:sz w:val="21"/>
                <w:szCs w:val="21"/>
              </w:rPr>
              <w:t>Maximum recovery road earthquake</w:t>
            </w:r>
          </w:p>
        </w:tc>
        <w:tc>
          <w:tcPr>
            <w:tcW w:w="1788" w:type="dxa"/>
            <w:tcBorders>
              <w:top w:val="nil"/>
              <w:left w:val="nil"/>
              <w:bottom w:val="nil"/>
              <w:right w:val="nil"/>
            </w:tcBorders>
            <w:shd w:val="clear" w:color="auto" w:fill="auto"/>
            <w:noWrap/>
            <w:vAlign w:val="bottom"/>
            <w:hideMark/>
          </w:tcPr>
          <w:p w14:paraId="0F32189D"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0FE6F7D6"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633B8902" w14:textId="77777777" w:rsidTr="00487BF3">
        <w:trPr>
          <w:trHeight w:val="227"/>
        </w:trPr>
        <w:tc>
          <w:tcPr>
            <w:tcW w:w="2100" w:type="dxa"/>
            <w:tcBorders>
              <w:top w:val="nil"/>
              <w:left w:val="nil"/>
              <w:bottom w:val="nil"/>
              <w:right w:val="nil"/>
            </w:tcBorders>
            <w:shd w:val="clear" w:color="auto" w:fill="auto"/>
            <w:noWrap/>
            <w:vAlign w:val="bottom"/>
            <w:hideMark/>
          </w:tcPr>
          <w:p w14:paraId="67780AF7"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03498E8F" w14:textId="77777777" w:rsidR="0095697F" w:rsidRPr="00487BF3" w:rsidRDefault="0095697F" w:rsidP="00A47A7E">
            <w:pPr>
              <w:rPr>
                <w:color w:val="000000"/>
                <w:sz w:val="21"/>
                <w:szCs w:val="21"/>
              </w:rPr>
            </w:pPr>
            <w:r w:rsidRPr="00487BF3">
              <w:rPr>
                <w:color w:val="000000"/>
                <w:sz w:val="21"/>
                <w:szCs w:val="21"/>
              </w:rPr>
              <w:t>Maximum recovery rail earthquake</w:t>
            </w:r>
          </w:p>
        </w:tc>
        <w:tc>
          <w:tcPr>
            <w:tcW w:w="1788" w:type="dxa"/>
            <w:tcBorders>
              <w:top w:val="nil"/>
              <w:left w:val="nil"/>
              <w:bottom w:val="nil"/>
              <w:right w:val="nil"/>
            </w:tcBorders>
            <w:shd w:val="clear" w:color="auto" w:fill="auto"/>
            <w:noWrap/>
            <w:vAlign w:val="bottom"/>
            <w:hideMark/>
          </w:tcPr>
          <w:p w14:paraId="37EEBBD9"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5CA93AA4"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54283CEC" w14:textId="77777777" w:rsidTr="00487BF3">
        <w:trPr>
          <w:trHeight w:val="227"/>
        </w:trPr>
        <w:tc>
          <w:tcPr>
            <w:tcW w:w="2100" w:type="dxa"/>
            <w:tcBorders>
              <w:top w:val="nil"/>
              <w:left w:val="nil"/>
              <w:bottom w:val="nil"/>
              <w:right w:val="nil"/>
            </w:tcBorders>
            <w:shd w:val="clear" w:color="auto" w:fill="auto"/>
            <w:noWrap/>
            <w:vAlign w:val="bottom"/>
            <w:hideMark/>
          </w:tcPr>
          <w:p w14:paraId="7E03ECFC"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77A788E3" w14:textId="77777777" w:rsidR="0095697F" w:rsidRPr="00487BF3" w:rsidRDefault="0095697F" w:rsidP="00A47A7E">
            <w:pPr>
              <w:rPr>
                <w:color w:val="000000"/>
                <w:sz w:val="21"/>
                <w:szCs w:val="21"/>
              </w:rPr>
            </w:pPr>
            <w:r w:rsidRPr="00487BF3">
              <w:rPr>
                <w:color w:val="000000"/>
                <w:sz w:val="21"/>
                <w:szCs w:val="21"/>
              </w:rPr>
              <w:t>Maximum recovery electricity earthquake</w:t>
            </w:r>
          </w:p>
        </w:tc>
        <w:tc>
          <w:tcPr>
            <w:tcW w:w="1788" w:type="dxa"/>
            <w:tcBorders>
              <w:top w:val="nil"/>
              <w:left w:val="nil"/>
              <w:bottom w:val="nil"/>
              <w:right w:val="nil"/>
            </w:tcBorders>
            <w:shd w:val="clear" w:color="auto" w:fill="auto"/>
            <w:noWrap/>
            <w:vAlign w:val="bottom"/>
            <w:hideMark/>
          </w:tcPr>
          <w:p w14:paraId="713B6AB7"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0F79F13C"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56BC4F7E" w14:textId="77777777" w:rsidTr="00487BF3">
        <w:trPr>
          <w:trHeight w:val="227"/>
        </w:trPr>
        <w:tc>
          <w:tcPr>
            <w:tcW w:w="2100" w:type="dxa"/>
            <w:tcBorders>
              <w:top w:val="nil"/>
              <w:left w:val="nil"/>
              <w:bottom w:val="nil"/>
              <w:right w:val="nil"/>
            </w:tcBorders>
            <w:shd w:val="clear" w:color="auto" w:fill="auto"/>
            <w:noWrap/>
            <w:vAlign w:val="bottom"/>
            <w:hideMark/>
          </w:tcPr>
          <w:p w14:paraId="26B6176E"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32ADADCE" w14:textId="77777777" w:rsidR="0095697F" w:rsidRPr="00487BF3" w:rsidRDefault="0095697F" w:rsidP="00A47A7E">
            <w:pPr>
              <w:rPr>
                <w:color w:val="000000"/>
                <w:sz w:val="21"/>
                <w:szCs w:val="21"/>
              </w:rPr>
            </w:pPr>
            <w:r w:rsidRPr="00487BF3">
              <w:rPr>
                <w:color w:val="000000"/>
                <w:sz w:val="21"/>
                <w:szCs w:val="21"/>
              </w:rPr>
              <w:t>Maximum recovery power  earthquake</w:t>
            </w:r>
          </w:p>
        </w:tc>
        <w:tc>
          <w:tcPr>
            <w:tcW w:w="1788" w:type="dxa"/>
            <w:tcBorders>
              <w:top w:val="nil"/>
              <w:left w:val="nil"/>
              <w:bottom w:val="nil"/>
              <w:right w:val="nil"/>
            </w:tcBorders>
            <w:shd w:val="clear" w:color="auto" w:fill="auto"/>
            <w:noWrap/>
            <w:vAlign w:val="bottom"/>
            <w:hideMark/>
          </w:tcPr>
          <w:p w14:paraId="4BF17F51"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0AAE2B35"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56350570" w14:textId="77777777" w:rsidTr="00487BF3">
        <w:trPr>
          <w:trHeight w:val="227"/>
        </w:trPr>
        <w:tc>
          <w:tcPr>
            <w:tcW w:w="2100" w:type="dxa"/>
            <w:tcBorders>
              <w:top w:val="nil"/>
              <w:left w:val="nil"/>
              <w:bottom w:val="nil"/>
              <w:right w:val="nil"/>
            </w:tcBorders>
            <w:shd w:val="clear" w:color="auto" w:fill="auto"/>
            <w:noWrap/>
            <w:vAlign w:val="bottom"/>
            <w:hideMark/>
          </w:tcPr>
          <w:p w14:paraId="11427A4E"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3E5ABA88" w14:textId="77777777" w:rsidR="0095697F" w:rsidRPr="00487BF3" w:rsidRDefault="0095697F" w:rsidP="00A47A7E">
            <w:pPr>
              <w:rPr>
                <w:sz w:val="21"/>
                <w:szCs w:val="21"/>
              </w:rPr>
            </w:pPr>
          </w:p>
        </w:tc>
        <w:tc>
          <w:tcPr>
            <w:tcW w:w="1788" w:type="dxa"/>
            <w:tcBorders>
              <w:top w:val="nil"/>
              <w:left w:val="nil"/>
              <w:bottom w:val="nil"/>
              <w:right w:val="nil"/>
            </w:tcBorders>
            <w:shd w:val="clear" w:color="auto" w:fill="auto"/>
            <w:noWrap/>
            <w:vAlign w:val="bottom"/>
            <w:hideMark/>
          </w:tcPr>
          <w:p w14:paraId="39B2D616" w14:textId="77777777" w:rsidR="0095697F" w:rsidRPr="00487BF3" w:rsidRDefault="0095697F" w:rsidP="00A47A7E">
            <w:pPr>
              <w:rPr>
                <w:sz w:val="21"/>
                <w:szCs w:val="21"/>
              </w:rPr>
            </w:pPr>
          </w:p>
        </w:tc>
        <w:tc>
          <w:tcPr>
            <w:tcW w:w="1614" w:type="dxa"/>
            <w:tcBorders>
              <w:top w:val="nil"/>
              <w:left w:val="nil"/>
              <w:bottom w:val="nil"/>
              <w:right w:val="nil"/>
            </w:tcBorders>
            <w:shd w:val="clear" w:color="auto" w:fill="auto"/>
            <w:noWrap/>
            <w:vAlign w:val="bottom"/>
            <w:hideMark/>
          </w:tcPr>
          <w:p w14:paraId="1CCBEC4D" w14:textId="77777777" w:rsidR="0095697F" w:rsidRPr="00487BF3" w:rsidRDefault="0095697F" w:rsidP="00A47A7E">
            <w:pPr>
              <w:rPr>
                <w:sz w:val="21"/>
                <w:szCs w:val="21"/>
              </w:rPr>
            </w:pPr>
          </w:p>
        </w:tc>
      </w:tr>
      <w:tr w:rsidR="0095697F" w:rsidRPr="00487BF3" w14:paraId="12AB2994" w14:textId="77777777" w:rsidTr="00487BF3">
        <w:trPr>
          <w:trHeight w:val="227"/>
        </w:trPr>
        <w:tc>
          <w:tcPr>
            <w:tcW w:w="2100" w:type="dxa"/>
            <w:tcBorders>
              <w:top w:val="nil"/>
              <w:left w:val="nil"/>
              <w:bottom w:val="nil"/>
              <w:right w:val="nil"/>
            </w:tcBorders>
            <w:shd w:val="clear" w:color="auto" w:fill="auto"/>
            <w:noWrap/>
            <w:vAlign w:val="bottom"/>
            <w:hideMark/>
          </w:tcPr>
          <w:p w14:paraId="4B1E6DC2" w14:textId="77777777" w:rsidR="0095697F" w:rsidRPr="00487BF3" w:rsidRDefault="0095697F" w:rsidP="00A47A7E">
            <w:pPr>
              <w:rPr>
                <w:sz w:val="21"/>
                <w:szCs w:val="21"/>
              </w:rPr>
            </w:pPr>
          </w:p>
        </w:tc>
        <w:tc>
          <w:tcPr>
            <w:tcW w:w="3712" w:type="dxa"/>
            <w:tcBorders>
              <w:top w:val="nil"/>
              <w:left w:val="nil"/>
              <w:bottom w:val="nil"/>
              <w:right w:val="nil"/>
            </w:tcBorders>
            <w:shd w:val="clear" w:color="auto" w:fill="auto"/>
            <w:noWrap/>
            <w:vAlign w:val="bottom"/>
            <w:hideMark/>
          </w:tcPr>
          <w:p w14:paraId="69657DAC" w14:textId="77777777" w:rsidR="0095697F" w:rsidRPr="00487BF3" w:rsidRDefault="0095697F" w:rsidP="00A47A7E">
            <w:pPr>
              <w:rPr>
                <w:b/>
                <w:bCs/>
                <w:color w:val="000000"/>
                <w:sz w:val="21"/>
                <w:szCs w:val="21"/>
              </w:rPr>
            </w:pPr>
            <w:r w:rsidRPr="00487BF3">
              <w:rPr>
                <w:b/>
                <w:bCs/>
                <w:color w:val="000000"/>
                <w:sz w:val="21"/>
                <w:szCs w:val="21"/>
              </w:rPr>
              <w:t>Recovery duration TC</w:t>
            </w:r>
          </w:p>
        </w:tc>
        <w:tc>
          <w:tcPr>
            <w:tcW w:w="1788" w:type="dxa"/>
            <w:tcBorders>
              <w:top w:val="nil"/>
              <w:left w:val="nil"/>
              <w:bottom w:val="nil"/>
              <w:right w:val="nil"/>
            </w:tcBorders>
            <w:shd w:val="clear" w:color="auto" w:fill="auto"/>
            <w:noWrap/>
            <w:vAlign w:val="bottom"/>
            <w:hideMark/>
          </w:tcPr>
          <w:p w14:paraId="75931349" w14:textId="77777777" w:rsidR="0095697F" w:rsidRPr="00487BF3" w:rsidRDefault="0095697F" w:rsidP="00A47A7E">
            <w:pPr>
              <w:jc w:val="right"/>
              <w:rPr>
                <w:color w:val="000000"/>
                <w:sz w:val="21"/>
                <w:szCs w:val="21"/>
              </w:rPr>
            </w:pPr>
            <w:r w:rsidRPr="00487BF3">
              <w:rPr>
                <w:color w:val="000000"/>
                <w:sz w:val="21"/>
                <w:szCs w:val="21"/>
              </w:rPr>
              <w:t>0.001</w:t>
            </w:r>
          </w:p>
        </w:tc>
        <w:tc>
          <w:tcPr>
            <w:tcW w:w="1614" w:type="dxa"/>
            <w:tcBorders>
              <w:top w:val="nil"/>
              <w:left w:val="nil"/>
              <w:bottom w:val="nil"/>
              <w:right w:val="nil"/>
            </w:tcBorders>
            <w:shd w:val="clear" w:color="auto" w:fill="auto"/>
            <w:noWrap/>
            <w:vAlign w:val="bottom"/>
            <w:hideMark/>
          </w:tcPr>
          <w:p w14:paraId="2657D5A0" w14:textId="77777777" w:rsidR="0095697F" w:rsidRPr="00487BF3" w:rsidRDefault="0095697F" w:rsidP="00A47A7E">
            <w:pPr>
              <w:jc w:val="right"/>
              <w:rPr>
                <w:b/>
                <w:bCs/>
                <w:color w:val="000000"/>
                <w:sz w:val="21"/>
                <w:szCs w:val="21"/>
              </w:rPr>
            </w:pPr>
            <w:r w:rsidRPr="00487BF3">
              <w:rPr>
                <w:b/>
                <w:bCs/>
                <w:color w:val="000000"/>
                <w:sz w:val="21"/>
                <w:szCs w:val="21"/>
              </w:rPr>
              <w:t>0.009</w:t>
            </w:r>
          </w:p>
        </w:tc>
      </w:tr>
      <w:tr w:rsidR="0095697F" w:rsidRPr="00487BF3" w14:paraId="1AEBA7E5" w14:textId="77777777" w:rsidTr="00487BF3">
        <w:trPr>
          <w:trHeight w:val="227"/>
        </w:trPr>
        <w:tc>
          <w:tcPr>
            <w:tcW w:w="2100" w:type="dxa"/>
            <w:tcBorders>
              <w:top w:val="nil"/>
              <w:left w:val="nil"/>
              <w:bottom w:val="nil"/>
              <w:right w:val="nil"/>
            </w:tcBorders>
            <w:shd w:val="clear" w:color="auto" w:fill="auto"/>
            <w:noWrap/>
            <w:vAlign w:val="bottom"/>
            <w:hideMark/>
          </w:tcPr>
          <w:p w14:paraId="4B66CD0F" w14:textId="77777777" w:rsidR="0095697F" w:rsidRPr="00487BF3" w:rsidRDefault="0095697F" w:rsidP="00A47A7E">
            <w:pPr>
              <w:jc w:val="right"/>
              <w:rPr>
                <w:b/>
                <w:bCs/>
                <w:color w:val="000000"/>
                <w:sz w:val="21"/>
                <w:szCs w:val="21"/>
              </w:rPr>
            </w:pPr>
          </w:p>
        </w:tc>
        <w:tc>
          <w:tcPr>
            <w:tcW w:w="3712" w:type="dxa"/>
            <w:tcBorders>
              <w:top w:val="nil"/>
              <w:left w:val="nil"/>
              <w:bottom w:val="nil"/>
              <w:right w:val="nil"/>
            </w:tcBorders>
            <w:shd w:val="clear" w:color="auto" w:fill="auto"/>
            <w:noWrap/>
            <w:vAlign w:val="bottom"/>
            <w:hideMark/>
          </w:tcPr>
          <w:p w14:paraId="41D59E6D" w14:textId="77777777" w:rsidR="0095697F" w:rsidRPr="00487BF3" w:rsidRDefault="0095697F" w:rsidP="00A47A7E">
            <w:pPr>
              <w:rPr>
                <w:color w:val="000000"/>
                <w:sz w:val="21"/>
                <w:szCs w:val="21"/>
              </w:rPr>
            </w:pPr>
            <w:r w:rsidRPr="00487BF3">
              <w:rPr>
                <w:color w:val="000000"/>
                <w:sz w:val="21"/>
                <w:szCs w:val="21"/>
              </w:rPr>
              <w:t>Maximum recovery cranes TC</w:t>
            </w:r>
          </w:p>
        </w:tc>
        <w:tc>
          <w:tcPr>
            <w:tcW w:w="1788" w:type="dxa"/>
            <w:tcBorders>
              <w:top w:val="nil"/>
              <w:left w:val="nil"/>
              <w:bottom w:val="nil"/>
              <w:right w:val="nil"/>
            </w:tcBorders>
            <w:shd w:val="clear" w:color="auto" w:fill="auto"/>
            <w:noWrap/>
            <w:vAlign w:val="bottom"/>
            <w:hideMark/>
          </w:tcPr>
          <w:p w14:paraId="3B2B9D9B"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134A0D44"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454DA05D" w14:textId="77777777" w:rsidTr="00487BF3">
        <w:trPr>
          <w:trHeight w:val="227"/>
        </w:trPr>
        <w:tc>
          <w:tcPr>
            <w:tcW w:w="2100" w:type="dxa"/>
            <w:tcBorders>
              <w:top w:val="nil"/>
              <w:left w:val="nil"/>
              <w:bottom w:val="nil"/>
              <w:right w:val="nil"/>
            </w:tcBorders>
            <w:shd w:val="clear" w:color="auto" w:fill="auto"/>
            <w:noWrap/>
            <w:vAlign w:val="bottom"/>
            <w:hideMark/>
          </w:tcPr>
          <w:p w14:paraId="5D94CCE3"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3085125B" w14:textId="77777777" w:rsidR="0095697F" w:rsidRPr="00487BF3" w:rsidRDefault="0095697F" w:rsidP="00A47A7E">
            <w:pPr>
              <w:rPr>
                <w:color w:val="000000"/>
                <w:sz w:val="21"/>
                <w:szCs w:val="21"/>
              </w:rPr>
            </w:pPr>
            <w:r w:rsidRPr="00487BF3">
              <w:rPr>
                <w:color w:val="000000"/>
                <w:sz w:val="21"/>
                <w:szCs w:val="21"/>
              </w:rPr>
              <w:t>Maximum recovery electricity  TC</w:t>
            </w:r>
          </w:p>
        </w:tc>
        <w:tc>
          <w:tcPr>
            <w:tcW w:w="1788" w:type="dxa"/>
            <w:tcBorders>
              <w:top w:val="nil"/>
              <w:left w:val="nil"/>
              <w:bottom w:val="nil"/>
              <w:right w:val="nil"/>
            </w:tcBorders>
            <w:shd w:val="clear" w:color="auto" w:fill="auto"/>
            <w:noWrap/>
            <w:vAlign w:val="bottom"/>
            <w:hideMark/>
          </w:tcPr>
          <w:p w14:paraId="7C1E0A7E"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27857105"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3944AA66" w14:textId="77777777" w:rsidTr="00487BF3">
        <w:trPr>
          <w:trHeight w:val="227"/>
        </w:trPr>
        <w:tc>
          <w:tcPr>
            <w:tcW w:w="2100" w:type="dxa"/>
            <w:tcBorders>
              <w:top w:val="nil"/>
              <w:left w:val="nil"/>
              <w:bottom w:val="single" w:sz="4" w:space="0" w:color="auto"/>
              <w:right w:val="nil"/>
            </w:tcBorders>
            <w:shd w:val="clear" w:color="auto" w:fill="auto"/>
            <w:noWrap/>
            <w:vAlign w:val="bottom"/>
            <w:hideMark/>
          </w:tcPr>
          <w:p w14:paraId="4E0DD791" w14:textId="77777777" w:rsidR="0095697F" w:rsidRPr="00487BF3" w:rsidRDefault="0095697F" w:rsidP="00A47A7E">
            <w:pPr>
              <w:rPr>
                <w:color w:val="000000"/>
                <w:sz w:val="21"/>
                <w:szCs w:val="21"/>
              </w:rPr>
            </w:pPr>
            <w:r w:rsidRPr="00487BF3">
              <w:rPr>
                <w:color w:val="000000"/>
                <w:sz w:val="21"/>
                <w:szCs w:val="21"/>
              </w:rPr>
              <w:t> </w:t>
            </w:r>
          </w:p>
        </w:tc>
        <w:tc>
          <w:tcPr>
            <w:tcW w:w="3712" w:type="dxa"/>
            <w:tcBorders>
              <w:top w:val="nil"/>
              <w:left w:val="nil"/>
              <w:bottom w:val="single" w:sz="4" w:space="0" w:color="auto"/>
              <w:right w:val="nil"/>
            </w:tcBorders>
            <w:shd w:val="clear" w:color="auto" w:fill="auto"/>
            <w:noWrap/>
            <w:vAlign w:val="bottom"/>
            <w:hideMark/>
          </w:tcPr>
          <w:p w14:paraId="0413AFF8" w14:textId="77777777" w:rsidR="0095697F" w:rsidRPr="00487BF3" w:rsidRDefault="0095697F" w:rsidP="00A47A7E">
            <w:pPr>
              <w:rPr>
                <w:color w:val="000000"/>
                <w:sz w:val="21"/>
                <w:szCs w:val="21"/>
              </w:rPr>
            </w:pPr>
            <w:r w:rsidRPr="00487BF3">
              <w:rPr>
                <w:color w:val="000000"/>
                <w:sz w:val="21"/>
                <w:szCs w:val="21"/>
              </w:rPr>
              <w:t>Maximum recovery power plant  TC</w:t>
            </w:r>
          </w:p>
        </w:tc>
        <w:tc>
          <w:tcPr>
            <w:tcW w:w="1788" w:type="dxa"/>
            <w:tcBorders>
              <w:top w:val="nil"/>
              <w:left w:val="nil"/>
              <w:bottom w:val="single" w:sz="4" w:space="0" w:color="auto"/>
              <w:right w:val="nil"/>
            </w:tcBorders>
            <w:shd w:val="clear" w:color="auto" w:fill="auto"/>
            <w:noWrap/>
            <w:vAlign w:val="bottom"/>
            <w:hideMark/>
          </w:tcPr>
          <w:p w14:paraId="02526BDA"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single" w:sz="4" w:space="0" w:color="auto"/>
              <w:right w:val="nil"/>
            </w:tcBorders>
            <w:shd w:val="clear" w:color="auto" w:fill="auto"/>
            <w:noWrap/>
            <w:vAlign w:val="bottom"/>
            <w:hideMark/>
          </w:tcPr>
          <w:p w14:paraId="2F004ADC"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20772F83" w14:textId="77777777" w:rsidTr="00487BF3">
        <w:trPr>
          <w:trHeight w:val="227"/>
        </w:trPr>
        <w:tc>
          <w:tcPr>
            <w:tcW w:w="2100" w:type="dxa"/>
            <w:tcBorders>
              <w:top w:val="nil"/>
              <w:left w:val="nil"/>
              <w:bottom w:val="nil"/>
              <w:right w:val="nil"/>
            </w:tcBorders>
            <w:shd w:val="clear" w:color="auto" w:fill="auto"/>
            <w:noWrap/>
            <w:vAlign w:val="bottom"/>
            <w:hideMark/>
          </w:tcPr>
          <w:p w14:paraId="1A49D8AF" w14:textId="77777777" w:rsidR="0095697F" w:rsidRPr="00487BF3" w:rsidRDefault="0095697F" w:rsidP="00A47A7E">
            <w:pPr>
              <w:rPr>
                <w:color w:val="000000"/>
                <w:sz w:val="21"/>
                <w:szCs w:val="21"/>
              </w:rPr>
            </w:pPr>
            <w:r w:rsidRPr="00487BF3">
              <w:rPr>
                <w:color w:val="000000"/>
                <w:sz w:val="21"/>
                <w:szCs w:val="21"/>
              </w:rPr>
              <w:t>Logistics losses</w:t>
            </w:r>
          </w:p>
        </w:tc>
        <w:tc>
          <w:tcPr>
            <w:tcW w:w="3712" w:type="dxa"/>
            <w:tcBorders>
              <w:top w:val="nil"/>
              <w:left w:val="nil"/>
              <w:bottom w:val="nil"/>
              <w:right w:val="nil"/>
            </w:tcBorders>
            <w:shd w:val="clear" w:color="auto" w:fill="auto"/>
            <w:noWrap/>
            <w:vAlign w:val="bottom"/>
            <w:hideMark/>
          </w:tcPr>
          <w:p w14:paraId="1E0A6BF2" w14:textId="77777777" w:rsidR="0095697F" w:rsidRPr="00487BF3" w:rsidRDefault="0095697F" w:rsidP="00A47A7E">
            <w:pPr>
              <w:rPr>
                <w:color w:val="000000"/>
                <w:sz w:val="21"/>
                <w:szCs w:val="21"/>
              </w:rPr>
            </w:pPr>
            <w:r w:rsidRPr="00487BF3">
              <w:rPr>
                <w:color w:val="000000"/>
                <w:sz w:val="21"/>
                <w:szCs w:val="21"/>
              </w:rPr>
              <w:t>Freight rate</w:t>
            </w:r>
          </w:p>
        </w:tc>
        <w:tc>
          <w:tcPr>
            <w:tcW w:w="1788" w:type="dxa"/>
            <w:tcBorders>
              <w:top w:val="nil"/>
              <w:left w:val="nil"/>
              <w:bottom w:val="nil"/>
              <w:right w:val="nil"/>
            </w:tcBorders>
            <w:shd w:val="clear" w:color="auto" w:fill="auto"/>
            <w:noWrap/>
            <w:vAlign w:val="bottom"/>
            <w:hideMark/>
          </w:tcPr>
          <w:p w14:paraId="10DBE980" w14:textId="77777777" w:rsidR="0095697F" w:rsidRPr="00487BF3" w:rsidRDefault="0095697F" w:rsidP="00A47A7E">
            <w:pPr>
              <w:jc w:val="right"/>
              <w:rPr>
                <w:color w:val="000000"/>
                <w:sz w:val="21"/>
                <w:szCs w:val="21"/>
              </w:rPr>
            </w:pPr>
            <w:r w:rsidRPr="00487BF3">
              <w:rPr>
                <w:color w:val="000000"/>
                <w:sz w:val="21"/>
                <w:szCs w:val="21"/>
              </w:rPr>
              <w:t>0.001</w:t>
            </w:r>
          </w:p>
        </w:tc>
        <w:tc>
          <w:tcPr>
            <w:tcW w:w="1614" w:type="dxa"/>
            <w:tcBorders>
              <w:top w:val="nil"/>
              <w:left w:val="nil"/>
              <w:bottom w:val="nil"/>
              <w:right w:val="nil"/>
            </w:tcBorders>
            <w:shd w:val="clear" w:color="auto" w:fill="auto"/>
            <w:noWrap/>
            <w:vAlign w:val="bottom"/>
            <w:hideMark/>
          </w:tcPr>
          <w:p w14:paraId="5F998B05"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0DBEDF01" w14:textId="77777777" w:rsidTr="00487BF3">
        <w:trPr>
          <w:trHeight w:val="227"/>
        </w:trPr>
        <w:tc>
          <w:tcPr>
            <w:tcW w:w="2100" w:type="dxa"/>
            <w:tcBorders>
              <w:top w:val="nil"/>
              <w:left w:val="nil"/>
              <w:bottom w:val="nil"/>
              <w:right w:val="nil"/>
            </w:tcBorders>
            <w:shd w:val="clear" w:color="auto" w:fill="auto"/>
            <w:noWrap/>
            <w:vAlign w:val="bottom"/>
            <w:hideMark/>
          </w:tcPr>
          <w:p w14:paraId="17666F43"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4FC7196F" w14:textId="77777777" w:rsidR="0095697F" w:rsidRPr="00487BF3" w:rsidRDefault="0095697F" w:rsidP="00A47A7E">
            <w:pPr>
              <w:rPr>
                <w:color w:val="000000"/>
                <w:sz w:val="21"/>
                <w:szCs w:val="21"/>
              </w:rPr>
            </w:pPr>
            <w:r w:rsidRPr="00487BF3">
              <w:rPr>
                <w:color w:val="000000"/>
                <w:sz w:val="21"/>
                <w:szCs w:val="21"/>
              </w:rPr>
              <w:t>Port charge</w:t>
            </w:r>
          </w:p>
        </w:tc>
        <w:tc>
          <w:tcPr>
            <w:tcW w:w="1788" w:type="dxa"/>
            <w:tcBorders>
              <w:top w:val="nil"/>
              <w:left w:val="nil"/>
              <w:bottom w:val="nil"/>
              <w:right w:val="nil"/>
            </w:tcBorders>
            <w:shd w:val="clear" w:color="auto" w:fill="auto"/>
            <w:noWrap/>
            <w:vAlign w:val="bottom"/>
            <w:hideMark/>
          </w:tcPr>
          <w:p w14:paraId="242784BA"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1B1B9F66"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181A3461" w14:textId="77777777" w:rsidTr="00487BF3">
        <w:trPr>
          <w:trHeight w:val="227"/>
        </w:trPr>
        <w:tc>
          <w:tcPr>
            <w:tcW w:w="2100" w:type="dxa"/>
            <w:tcBorders>
              <w:top w:val="nil"/>
              <w:left w:val="nil"/>
              <w:bottom w:val="nil"/>
              <w:right w:val="nil"/>
            </w:tcBorders>
            <w:shd w:val="clear" w:color="auto" w:fill="auto"/>
            <w:noWrap/>
            <w:vAlign w:val="bottom"/>
            <w:hideMark/>
          </w:tcPr>
          <w:p w14:paraId="6E7DDFC2" w14:textId="77777777" w:rsidR="0095697F" w:rsidRPr="00487BF3" w:rsidRDefault="0095697F" w:rsidP="00A47A7E">
            <w:pPr>
              <w:jc w:val="right"/>
              <w:rPr>
                <w:color w:val="000000"/>
                <w:sz w:val="21"/>
                <w:szCs w:val="21"/>
              </w:rPr>
            </w:pPr>
          </w:p>
        </w:tc>
        <w:tc>
          <w:tcPr>
            <w:tcW w:w="3712" w:type="dxa"/>
            <w:tcBorders>
              <w:top w:val="nil"/>
              <w:left w:val="nil"/>
              <w:bottom w:val="nil"/>
              <w:right w:val="nil"/>
            </w:tcBorders>
            <w:shd w:val="clear" w:color="auto" w:fill="auto"/>
            <w:noWrap/>
            <w:vAlign w:val="bottom"/>
            <w:hideMark/>
          </w:tcPr>
          <w:p w14:paraId="6DFE10BB" w14:textId="77777777" w:rsidR="0095697F" w:rsidRPr="00487BF3" w:rsidRDefault="0095697F" w:rsidP="00A47A7E">
            <w:pPr>
              <w:rPr>
                <w:color w:val="000000"/>
                <w:sz w:val="21"/>
                <w:szCs w:val="21"/>
              </w:rPr>
            </w:pPr>
            <w:r w:rsidRPr="00487BF3">
              <w:rPr>
                <w:color w:val="000000"/>
                <w:sz w:val="21"/>
                <w:szCs w:val="21"/>
              </w:rPr>
              <w:t>Inventory</w:t>
            </w:r>
          </w:p>
        </w:tc>
        <w:tc>
          <w:tcPr>
            <w:tcW w:w="1788" w:type="dxa"/>
            <w:tcBorders>
              <w:top w:val="nil"/>
              <w:left w:val="nil"/>
              <w:bottom w:val="nil"/>
              <w:right w:val="nil"/>
            </w:tcBorders>
            <w:shd w:val="clear" w:color="auto" w:fill="auto"/>
            <w:noWrap/>
            <w:vAlign w:val="bottom"/>
            <w:hideMark/>
          </w:tcPr>
          <w:p w14:paraId="46D4CE7E" w14:textId="77777777" w:rsidR="0095697F" w:rsidRPr="00487BF3" w:rsidRDefault="0095697F" w:rsidP="00A47A7E">
            <w:pPr>
              <w:jc w:val="right"/>
              <w:rPr>
                <w:color w:val="000000"/>
                <w:sz w:val="21"/>
                <w:szCs w:val="21"/>
              </w:rPr>
            </w:pPr>
            <w:r w:rsidRPr="00487BF3">
              <w:rPr>
                <w:color w:val="000000"/>
                <w:sz w:val="21"/>
                <w:szCs w:val="21"/>
              </w:rPr>
              <w:t>0.000</w:t>
            </w:r>
          </w:p>
        </w:tc>
        <w:tc>
          <w:tcPr>
            <w:tcW w:w="1614" w:type="dxa"/>
            <w:tcBorders>
              <w:top w:val="nil"/>
              <w:left w:val="nil"/>
              <w:bottom w:val="nil"/>
              <w:right w:val="nil"/>
            </w:tcBorders>
            <w:shd w:val="clear" w:color="auto" w:fill="auto"/>
            <w:noWrap/>
            <w:vAlign w:val="bottom"/>
            <w:hideMark/>
          </w:tcPr>
          <w:p w14:paraId="6D029BA7" w14:textId="77777777" w:rsidR="0095697F" w:rsidRPr="00487BF3" w:rsidRDefault="0095697F" w:rsidP="00A47A7E">
            <w:pPr>
              <w:jc w:val="right"/>
              <w:rPr>
                <w:color w:val="000000"/>
                <w:sz w:val="21"/>
                <w:szCs w:val="21"/>
              </w:rPr>
            </w:pPr>
            <w:r w:rsidRPr="00487BF3">
              <w:rPr>
                <w:color w:val="000000"/>
                <w:sz w:val="21"/>
                <w:szCs w:val="21"/>
              </w:rPr>
              <w:t>0.000</w:t>
            </w:r>
          </w:p>
        </w:tc>
      </w:tr>
      <w:tr w:rsidR="0095697F" w:rsidRPr="00487BF3" w14:paraId="16D06547" w14:textId="77777777" w:rsidTr="00487BF3">
        <w:trPr>
          <w:trHeight w:val="227"/>
        </w:trPr>
        <w:tc>
          <w:tcPr>
            <w:tcW w:w="2100" w:type="dxa"/>
            <w:tcBorders>
              <w:top w:val="nil"/>
              <w:left w:val="nil"/>
              <w:bottom w:val="single" w:sz="4" w:space="0" w:color="auto"/>
              <w:right w:val="nil"/>
            </w:tcBorders>
            <w:shd w:val="clear" w:color="auto" w:fill="auto"/>
            <w:noWrap/>
            <w:vAlign w:val="bottom"/>
            <w:hideMark/>
          </w:tcPr>
          <w:p w14:paraId="4058377E" w14:textId="77777777" w:rsidR="0095697F" w:rsidRPr="00487BF3" w:rsidRDefault="0095697F" w:rsidP="00A47A7E">
            <w:pPr>
              <w:rPr>
                <w:color w:val="000000"/>
                <w:sz w:val="21"/>
                <w:szCs w:val="21"/>
              </w:rPr>
            </w:pPr>
            <w:r w:rsidRPr="00487BF3">
              <w:rPr>
                <w:color w:val="000000"/>
                <w:sz w:val="21"/>
                <w:szCs w:val="21"/>
              </w:rPr>
              <w:t> </w:t>
            </w:r>
          </w:p>
        </w:tc>
        <w:tc>
          <w:tcPr>
            <w:tcW w:w="3712" w:type="dxa"/>
            <w:tcBorders>
              <w:top w:val="nil"/>
              <w:left w:val="nil"/>
              <w:bottom w:val="single" w:sz="4" w:space="0" w:color="auto"/>
              <w:right w:val="nil"/>
            </w:tcBorders>
            <w:shd w:val="clear" w:color="auto" w:fill="auto"/>
            <w:noWrap/>
            <w:vAlign w:val="bottom"/>
            <w:hideMark/>
          </w:tcPr>
          <w:p w14:paraId="1355B6D7" w14:textId="77777777" w:rsidR="0095697F" w:rsidRPr="00487BF3" w:rsidRDefault="0095697F" w:rsidP="00A47A7E">
            <w:pPr>
              <w:rPr>
                <w:b/>
                <w:bCs/>
                <w:color w:val="000000"/>
                <w:sz w:val="21"/>
                <w:szCs w:val="21"/>
              </w:rPr>
            </w:pPr>
            <w:r w:rsidRPr="00487BF3">
              <w:rPr>
                <w:b/>
                <w:bCs/>
                <w:color w:val="000000"/>
                <w:sz w:val="21"/>
                <w:szCs w:val="21"/>
              </w:rPr>
              <w:t>Value of time</w:t>
            </w:r>
          </w:p>
        </w:tc>
        <w:tc>
          <w:tcPr>
            <w:tcW w:w="1788" w:type="dxa"/>
            <w:tcBorders>
              <w:top w:val="nil"/>
              <w:left w:val="nil"/>
              <w:bottom w:val="single" w:sz="4" w:space="0" w:color="auto"/>
              <w:right w:val="nil"/>
            </w:tcBorders>
            <w:shd w:val="clear" w:color="auto" w:fill="auto"/>
            <w:noWrap/>
            <w:vAlign w:val="bottom"/>
            <w:hideMark/>
          </w:tcPr>
          <w:p w14:paraId="5A541651" w14:textId="77777777" w:rsidR="0095697F" w:rsidRPr="00487BF3" w:rsidRDefault="0095697F" w:rsidP="00A47A7E">
            <w:pPr>
              <w:jc w:val="right"/>
              <w:rPr>
                <w:b/>
                <w:bCs/>
                <w:color w:val="000000"/>
                <w:sz w:val="21"/>
                <w:szCs w:val="21"/>
              </w:rPr>
            </w:pPr>
            <w:r w:rsidRPr="00487BF3">
              <w:rPr>
                <w:b/>
                <w:bCs/>
                <w:color w:val="000000"/>
                <w:sz w:val="21"/>
                <w:szCs w:val="21"/>
              </w:rPr>
              <w:t>0.029</w:t>
            </w:r>
          </w:p>
        </w:tc>
        <w:tc>
          <w:tcPr>
            <w:tcW w:w="1614" w:type="dxa"/>
            <w:tcBorders>
              <w:top w:val="nil"/>
              <w:left w:val="nil"/>
              <w:bottom w:val="single" w:sz="4" w:space="0" w:color="auto"/>
              <w:right w:val="nil"/>
            </w:tcBorders>
            <w:shd w:val="clear" w:color="auto" w:fill="auto"/>
            <w:noWrap/>
            <w:vAlign w:val="bottom"/>
            <w:hideMark/>
          </w:tcPr>
          <w:p w14:paraId="66E914D0" w14:textId="77777777" w:rsidR="0095697F" w:rsidRPr="00487BF3" w:rsidRDefault="0095697F" w:rsidP="00A47A7E">
            <w:pPr>
              <w:jc w:val="right"/>
              <w:rPr>
                <w:color w:val="000000"/>
                <w:sz w:val="21"/>
                <w:szCs w:val="21"/>
              </w:rPr>
            </w:pPr>
            <w:r w:rsidRPr="00487BF3">
              <w:rPr>
                <w:color w:val="000000"/>
                <w:sz w:val="21"/>
                <w:szCs w:val="21"/>
              </w:rPr>
              <w:t>0.000</w:t>
            </w:r>
          </w:p>
        </w:tc>
      </w:tr>
    </w:tbl>
    <w:p w14:paraId="53CA15FB" w14:textId="77777777" w:rsidR="0095697F" w:rsidRPr="008E49D3" w:rsidRDefault="0095697F" w:rsidP="0095697F">
      <w:pPr>
        <w:pStyle w:val="SMcaption"/>
        <w:rPr>
          <w:szCs w:val="24"/>
        </w:rPr>
      </w:pPr>
    </w:p>
    <w:p w14:paraId="0ABA1913" w14:textId="60A8AAC7" w:rsidR="0095697F" w:rsidRDefault="0095697F" w:rsidP="0095697F"/>
    <w:p w14:paraId="41AC8B0E" w14:textId="77777777" w:rsidR="00487BF3" w:rsidRDefault="00487BF3" w:rsidP="0095697F"/>
    <w:p w14:paraId="2060AE0B" w14:textId="77777777" w:rsidR="0095697F" w:rsidRDefault="0095697F" w:rsidP="0095697F">
      <w:pPr>
        <w:rPr>
          <w:b/>
        </w:rPr>
      </w:pPr>
      <w:r w:rsidRPr="008E49D3">
        <w:rPr>
          <w:b/>
        </w:rPr>
        <w:t>References</w:t>
      </w:r>
    </w:p>
    <w:p w14:paraId="3801A20E" w14:textId="77777777" w:rsidR="0095697F" w:rsidRPr="00AD5F47" w:rsidRDefault="0095697F" w:rsidP="0095697F"/>
    <w:p w14:paraId="27B8996F" w14:textId="45B11D30" w:rsidR="00902ED9" w:rsidRPr="00902ED9" w:rsidRDefault="0095697F" w:rsidP="00902ED9">
      <w:pPr>
        <w:widowControl w:val="0"/>
        <w:autoSpaceDE w:val="0"/>
        <w:autoSpaceDN w:val="0"/>
        <w:adjustRightInd w:val="0"/>
        <w:ind w:left="640" w:hanging="640"/>
        <w:rPr>
          <w:noProof/>
        </w:rPr>
      </w:pPr>
      <w:r w:rsidRPr="008E49D3">
        <w:fldChar w:fldCharType="begin" w:fldLock="1"/>
      </w:r>
      <w:r w:rsidRPr="008E49D3">
        <w:instrText xml:space="preserve">ADDIN Mendeley Bibliography CSL_BIBLIOGRAPHY </w:instrText>
      </w:r>
      <w:r w:rsidRPr="008E49D3">
        <w:fldChar w:fldCharType="separate"/>
      </w:r>
      <w:r w:rsidR="00902ED9" w:rsidRPr="00902ED9">
        <w:rPr>
          <w:noProof/>
        </w:rPr>
        <w:t>1.</w:t>
      </w:r>
      <w:r w:rsidR="00902ED9" w:rsidRPr="00902ED9">
        <w:rPr>
          <w:noProof/>
        </w:rPr>
        <w:tab/>
        <w:t xml:space="preserve">Hanson, S. E. &amp; Nicholls, R. J. Demand for Ports to 2050: Climate Policy, Growing Trade and the Impacts of Sea‐Level Rise. </w:t>
      </w:r>
      <w:r w:rsidR="00902ED9" w:rsidRPr="00902ED9">
        <w:rPr>
          <w:i/>
          <w:iCs/>
          <w:noProof/>
        </w:rPr>
        <w:t>Earth’s Futur.</w:t>
      </w:r>
      <w:r w:rsidR="00902ED9" w:rsidRPr="00902ED9">
        <w:rPr>
          <w:noProof/>
        </w:rPr>
        <w:t xml:space="preserve"> </w:t>
      </w:r>
      <w:r w:rsidR="00902ED9" w:rsidRPr="00902ED9">
        <w:rPr>
          <w:b/>
          <w:bCs/>
          <w:noProof/>
        </w:rPr>
        <w:t>8</w:t>
      </w:r>
      <w:r w:rsidR="00902ED9" w:rsidRPr="00902ED9">
        <w:rPr>
          <w:noProof/>
        </w:rPr>
        <w:t>, (2020).</w:t>
      </w:r>
    </w:p>
    <w:p w14:paraId="6FE30D30" w14:textId="77777777" w:rsidR="00902ED9" w:rsidRPr="00902ED9" w:rsidRDefault="00902ED9" w:rsidP="00902ED9">
      <w:pPr>
        <w:widowControl w:val="0"/>
        <w:autoSpaceDE w:val="0"/>
        <w:autoSpaceDN w:val="0"/>
        <w:adjustRightInd w:val="0"/>
        <w:ind w:left="640" w:hanging="640"/>
        <w:rPr>
          <w:noProof/>
        </w:rPr>
      </w:pPr>
      <w:r w:rsidRPr="00902ED9">
        <w:rPr>
          <w:noProof/>
        </w:rPr>
        <w:t>2.</w:t>
      </w:r>
      <w:r w:rsidRPr="00902ED9">
        <w:rPr>
          <w:noProof/>
        </w:rPr>
        <w:tab/>
        <w:t xml:space="preserve">Hersbach, H. </w:t>
      </w:r>
      <w:r w:rsidRPr="00902ED9">
        <w:rPr>
          <w:i/>
          <w:iCs/>
          <w:noProof/>
        </w:rPr>
        <w:t>et al.</w:t>
      </w:r>
      <w:r w:rsidRPr="00902ED9">
        <w:rPr>
          <w:noProof/>
        </w:rPr>
        <w:t xml:space="preserve"> The ERA5 Global Reanalysis. </w:t>
      </w:r>
      <w:r w:rsidRPr="00902ED9">
        <w:rPr>
          <w:i/>
          <w:iCs/>
          <w:noProof/>
        </w:rPr>
        <w:t>Q. J. R. Meteorol. Soc.</w:t>
      </w:r>
      <w:r w:rsidRPr="00902ED9">
        <w:rPr>
          <w:noProof/>
        </w:rPr>
        <w:t xml:space="preserve"> </w:t>
      </w:r>
      <w:r w:rsidRPr="00902ED9">
        <w:rPr>
          <w:b/>
          <w:bCs/>
          <w:noProof/>
        </w:rPr>
        <w:t>n/a</w:t>
      </w:r>
      <w:r w:rsidRPr="00902ED9">
        <w:rPr>
          <w:noProof/>
        </w:rPr>
        <w:t>, qj.3803 (2020).</w:t>
      </w:r>
    </w:p>
    <w:p w14:paraId="747DF0C8" w14:textId="77777777" w:rsidR="00902ED9" w:rsidRPr="00902ED9" w:rsidRDefault="00902ED9" w:rsidP="00902ED9">
      <w:pPr>
        <w:widowControl w:val="0"/>
        <w:autoSpaceDE w:val="0"/>
        <w:autoSpaceDN w:val="0"/>
        <w:adjustRightInd w:val="0"/>
        <w:ind w:left="640" w:hanging="640"/>
        <w:rPr>
          <w:noProof/>
        </w:rPr>
      </w:pPr>
      <w:r w:rsidRPr="00902ED9">
        <w:rPr>
          <w:noProof/>
        </w:rPr>
        <w:t>3.</w:t>
      </w:r>
      <w:r w:rsidRPr="00902ED9">
        <w:rPr>
          <w:noProof/>
        </w:rPr>
        <w:tab/>
        <w:t xml:space="preserve">Dean, R. G. &amp; Dalrymple, R. A. </w:t>
      </w:r>
      <w:r w:rsidRPr="00902ED9">
        <w:rPr>
          <w:i/>
          <w:iCs/>
          <w:noProof/>
        </w:rPr>
        <w:t>Coastal Processes with Engineering Applications</w:t>
      </w:r>
      <w:r w:rsidRPr="00902ED9">
        <w:rPr>
          <w:noProof/>
        </w:rPr>
        <w:t>. (Cambridge University Press, 2001). doi:10.1017/CBO9780511754500</w:t>
      </w:r>
    </w:p>
    <w:p w14:paraId="1E8B1CB9" w14:textId="77777777" w:rsidR="00902ED9" w:rsidRPr="00902ED9" w:rsidRDefault="00902ED9" w:rsidP="00902ED9">
      <w:pPr>
        <w:widowControl w:val="0"/>
        <w:autoSpaceDE w:val="0"/>
        <w:autoSpaceDN w:val="0"/>
        <w:adjustRightInd w:val="0"/>
        <w:ind w:left="640" w:hanging="640"/>
        <w:rPr>
          <w:noProof/>
        </w:rPr>
      </w:pPr>
      <w:r w:rsidRPr="00902ED9">
        <w:rPr>
          <w:noProof/>
        </w:rPr>
        <w:t>4.</w:t>
      </w:r>
      <w:r w:rsidRPr="00902ED9">
        <w:rPr>
          <w:noProof/>
        </w:rPr>
        <w:tab/>
        <w:t xml:space="preserve">Izaguirre, C., Losada, I. J., Camus, P., Vigh, J. L. &amp; Stenek, V. Climate change risk to global port operations. </w:t>
      </w:r>
      <w:r w:rsidRPr="00902ED9">
        <w:rPr>
          <w:i/>
          <w:iCs/>
          <w:noProof/>
        </w:rPr>
        <w:t>Nat. Clim. Chang.</w:t>
      </w:r>
      <w:r w:rsidRPr="00902ED9">
        <w:rPr>
          <w:noProof/>
        </w:rPr>
        <w:t xml:space="preserve"> </w:t>
      </w:r>
      <w:r w:rsidRPr="00902ED9">
        <w:rPr>
          <w:b/>
          <w:bCs/>
          <w:noProof/>
        </w:rPr>
        <w:t>11</w:t>
      </w:r>
      <w:r w:rsidRPr="00902ED9">
        <w:rPr>
          <w:noProof/>
        </w:rPr>
        <w:t>, 14–20 (2021).</w:t>
      </w:r>
    </w:p>
    <w:p w14:paraId="59D9A69E" w14:textId="77777777" w:rsidR="00902ED9" w:rsidRPr="00902ED9" w:rsidRDefault="00902ED9" w:rsidP="00902ED9">
      <w:pPr>
        <w:widowControl w:val="0"/>
        <w:autoSpaceDE w:val="0"/>
        <w:autoSpaceDN w:val="0"/>
        <w:adjustRightInd w:val="0"/>
        <w:ind w:left="640" w:hanging="640"/>
        <w:rPr>
          <w:noProof/>
        </w:rPr>
      </w:pPr>
      <w:r w:rsidRPr="00902ED9">
        <w:rPr>
          <w:noProof/>
        </w:rPr>
        <w:t>5.</w:t>
      </w:r>
      <w:r w:rsidRPr="00902ED9">
        <w:rPr>
          <w:noProof/>
        </w:rPr>
        <w:tab/>
        <w:t xml:space="preserve">Weatherall, P. </w:t>
      </w:r>
      <w:r w:rsidRPr="00902ED9">
        <w:rPr>
          <w:i/>
          <w:iCs/>
          <w:noProof/>
        </w:rPr>
        <w:t>et al.</w:t>
      </w:r>
      <w:r w:rsidRPr="00902ED9">
        <w:rPr>
          <w:noProof/>
        </w:rPr>
        <w:t xml:space="preserve"> A new digital bathymetric model of the world’s oceans. </w:t>
      </w:r>
      <w:r w:rsidRPr="00902ED9">
        <w:rPr>
          <w:i/>
          <w:iCs/>
          <w:noProof/>
        </w:rPr>
        <w:t>Earth Sp. Sci.</w:t>
      </w:r>
      <w:r w:rsidRPr="00902ED9">
        <w:rPr>
          <w:noProof/>
        </w:rPr>
        <w:t xml:space="preserve"> </w:t>
      </w:r>
      <w:r w:rsidRPr="00902ED9">
        <w:rPr>
          <w:b/>
          <w:bCs/>
          <w:noProof/>
        </w:rPr>
        <w:t>2</w:t>
      </w:r>
      <w:r w:rsidRPr="00902ED9">
        <w:rPr>
          <w:noProof/>
        </w:rPr>
        <w:t>, 331–345 (2015).</w:t>
      </w:r>
    </w:p>
    <w:p w14:paraId="0DD9EB32" w14:textId="77777777" w:rsidR="00902ED9" w:rsidRPr="00902ED9" w:rsidRDefault="00902ED9" w:rsidP="00902ED9">
      <w:pPr>
        <w:widowControl w:val="0"/>
        <w:autoSpaceDE w:val="0"/>
        <w:autoSpaceDN w:val="0"/>
        <w:adjustRightInd w:val="0"/>
        <w:ind w:left="640" w:hanging="640"/>
        <w:rPr>
          <w:noProof/>
        </w:rPr>
      </w:pPr>
      <w:r w:rsidRPr="00902ED9">
        <w:rPr>
          <w:noProof/>
        </w:rPr>
        <w:t>6.</w:t>
      </w:r>
      <w:r w:rsidRPr="00902ED9">
        <w:rPr>
          <w:noProof/>
        </w:rPr>
        <w:tab/>
        <w:t xml:space="preserve">Allsop, N. W. H., Cork, R. S. &amp; Verhagen,  ir. H.-J. A Database of Major Breakwaters Around the World. in </w:t>
      </w:r>
      <w:r w:rsidRPr="00902ED9">
        <w:rPr>
          <w:i/>
          <w:iCs/>
          <w:noProof/>
        </w:rPr>
        <w:t>Coasts, marine structures and breakwaters: Adapting to change</w:t>
      </w:r>
      <w:r w:rsidRPr="00902ED9">
        <w:rPr>
          <w:noProof/>
        </w:rPr>
        <w:t xml:space="preserve"> </w:t>
      </w:r>
      <w:r w:rsidRPr="00902ED9">
        <w:rPr>
          <w:b/>
          <w:bCs/>
          <w:noProof/>
        </w:rPr>
        <w:t>2</w:t>
      </w:r>
      <w:r w:rsidRPr="00902ED9">
        <w:rPr>
          <w:noProof/>
        </w:rPr>
        <w:t>, 2: 676-679 (Thomas Telford Ltd, 2010).</w:t>
      </w:r>
    </w:p>
    <w:p w14:paraId="7C2090F0" w14:textId="77777777" w:rsidR="00902ED9" w:rsidRPr="00902ED9" w:rsidRDefault="00902ED9" w:rsidP="00902ED9">
      <w:pPr>
        <w:widowControl w:val="0"/>
        <w:autoSpaceDE w:val="0"/>
        <w:autoSpaceDN w:val="0"/>
        <w:adjustRightInd w:val="0"/>
        <w:ind w:left="640" w:hanging="640"/>
        <w:rPr>
          <w:noProof/>
        </w:rPr>
      </w:pPr>
      <w:r w:rsidRPr="00902ED9">
        <w:rPr>
          <w:noProof/>
        </w:rPr>
        <w:t>7.</w:t>
      </w:r>
      <w:r w:rsidRPr="00902ED9">
        <w:rPr>
          <w:noProof/>
        </w:rPr>
        <w:tab/>
        <w:t xml:space="preserve">Wessel, P. &amp; Smith, W. H. F. A global, self-consistent, hierarchical, high-resolution shoreline database. </w:t>
      </w:r>
      <w:r w:rsidRPr="00902ED9">
        <w:rPr>
          <w:i/>
          <w:iCs/>
          <w:noProof/>
        </w:rPr>
        <w:t>J. Geophys. Res. Solid Earth</w:t>
      </w:r>
      <w:r w:rsidRPr="00902ED9">
        <w:rPr>
          <w:noProof/>
        </w:rPr>
        <w:t xml:space="preserve"> </w:t>
      </w:r>
      <w:r w:rsidRPr="00902ED9">
        <w:rPr>
          <w:b/>
          <w:bCs/>
          <w:noProof/>
        </w:rPr>
        <w:t>101</w:t>
      </w:r>
      <w:r w:rsidRPr="00902ED9">
        <w:rPr>
          <w:noProof/>
        </w:rPr>
        <w:t>, 8741–8743 (1996).</w:t>
      </w:r>
    </w:p>
    <w:p w14:paraId="086534BD" w14:textId="77777777" w:rsidR="00902ED9" w:rsidRPr="00902ED9" w:rsidRDefault="00902ED9" w:rsidP="00902ED9">
      <w:pPr>
        <w:widowControl w:val="0"/>
        <w:autoSpaceDE w:val="0"/>
        <w:autoSpaceDN w:val="0"/>
        <w:adjustRightInd w:val="0"/>
        <w:ind w:left="640" w:hanging="640"/>
        <w:rPr>
          <w:noProof/>
        </w:rPr>
      </w:pPr>
      <w:r w:rsidRPr="00902ED9">
        <w:rPr>
          <w:noProof/>
        </w:rPr>
        <w:t>8.</w:t>
      </w:r>
      <w:r w:rsidRPr="00902ED9">
        <w:rPr>
          <w:noProof/>
        </w:rPr>
        <w:tab/>
        <w:t xml:space="preserve">van der Meer, J. Design aspects of breakwaters and sea defences. </w:t>
      </w:r>
      <w:r w:rsidRPr="00902ED9">
        <w:rPr>
          <w:i/>
          <w:iCs/>
          <w:noProof/>
        </w:rPr>
        <w:t>5th Int. Short Conf. Appl. Coast. Res.</w:t>
      </w:r>
      <w:r w:rsidRPr="00902ED9">
        <w:rPr>
          <w:noProof/>
        </w:rPr>
        <w:t xml:space="preserve"> 1–32 (2011).</w:t>
      </w:r>
    </w:p>
    <w:p w14:paraId="2DA4D95A" w14:textId="77777777" w:rsidR="00902ED9" w:rsidRPr="00902ED9" w:rsidRDefault="00902ED9" w:rsidP="00902ED9">
      <w:pPr>
        <w:widowControl w:val="0"/>
        <w:autoSpaceDE w:val="0"/>
        <w:autoSpaceDN w:val="0"/>
        <w:adjustRightInd w:val="0"/>
        <w:ind w:left="640" w:hanging="640"/>
        <w:rPr>
          <w:noProof/>
        </w:rPr>
      </w:pPr>
      <w:r w:rsidRPr="00902ED9">
        <w:rPr>
          <w:noProof/>
        </w:rPr>
        <w:t>9.</w:t>
      </w:r>
      <w:r w:rsidRPr="00902ED9">
        <w:rPr>
          <w:noProof/>
        </w:rPr>
        <w:tab/>
        <w:t xml:space="preserve">van der Meer, J. W. Stability of the seaward slope of berm breakwaters. </w:t>
      </w:r>
      <w:r w:rsidRPr="00902ED9">
        <w:rPr>
          <w:i/>
          <w:iCs/>
          <w:noProof/>
        </w:rPr>
        <w:t>Coast. Eng.</w:t>
      </w:r>
      <w:r w:rsidRPr="00902ED9">
        <w:rPr>
          <w:noProof/>
        </w:rPr>
        <w:t xml:space="preserve"> </w:t>
      </w:r>
      <w:r w:rsidRPr="00902ED9">
        <w:rPr>
          <w:b/>
          <w:bCs/>
          <w:noProof/>
        </w:rPr>
        <w:t>16</w:t>
      </w:r>
      <w:r w:rsidRPr="00902ED9">
        <w:rPr>
          <w:noProof/>
        </w:rPr>
        <w:t>, 205–234 (1992).</w:t>
      </w:r>
    </w:p>
    <w:p w14:paraId="28332F5C" w14:textId="77777777" w:rsidR="00902ED9" w:rsidRPr="00902ED9" w:rsidRDefault="00902ED9" w:rsidP="00902ED9">
      <w:pPr>
        <w:widowControl w:val="0"/>
        <w:autoSpaceDE w:val="0"/>
        <w:autoSpaceDN w:val="0"/>
        <w:adjustRightInd w:val="0"/>
        <w:ind w:left="640" w:hanging="640"/>
        <w:rPr>
          <w:noProof/>
        </w:rPr>
      </w:pPr>
      <w:r w:rsidRPr="00902ED9">
        <w:rPr>
          <w:noProof/>
        </w:rPr>
        <w:t>10.</w:t>
      </w:r>
      <w:r w:rsidRPr="00902ED9">
        <w:rPr>
          <w:noProof/>
        </w:rPr>
        <w:tab/>
        <w:t xml:space="preserve">Muis, S. </w:t>
      </w:r>
      <w:r w:rsidRPr="00902ED9">
        <w:rPr>
          <w:i/>
          <w:iCs/>
          <w:noProof/>
        </w:rPr>
        <w:t>et al.</w:t>
      </w:r>
      <w:r w:rsidRPr="00902ED9">
        <w:rPr>
          <w:noProof/>
        </w:rPr>
        <w:t xml:space="preserve"> A High-Resolution Global Dataset of Extreme Sea Levels, Tides, and Storm Surges, Including Future Projections. </w:t>
      </w:r>
      <w:r w:rsidRPr="00902ED9">
        <w:rPr>
          <w:i/>
          <w:iCs/>
          <w:noProof/>
        </w:rPr>
        <w:t>Front. Mar. Sci.</w:t>
      </w:r>
      <w:r w:rsidRPr="00902ED9">
        <w:rPr>
          <w:noProof/>
        </w:rPr>
        <w:t xml:space="preserve"> </w:t>
      </w:r>
      <w:r w:rsidRPr="00902ED9">
        <w:rPr>
          <w:b/>
          <w:bCs/>
          <w:noProof/>
        </w:rPr>
        <w:t>7</w:t>
      </w:r>
      <w:r w:rsidRPr="00902ED9">
        <w:rPr>
          <w:noProof/>
        </w:rPr>
        <w:t>, 1–15 (2020).</w:t>
      </w:r>
    </w:p>
    <w:p w14:paraId="4EAC91D8" w14:textId="77777777" w:rsidR="00902ED9" w:rsidRPr="00902ED9" w:rsidRDefault="00902ED9" w:rsidP="00902ED9">
      <w:pPr>
        <w:widowControl w:val="0"/>
        <w:autoSpaceDE w:val="0"/>
        <w:autoSpaceDN w:val="0"/>
        <w:adjustRightInd w:val="0"/>
        <w:ind w:left="640" w:hanging="640"/>
        <w:rPr>
          <w:noProof/>
        </w:rPr>
      </w:pPr>
      <w:r w:rsidRPr="00902ED9">
        <w:rPr>
          <w:noProof/>
        </w:rPr>
        <w:t>11.</w:t>
      </w:r>
      <w:r w:rsidRPr="00902ED9">
        <w:rPr>
          <w:noProof/>
        </w:rPr>
        <w:tab/>
        <w:t xml:space="preserve">EurOtop. </w:t>
      </w:r>
      <w:r w:rsidRPr="00902ED9">
        <w:rPr>
          <w:i/>
          <w:iCs/>
          <w:noProof/>
        </w:rPr>
        <w:t>Manual on wave overtopping of sea defences and related structures. An overtopping manual largely based on European research, but for worldwide application.</w:t>
      </w:r>
      <w:r w:rsidRPr="00902ED9">
        <w:rPr>
          <w:noProof/>
        </w:rPr>
        <w:t xml:space="preserve"> (2018).</w:t>
      </w:r>
    </w:p>
    <w:p w14:paraId="4D63F8DD" w14:textId="77777777" w:rsidR="00902ED9" w:rsidRPr="00902ED9" w:rsidRDefault="00902ED9" w:rsidP="00902ED9">
      <w:pPr>
        <w:widowControl w:val="0"/>
        <w:autoSpaceDE w:val="0"/>
        <w:autoSpaceDN w:val="0"/>
        <w:adjustRightInd w:val="0"/>
        <w:ind w:left="640" w:hanging="640"/>
        <w:rPr>
          <w:noProof/>
        </w:rPr>
      </w:pPr>
      <w:r w:rsidRPr="00902ED9">
        <w:rPr>
          <w:noProof/>
        </w:rPr>
        <w:t>12.</w:t>
      </w:r>
      <w:r w:rsidRPr="00902ED9">
        <w:rPr>
          <w:noProof/>
        </w:rPr>
        <w:tab/>
        <w:t>Falk, H. &amp; Dalsgaard, J. Aalborg Universitet Choice of Safety Levels for Conventional Breakwaters. (2005).</w:t>
      </w:r>
    </w:p>
    <w:p w14:paraId="0F4F179F" w14:textId="77777777" w:rsidR="00902ED9" w:rsidRPr="00902ED9" w:rsidRDefault="00902ED9" w:rsidP="00902ED9">
      <w:pPr>
        <w:widowControl w:val="0"/>
        <w:autoSpaceDE w:val="0"/>
        <w:autoSpaceDN w:val="0"/>
        <w:adjustRightInd w:val="0"/>
        <w:ind w:left="640" w:hanging="640"/>
        <w:rPr>
          <w:noProof/>
        </w:rPr>
      </w:pPr>
      <w:r w:rsidRPr="00902ED9">
        <w:rPr>
          <w:noProof/>
        </w:rPr>
        <w:t>13.</w:t>
      </w:r>
      <w:r w:rsidRPr="00902ED9">
        <w:rPr>
          <w:noProof/>
        </w:rPr>
        <w:tab/>
        <w:t xml:space="preserve">Wallingford, H. </w:t>
      </w:r>
      <w:r w:rsidRPr="00902ED9">
        <w:rPr>
          <w:i/>
          <w:iCs/>
          <w:noProof/>
        </w:rPr>
        <w:t>Wave Overtopping of Seawalls: Design and Assessment Manual</w:t>
      </w:r>
      <w:r w:rsidRPr="00902ED9">
        <w:rPr>
          <w:noProof/>
        </w:rPr>
        <w:t xml:space="preserve">. </w:t>
      </w:r>
      <w:r w:rsidRPr="00902ED9">
        <w:rPr>
          <w:i/>
          <w:iCs/>
          <w:noProof/>
        </w:rPr>
        <w:t>R&amp;D technical report W178</w:t>
      </w:r>
      <w:r w:rsidRPr="00902ED9">
        <w:rPr>
          <w:noProof/>
        </w:rPr>
        <w:t xml:space="preserve"> (1999).</w:t>
      </w:r>
    </w:p>
    <w:p w14:paraId="6849E05D" w14:textId="77777777" w:rsidR="00902ED9" w:rsidRPr="00A1599B" w:rsidRDefault="00902ED9" w:rsidP="00902ED9">
      <w:pPr>
        <w:widowControl w:val="0"/>
        <w:autoSpaceDE w:val="0"/>
        <w:autoSpaceDN w:val="0"/>
        <w:adjustRightInd w:val="0"/>
        <w:ind w:left="640" w:hanging="640"/>
        <w:rPr>
          <w:noProof/>
          <w:lang w:val="nl-NL"/>
        </w:rPr>
      </w:pPr>
      <w:r w:rsidRPr="00902ED9">
        <w:rPr>
          <w:noProof/>
        </w:rPr>
        <w:t>14.</w:t>
      </w:r>
      <w:r w:rsidRPr="00902ED9">
        <w:rPr>
          <w:noProof/>
        </w:rPr>
        <w:tab/>
        <w:t xml:space="preserve">World Bank. Private Participation in Infrastructure Database. </w:t>
      </w:r>
      <w:r w:rsidRPr="00902ED9">
        <w:rPr>
          <w:i/>
          <w:iCs/>
          <w:noProof/>
        </w:rPr>
        <w:t>Port Sector Snapshot</w:t>
      </w:r>
      <w:r w:rsidRPr="00902ED9">
        <w:rPr>
          <w:noProof/>
        </w:rPr>
        <w:t xml:space="preserve"> (2021). Available at: https://ppi.worldbank.org/en/snapshots/sector/ports. </w:t>
      </w:r>
      <w:r w:rsidRPr="00A1599B">
        <w:rPr>
          <w:noProof/>
          <w:lang w:val="nl-NL"/>
        </w:rPr>
        <w:t>(Accessed: 4th June 2021)</w:t>
      </w:r>
    </w:p>
    <w:p w14:paraId="75313310" w14:textId="77777777" w:rsidR="00902ED9" w:rsidRPr="00A1599B" w:rsidRDefault="00902ED9" w:rsidP="00902ED9">
      <w:pPr>
        <w:widowControl w:val="0"/>
        <w:autoSpaceDE w:val="0"/>
        <w:autoSpaceDN w:val="0"/>
        <w:adjustRightInd w:val="0"/>
        <w:ind w:left="640" w:hanging="640"/>
        <w:rPr>
          <w:noProof/>
          <w:lang w:val="nl-NL"/>
        </w:rPr>
      </w:pPr>
      <w:r w:rsidRPr="00A1599B">
        <w:rPr>
          <w:noProof/>
          <w:lang w:val="nl-NL"/>
        </w:rPr>
        <w:t>15.</w:t>
      </w:r>
      <w:r w:rsidRPr="00A1599B">
        <w:rPr>
          <w:noProof/>
          <w:lang w:val="nl-NL"/>
        </w:rPr>
        <w:tab/>
        <w:t xml:space="preserve">Snuverink, M. A. M., van den Berg, K., Sluijs, L. &amp; van Proosdij, E. </w:t>
      </w:r>
      <w:r w:rsidRPr="00A1599B">
        <w:rPr>
          <w:i/>
          <w:iCs/>
          <w:noProof/>
          <w:lang w:val="nl-NL"/>
        </w:rPr>
        <w:t>Schade bij inundatie van buitendijkse industrie.</w:t>
      </w:r>
      <w:r w:rsidRPr="00A1599B">
        <w:rPr>
          <w:noProof/>
          <w:lang w:val="nl-NL"/>
        </w:rPr>
        <w:t xml:space="preserve"> </w:t>
      </w:r>
      <w:r w:rsidRPr="00A1599B">
        <w:rPr>
          <w:i/>
          <w:iCs/>
          <w:noProof/>
          <w:lang w:val="nl-NL"/>
        </w:rPr>
        <w:t>Inundatierisico’s buitendijkse gebieden</w:t>
      </w:r>
      <w:r w:rsidRPr="00A1599B">
        <w:rPr>
          <w:noProof/>
          <w:lang w:val="nl-NL"/>
        </w:rPr>
        <w:t xml:space="preserve"> (1998).</w:t>
      </w:r>
    </w:p>
    <w:p w14:paraId="7B80E080" w14:textId="77777777" w:rsidR="00902ED9" w:rsidRPr="00902ED9" w:rsidRDefault="00902ED9" w:rsidP="00902ED9">
      <w:pPr>
        <w:widowControl w:val="0"/>
        <w:autoSpaceDE w:val="0"/>
        <w:autoSpaceDN w:val="0"/>
        <w:adjustRightInd w:val="0"/>
        <w:ind w:left="640" w:hanging="640"/>
        <w:rPr>
          <w:noProof/>
        </w:rPr>
      </w:pPr>
      <w:r w:rsidRPr="00A1599B">
        <w:rPr>
          <w:noProof/>
          <w:lang w:val="nl-NL"/>
        </w:rPr>
        <w:t>16.</w:t>
      </w:r>
      <w:r w:rsidRPr="00A1599B">
        <w:rPr>
          <w:noProof/>
          <w:lang w:val="nl-NL"/>
        </w:rPr>
        <w:tab/>
        <w:t xml:space="preserve">Huizinga, J., De Moel, H. &amp; Szewczyk, W. </w:t>
      </w:r>
      <w:r w:rsidRPr="00A1599B">
        <w:rPr>
          <w:i/>
          <w:iCs/>
          <w:noProof/>
          <w:lang w:val="nl-NL"/>
        </w:rPr>
        <w:t xml:space="preserve">Global flood depth-damage functions. </w:t>
      </w:r>
      <w:r w:rsidRPr="00902ED9">
        <w:rPr>
          <w:i/>
          <w:iCs/>
          <w:noProof/>
        </w:rPr>
        <w:t>Methodology and the database with guidelines.</w:t>
      </w:r>
      <w:r w:rsidRPr="00902ED9">
        <w:rPr>
          <w:noProof/>
        </w:rPr>
        <w:t xml:space="preserve"> (2017). doi:10.2760/16510</w:t>
      </w:r>
    </w:p>
    <w:p w14:paraId="1A3179BA" w14:textId="77777777" w:rsidR="00902ED9" w:rsidRPr="00902ED9" w:rsidRDefault="00902ED9" w:rsidP="00902ED9">
      <w:pPr>
        <w:widowControl w:val="0"/>
        <w:autoSpaceDE w:val="0"/>
        <w:autoSpaceDN w:val="0"/>
        <w:adjustRightInd w:val="0"/>
        <w:ind w:left="640" w:hanging="640"/>
        <w:rPr>
          <w:noProof/>
        </w:rPr>
      </w:pPr>
      <w:r w:rsidRPr="00902ED9">
        <w:rPr>
          <w:noProof/>
        </w:rPr>
        <w:t>17.</w:t>
      </w:r>
      <w:r w:rsidRPr="00902ED9">
        <w:rPr>
          <w:noProof/>
        </w:rPr>
        <w:tab/>
        <w:t xml:space="preserve">ARE. </w:t>
      </w:r>
      <w:r w:rsidRPr="00902ED9">
        <w:rPr>
          <w:i/>
          <w:iCs/>
          <w:noProof/>
        </w:rPr>
        <w:t>Climate Costs for Asia Pacific Ports</w:t>
      </w:r>
      <w:r w:rsidRPr="00902ED9">
        <w:rPr>
          <w:noProof/>
        </w:rPr>
        <w:t>. (2018).</w:t>
      </w:r>
    </w:p>
    <w:p w14:paraId="77178558" w14:textId="77777777" w:rsidR="00902ED9" w:rsidRPr="00902ED9" w:rsidRDefault="00902ED9" w:rsidP="00902ED9">
      <w:pPr>
        <w:widowControl w:val="0"/>
        <w:autoSpaceDE w:val="0"/>
        <w:autoSpaceDN w:val="0"/>
        <w:adjustRightInd w:val="0"/>
        <w:ind w:left="640" w:hanging="640"/>
        <w:rPr>
          <w:noProof/>
        </w:rPr>
      </w:pPr>
      <w:r w:rsidRPr="00902ED9">
        <w:rPr>
          <w:noProof/>
        </w:rPr>
        <w:t>18.</w:t>
      </w:r>
      <w:r w:rsidRPr="00902ED9">
        <w:rPr>
          <w:noProof/>
        </w:rPr>
        <w:tab/>
        <w:t>Kox, S. A. J. A Tool for Determining Marine Terminal Dimensions and Costs in a Project’s Feasibility Phase. 203 (2016).</w:t>
      </w:r>
    </w:p>
    <w:p w14:paraId="5C638AB0" w14:textId="77777777" w:rsidR="00902ED9" w:rsidRPr="00902ED9" w:rsidRDefault="00902ED9" w:rsidP="00902ED9">
      <w:pPr>
        <w:widowControl w:val="0"/>
        <w:autoSpaceDE w:val="0"/>
        <w:autoSpaceDN w:val="0"/>
        <w:adjustRightInd w:val="0"/>
        <w:ind w:left="640" w:hanging="640"/>
        <w:rPr>
          <w:noProof/>
        </w:rPr>
      </w:pPr>
      <w:r w:rsidRPr="00902ED9">
        <w:rPr>
          <w:noProof/>
        </w:rPr>
        <w:t>19.</w:t>
      </w:r>
      <w:r w:rsidRPr="00902ED9">
        <w:rPr>
          <w:noProof/>
        </w:rPr>
        <w:tab/>
        <w:t xml:space="preserve">van Ginkel, K., Dottori, F., Alfieri, L., Feyen, L. &amp; Koks, E. Direct flood risk assessment of the European road network: an object-based approach. </w:t>
      </w:r>
      <w:r w:rsidRPr="00902ED9">
        <w:rPr>
          <w:i/>
          <w:iCs/>
          <w:noProof/>
        </w:rPr>
        <w:t>Nat. Hazards Earth Syst. Sci. Discuss.</w:t>
      </w:r>
      <w:r w:rsidRPr="00902ED9">
        <w:rPr>
          <w:noProof/>
        </w:rPr>
        <w:t xml:space="preserve"> 1–22 (2020). doi:10.5194/nhess-2020-104</w:t>
      </w:r>
    </w:p>
    <w:p w14:paraId="71CC5661" w14:textId="77777777" w:rsidR="00902ED9" w:rsidRPr="00902ED9" w:rsidRDefault="00902ED9" w:rsidP="00902ED9">
      <w:pPr>
        <w:widowControl w:val="0"/>
        <w:autoSpaceDE w:val="0"/>
        <w:autoSpaceDN w:val="0"/>
        <w:adjustRightInd w:val="0"/>
        <w:ind w:left="640" w:hanging="640"/>
        <w:rPr>
          <w:noProof/>
        </w:rPr>
      </w:pPr>
      <w:r w:rsidRPr="00902ED9">
        <w:rPr>
          <w:noProof/>
        </w:rPr>
        <w:t>20.</w:t>
      </w:r>
      <w:r w:rsidRPr="00902ED9">
        <w:rPr>
          <w:noProof/>
        </w:rPr>
        <w:tab/>
        <w:t xml:space="preserve">Attina, M. </w:t>
      </w:r>
      <w:r w:rsidRPr="00902ED9">
        <w:rPr>
          <w:i/>
          <w:iCs/>
          <w:noProof/>
        </w:rPr>
        <w:t>et al.</w:t>
      </w:r>
      <w:r w:rsidRPr="00902ED9">
        <w:rPr>
          <w:noProof/>
        </w:rPr>
        <w:t xml:space="preserve"> </w:t>
      </w:r>
      <w:r w:rsidRPr="00902ED9">
        <w:rPr>
          <w:i/>
          <w:iCs/>
          <w:noProof/>
        </w:rPr>
        <w:t>Assessment of unit costs (standard prices) of rail projects (CAPital EXpenditure)</w:t>
      </w:r>
      <w:r w:rsidRPr="00902ED9">
        <w:rPr>
          <w:noProof/>
        </w:rPr>
        <w:t>. (2018).</w:t>
      </w:r>
    </w:p>
    <w:p w14:paraId="471ABC47" w14:textId="77777777" w:rsidR="00902ED9" w:rsidRPr="00902ED9" w:rsidRDefault="00902ED9" w:rsidP="00902ED9">
      <w:pPr>
        <w:widowControl w:val="0"/>
        <w:autoSpaceDE w:val="0"/>
        <w:autoSpaceDN w:val="0"/>
        <w:adjustRightInd w:val="0"/>
        <w:ind w:left="640" w:hanging="640"/>
        <w:rPr>
          <w:noProof/>
        </w:rPr>
      </w:pPr>
      <w:r w:rsidRPr="00902ED9">
        <w:rPr>
          <w:noProof/>
        </w:rPr>
        <w:t>21.</w:t>
      </w:r>
      <w:r w:rsidRPr="00902ED9">
        <w:rPr>
          <w:noProof/>
        </w:rPr>
        <w:tab/>
        <w:t xml:space="preserve">Mason, T., Curry, T. &amp; Wilson, D. </w:t>
      </w:r>
      <w:r w:rsidRPr="00902ED9">
        <w:rPr>
          <w:i/>
          <w:iCs/>
          <w:noProof/>
        </w:rPr>
        <w:t>Captial costs for Transmission and Subsations</w:t>
      </w:r>
      <w:r w:rsidRPr="00902ED9">
        <w:rPr>
          <w:noProof/>
        </w:rPr>
        <w:t>. (2012).</w:t>
      </w:r>
    </w:p>
    <w:p w14:paraId="67B5BF24" w14:textId="77777777" w:rsidR="00902ED9" w:rsidRPr="00902ED9" w:rsidRDefault="00902ED9" w:rsidP="00902ED9">
      <w:pPr>
        <w:widowControl w:val="0"/>
        <w:autoSpaceDE w:val="0"/>
        <w:autoSpaceDN w:val="0"/>
        <w:adjustRightInd w:val="0"/>
        <w:ind w:left="640" w:hanging="640"/>
        <w:rPr>
          <w:noProof/>
        </w:rPr>
      </w:pPr>
      <w:r w:rsidRPr="00902ED9">
        <w:rPr>
          <w:noProof/>
        </w:rPr>
        <w:t>22.</w:t>
      </w:r>
      <w:r w:rsidRPr="00902ED9">
        <w:rPr>
          <w:noProof/>
        </w:rPr>
        <w:tab/>
        <w:t xml:space="preserve">FEMA. </w:t>
      </w:r>
      <w:r w:rsidRPr="00902ED9">
        <w:rPr>
          <w:i/>
          <w:iCs/>
          <w:noProof/>
        </w:rPr>
        <w:t>Hazus-MH Technical Manual Flood Model</w:t>
      </w:r>
      <w:r w:rsidRPr="00902ED9">
        <w:rPr>
          <w:noProof/>
        </w:rPr>
        <w:t xml:space="preserve">. </w:t>
      </w:r>
      <w:r w:rsidRPr="00902ED9">
        <w:rPr>
          <w:i/>
          <w:iCs/>
          <w:noProof/>
        </w:rPr>
        <w:t>Washington D.C: Department of Homeland Security</w:t>
      </w:r>
      <w:r w:rsidRPr="00902ED9">
        <w:rPr>
          <w:noProof/>
        </w:rPr>
        <w:t xml:space="preserve"> (2020).</w:t>
      </w:r>
    </w:p>
    <w:p w14:paraId="4272AFA1" w14:textId="77777777" w:rsidR="00902ED9" w:rsidRPr="00902ED9" w:rsidRDefault="00902ED9" w:rsidP="00902ED9">
      <w:pPr>
        <w:widowControl w:val="0"/>
        <w:autoSpaceDE w:val="0"/>
        <w:autoSpaceDN w:val="0"/>
        <w:adjustRightInd w:val="0"/>
        <w:ind w:left="640" w:hanging="640"/>
        <w:rPr>
          <w:noProof/>
        </w:rPr>
      </w:pPr>
      <w:r w:rsidRPr="00902ED9">
        <w:rPr>
          <w:noProof/>
        </w:rPr>
        <w:lastRenderedPageBreak/>
        <w:t>23.</w:t>
      </w:r>
      <w:r w:rsidRPr="00902ED9">
        <w:rPr>
          <w:noProof/>
        </w:rPr>
        <w:tab/>
        <w:t xml:space="preserve">Pitilakis, K. </w:t>
      </w:r>
      <w:r w:rsidRPr="00902ED9">
        <w:rPr>
          <w:i/>
          <w:iCs/>
          <w:noProof/>
        </w:rPr>
        <w:t>et al.</w:t>
      </w:r>
      <w:r w:rsidRPr="00902ED9">
        <w:rPr>
          <w:noProof/>
        </w:rPr>
        <w:t xml:space="preserve"> Application of stress test concepts for port infrastructures against natural hazards. The case of Thessaloniki port in Greece. </w:t>
      </w:r>
      <w:r w:rsidRPr="00902ED9">
        <w:rPr>
          <w:i/>
          <w:iCs/>
          <w:noProof/>
        </w:rPr>
        <w:t>Reliab. Eng. Syst. Saf.</w:t>
      </w:r>
      <w:r w:rsidRPr="00902ED9">
        <w:rPr>
          <w:noProof/>
        </w:rPr>
        <w:t xml:space="preserve"> </w:t>
      </w:r>
      <w:r w:rsidRPr="00902ED9">
        <w:rPr>
          <w:b/>
          <w:bCs/>
          <w:noProof/>
        </w:rPr>
        <w:t>184</w:t>
      </w:r>
      <w:r w:rsidRPr="00902ED9">
        <w:rPr>
          <w:noProof/>
        </w:rPr>
        <w:t>, 240–257 (2019).</w:t>
      </w:r>
    </w:p>
    <w:p w14:paraId="44C88E60" w14:textId="77777777" w:rsidR="00902ED9" w:rsidRPr="00902ED9" w:rsidRDefault="00902ED9" w:rsidP="00902ED9">
      <w:pPr>
        <w:widowControl w:val="0"/>
        <w:autoSpaceDE w:val="0"/>
        <w:autoSpaceDN w:val="0"/>
        <w:adjustRightInd w:val="0"/>
        <w:ind w:left="640" w:hanging="640"/>
        <w:rPr>
          <w:noProof/>
        </w:rPr>
      </w:pPr>
      <w:r w:rsidRPr="00A1599B">
        <w:rPr>
          <w:noProof/>
          <w:lang w:val="nl-NL"/>
        </w:rPr>
        <w:t>24.</w:t>
      </w:r>
      <w:r w:rsidRPr="00A1599B">
        <w:rPr>
          <w:noProof/>
          <w:lang w:val="nl-NL"/>
        </w:rPr>
        <w:tab/>
        <w:t xml:space="preserve">Koks, E. E. </w:t>
      </w:r>
      <w:r w:rsidRPr="00A1599B">
        <w:rPr>
          <w:i/>
          <w:iCs/>
          <w:noProof/>
          <w:lang w:val="nl-NL"/>
        </w:rPr>
        <w:t>et al.</w:t>
      </w:r>
      <w:r w:rsidRPr="00A1599B">
        <w:rPr>
          <w:noProof/>
          <w:lang w:val="nl-NL"/>
        </w:rPr>
        <w:t xml:space="preserve"> </w:t>
      </w:r>
      <w:r w:rsidRPr="00902ED9">
        <w:rPr>
          <w:noProof/>
        </w:rPr>
        <w:t xml:space="preserve">A global multi-hazard risk analysis of road and railway infrastructure assets. </w:t>
      </w:r>
      <w:r w:rsidRPr="00902ED9">
        <w:rPr>
          <w:i/>
          <w:iCs/>
          <w:noProof/>
        </w:rPr>
        <w:t>Nat. Commun.</w:t>
      </w:r>
      <w:r w:rsidRPr="00902ED9">
        <w:rPr>
          <w:noProof/>
        </w:rPr>
        <w:t xml:space="preserve"> </w:t>
      </w:r>
      <w:r w:rsidRPr="00902ED9">
        <w:rPr>
          <w:b/>
          <w:bCs/>
          <w:noProof/>
        </w:rPr>
        <w:t>10</w:t>
      </w:r>
      <w:r w:rsidRPr="00902ED9">
        <w:rPr>
          <w:noProof/>
        </w:rPr>
        <w:t>, 2677 (2019).</w:t>
      </w:r>
    </w:p>
    <w:p w14:paraId="5D0ADF60" w14:textId="77777777" w:rsidR="00902ED9" w:rsidRPr="00902ED9" w:rsidRDefault="00902ED9" w:rsidP="00902ED9">
      <w:pPr>
        <w:widowControl w:val="0"/>
        <w:autoSpaceDE w:val="0"/>
        <w:autoSpaceDN w:val="0"/>
        <w:adjustRightInd w:val="0"/>
        <w:ind w:left="640" w:hanging="640"/>
        <w:rPr>
          <w:noProof/>
        </w:rPr>
      </w:pPr>
      <w:r w:rsidRPr="00902ED9">
        <w:rPr>
          <w:noProof/>
        </w:rPr>
        <w:t>25.</w:t>
      </w:r>
      <w:r w:rsidRPr="00902ED9">
        <w:rPr>
          <w:noProof/>
        </w:rPr>
        <w:tab/>
        <w:t xml:space="preserve">Miyamoto International. </w:t>
      </w:r>
      <w:r w:rsidRPr="00902ED9">
        <w:rPr>
          <w:i/>
          <w:iCs/>
          <w:noProof/>
        </w:rPr>
        <w:t>Overview of Engineering Options for Increasing Infrastructure Resilience</w:t>
      </w:r>
      <w:r w:rsidRPr="00902ED9">
        <w:rPr>
          <w:noProof/>
        </w:rPr>
        <w:t>. (2019).</w:t>
      </w:r>
    </w:p>
    <w:p w14:paraId="0528524D" w14:textId="77777777" w:rsidR="00902ED9" w:rsidRPr="00902ED9" w:rsidRDefault="00902ED9" w:rsidP="00902ED9">
      <w:pPr>
        <w:widowControl w:val="0"/>
        <w:autoSpaceDE w:val="0"/>
        <w:autoSpaceDN w:val="0"/>
        <w:adjustRightInd w:val="0"/>
        <w:ind w:left="640" w:hanging="640"/>
        <w:rPr>
          <w:noProof/>
        </w:rPr>
      </w:pPr>
      <w:r w:rsidRPr="00902ED9">
        <w:rPr>
          <w:noProof/>
        </w:rPr>
        <w:t>26.</w:t>
      </w:r>
      <w:r w:rsidRPr="00902ED9">
        <w:rPr>
          <w:noProof/>
        </w:rPr>
        <w:tab/>
        <w:t xml:space="preserve">Kaynia, A. M. </w:t>
      </w:r>
      <w:r w:rsidRPr="00902ED9">
        <w:rPr>
          <w:i/>
          <w:iCs/>
          <w:noProof/>
        </w:rPr>
        <w:t>Guidelines for deriving seismic fragility functions of elements at risk: Buildings, lifelines, transportation networks and critical facilities, SYNER-G Reference Report 4</w:t>
      </w:r>
      <w:r w:rsidRPr="00902ED9">
        <w:rPr>
          <w:noProof/>
        </w:rPr>
        <w:t xml:space="preserve">. </w:t>
      </w:r>
      <w:r w:rsidRPr="00902ED9">
        <w:rPr>
          <w:i/>
          <w:iCs/>
          <w:noProof/>
        </w:rPr>
        <w:t>JRC Scientific and Policy Reports</w:t>
      </w:r>
      <w:r w:rsidRPr="00902ED9">
        <w:rPr>
          <w:noProof/>
        </w:rPr>
        <w:t xml:space="preserve"> (2013). doi:10.2788/19605</w:t>
      </w:r>
    </w:p>
    <w:p w14:paraId="76EA0114" w14:textId="77777777" w:rsidR="00902ED9" w:rsidRPr="00902ED9" w:rsidRDefault="00902ED9" w:rsidP="00902ED9">
      <w:pPr>
        <w:widowControl w:val="0"/>
        <w:autoSpaceDE w:val="0"/>
        <w:autoSpaceDN w:val="0"/>
        <w:adjustRightInd w:val="0"/>
        <w:ind w:left="640" w:hanging="640"/>
        <w:rPr>
          <w:noProof/>
        </w:rPr>
      </w:pPr>
      <w:r w:rsidRPr="00902ED9">
        <w:rPr>
          <w:noProof/>
        </w:rPr>
        <w:t>27.</w:t>
      </w:r>
      <w:r w:rsidRPr="00902ED9">
        <w:rPr>
          <w:noProof/>
        </w:rPr>
        <w:tab/>
        <w:t xml:space="preserve">Guo, K., Zhou, C., Meng, L. &amp; Zhang, X. Seismic vulnerability assessment of reinforced concrete silo considering granular material-structure interaction. </w:t>
      </w:r>
      <w:r w:rsidRPr="00902ED9">
        <w:rPr>
          <w:i/>
          <w:iCs/>
          <w:noProof/>
        </w:rPr>
        <w:t>Struct. Des. Tall Spec. Build.</w:t>
      </w:r>
      <w:r w:rsidRPr="00902ED9">
        <w:rPr>
          <w:noProof/>
        </w:rPr>
        <w:t xml:space="preserve"> </w:t>
      </w:r>
      <w:r w:rsidRPr="00902ED9">
        <w:rPr>
          <w:b/>
          <w:bCs/>
          <w:noProof/>
        </w:rPr>
        <w:t>25</w:t>
      </w:r>
      <w:r w:rsidRPr="00902ED9">
        <w:rPr>
          <w:noProof/>
        </w:rPr>
        <w:t>, 1011–1030 (2016).</w:t>
      </w:r>
    </w:p>
    <w:p w14:paraId="0A384372" w14:textId="77777777" w:rsidR="00902ED9" w:rsidRPr="00902ED9" w:rsidRDefault="00902ED9" w:rsidP="00902ED9">
      <w:pPr>
        <w:widowControl w:val="0"/>
        <w:autoSpaceDE w:val="0"/>
        <w:autoSpaceDN w:val="0"/>
        <w:adjustRightInd w:val="0"/>
        <w:ind w:left="640" w:hanging="640"/>
        <w:rPr>
          <w:noProof/>
        </w:rPr>
      </w:pPr>
      <w:r w:rsidRPr="00902ED9">
        <w:rPr>
          <w:noProof/>
        </w:rPr>
        <w:t>28.</w:t>
      </w:r>
      <w:r w:rsidRPr="00902ED9">
        <w:rPr>
          <w:noProof/>
        </w:rPr>
        <w:tab/>
        <w:t xml:space="preserve">Na, U. J. &amp; Shinozuka, M. Simulation-based seismic loss estimation of seaport transportation system. </w:t>
      </w:r>
      <w:r w:rsidRPr="00902ED9">
        <w:rPr>
          <w:i/>
          <w:iCs/>
          <w:noProof/>
        </w:rPr>
        <w:t>Reliab. Eng. Syst. Saf.</w:t>
      </w:r>
      <w:r w:rsidRPr="00902ED9">
        <w:rPr>
          <w:noProof/>
        </w:rPr>
        <w:t xml:space="preserve"> </w:t>
      </w:r>
      <w:r w:rsidRPr="00902ED9">
        <w:rPr>
          <w:b/>
          <w:bCs/>
          <w:noProof/>
        </w:rPr>
        <w:t>94</w:t>
      </w:r>
      <w:r w:rsidRPr="00902ED9">
        <w:rPr>
          <w:noProof/>
        </w:rPr>
        <w:t>, 722–731 (2009).</w:t>
      </w:r>
    </w:p>
    <w:p w14:paraId="2B802489" w14:textId="77777777" w:rsidR="00902ED9" w:rsidRPr="00902ED9" w:rsidRDefault="00902ED9" w:rsidP="00902ED9">
      <w:pPr>
        <w:widowControl w:val="0"/>
        <w:autoSpaceDE w:val="0"/>
        <w:autoSpaceDN w:val="0"/>
        <w:adjustRightInd w:val="0"/>
        <w:ind w:left="640" w:hanging="640"/>
        <w:rPr>
          <w:noProof/>
        </w:rPr>
      </w:pPr>
      <w:r w:rsidRPr="00902ED9">
        <w:rPr>
          <w:noProof/>
        </w:rPr>
        <w:t>29.</w:t>
      </w:r>
      <w:r w:rsidRPr="00902ED9">
        <w:rPr>
          <w:noProof/>
        </w:rPr>
        <w:tab/>
        <w:t>Argyroudis, S. &amp; Kaynia, A. M. Fragility Functions of Highway and Railway Infrastructure. in (eds. Pitilakis, K., Crowley, H. &amp; Kaynia, A. M.) 299–326 (Springer Netherlands, 2014). doi:10.1007/978-94-007-7872-6_10</w:t>
      </w:r>
    </w:p>
    <w:p w14:paraId="6E06777B" w14:textId="77777777" w:rsidR="00902ED9" w:rsidRPr="00902ED9" w:rsidRDefault="00902ED9" w:rsidP="00902ED9">
      <w:pPr>
        <w:widowControl w:val="0"/>
        <w:autoSpaceDE w:val="0"/>
        <w:autoSpaceDN w:val="0"/>
        <w:adjustRightInd w:val="0"/>
        <w:ind w:left="640" w:hanging="640"/>
        <w:rPr>
          <w:noProof/>
        </w:rPr>
      </w:pPr>
      <w:r w:rsidRPr="00902ED9">
        <w:rPr>
          <w:noProof/>
        </w:rPr>
        <w:t>30.</w:t>
      </w:r>
      <w:r w:rsidRPr="00902ED9">
        <w:rPr>
          <w:noProof/>
        </w:rPr>
        <w:tab/>
        <w:t xml:space="preserve">Kameshwar, S. &amp; Padgett, J. E. Fragility and Resilience Indicators for Portfolio of Oil Storage Tanks Subjected to Hurricanes. </w:t>
      </w:r>
      <w:r w:rsidRPr="00902ED9">
        <w:rPr>
          <w:i/>
          <w:iCs/>
          <w:noProof/>
        </w:rPr>
        <w:t>J. Infrastruct. Syst.</w:t>
      </w:r>
      <w:r w:rsidRPr="00902ED9">
        <w:rPr>
          <w:noProof/>
        </w:rPr>
        <w:t xml:space="preserve"> </w:t>
      </w:r>
      <w:r w:rsidRPr="00902ED9">
        <w:rPr>
          <w:b/>
          <w:bCs/>
          <w:noProof/>
        </w:rPr>
        <w:t>24</w:t>
      </w:r>
      <w:r w:rsidRPr="00902ED9">
        <w:rPr>
          <w:noProof/>
        </w:rPr>
        <w:t>, 04018003 (2018).</w:t>
      </w:r>
    </w:p>
    <w:p w14:paraId="0922901D" w14:textId="77777777" w:rsidR="00902ED9" w:rsidRPr="00902ED9" w:rsidRDefault="00902ED9" w:rsidP="00902ED9">
      <w:pPr>
        <w:widowControl w:val="0"/>
        <w:autoSpaceDE w:val="0"/>
        <w:autoSpaceDN w:val="0"/>
        <w:adjustRightInd w:val="0"/>
        <w:ind w:left="640" w:hanging="640"/>
        <w:rPr>
          <w:noProof/>
        </w:rPr>
      </w:pPr>
      <w:r w:rsidRPr="00902ED9">
        <w:rPr>
          <w:noProof/>
        </w:rPr>
        <w:t>31.</w:t>
      </w:r>
      <w:r w:rsidRPr="00902ED9">
        <w:rPr>
          <w:noProof/>
        </w:rPr>
        <w:tab/>
        <w:t xml:space="preserve">Lee, S., Ham, H. J. &amp; Kim, H. J. Fragility assessment for cladding of industrial buildings subjected to extreme wind. </w:t>
      </w:r>
      <w:r w:rsidRPr="00902ED9">
        <w:rPr>
          <w:i/>
          <w:iCs/>
          <w:noProof/>
        </w:rPr>
        <w:t>J. Asian Archit. Build. Eng.</w:t>
      </w:r>
      <w:r w:rsidRPr="00902ED9">
        <w:rPr>
          <w:noProof/>
        </w:rPr>
        <w:t xml:space="preserve"> </w:t>
      </w:r>
      <w:r w:rsidRPr="00902ED9">
        <w:rPr>
          <w:b/>
          <w:bCs/>
          <w:noProof/>
        </w:rPr>
        <w:t>12</w:t>
      </w:r>
      <w:r w:rsidRPr="00902ED9">
        <w:rPr>
          <w:noProof/>
        </w:rPr>
        <w:t>, 65–72 (2013).</w:t>
      </w:r>
    </w:p>
    <w:p w14:paraId="0DFF67B4" w14:textId="77777777" w:rsidR="00902ED9" w:rsidRPr="00902ED9" w:rsidRDefault="00902ED9" w:rsidP="00902ED9">
      <w:pPr>
        <w:widowControl w:val="0"/>
        <w:autoSpaceDE w:val="0"/>
        <w:autoSpaceDN w:val="0"/>
        <w:adjustRightInd w:val="0"/>
        <w:ind w:left="640" w:hanging="640"/>
        <w:rPr>
          <w:noProof/>
        </w:rPr>
      </w:pPr>
      <w:r w:rsidRPr="00902ED9">
        <w:rPr>
          <w:noProof/>
        </w:rPr>
        <w:t>32.</w:t>
      </w:r>
      <w:r w:rsidRPr="00902ED9">
        <w:rPr>
          <w:noProof/>
        </w:rPr>
        <w:tab/>
        <w:t xml:space="preserve">Gur, S. &amp; Ray-Chaudhuri, S. Vulnerability assessment of container cranes under stochastic wind loading. </w:t>
      </w:r>
      <w:r w:rsidRPr="00902ED9">
        <w:rPr>
          <w:i/>
          <w:iCs/>
          <w:noProof/>
        </w:rPr>
        <w:t>Struct. Infrastruct. Eng.</w:t>
      </w:r>
      <w:r w:rsidRPr="00902ED9">
        <w:rPr>
          <w:noProof/>
        </w:rPr>
        <w:t xml:space="preserve"> </w:t>
      </w:r>
      <w:r w:rsidRPr="00902ED9">
        <w:rPr>
          <w:b/>
          <w:bCs/>
          <w:noProof/>
        </w:rPr>
        <w:t>10</w:t>
      </w:r>
      <w:r w:rsidRPr="00902ED9">
        <w:rPr>
          <w:noProof/>
        </w:rPr>
        <w:t>, 1511–1530 (2014).</w:t>
      </w:r>
    </w:p>
    <w:p w14:paraId="1A3A1C97" w14:textId="77777777" w:rsidR="00902ED9" w:rsidRPr="00902ED9" w:rsidRDefault="00902ED9" w:rsidP="00902ED9">
      <w:pPr>
        <w:widowControl w:val="0"/>
        <w:autoSpaceDE w:val="0"/>
        <w:autoSpaceDN w:val="0"/>
        <w:adjustRightInd w:val="0"/>
        <w:ind w:left="640" w:hanging="640"/>
        <w:rPr>
          <w:noProof/>
        </w:rPr>
      </w:pPr>
      <w:r w:rsidRPr="00902ED9">
        <w:rPr>
          <w:noProof/>
        </w:rPr>
        <w:t>33.</w:t>
      </w:r>
      <w:r w:rsidRPr="00902ED9">
        <w:rPr>
          <w:noProof/>
        </w:rPr>
        <w:tab/>
        <w:t xml:space="preserve">FEMA. </w:t>
      </w:r>
      <w:r w:rsidRPr="00902ED9">
        <w:rPr>
          <w:i/>
          <w:iCs/>
          <w:noProof/>
        </w:rPr>
        <w:t>Hazus Earthquake Model Technical Manual</w:t>
      </w:r>
      <w:r w:rsidRPr="00902ED9">
        <w:rPr>
          <w:noProof/>
        </w:rPr>
        <w:t xml:space="preserve">. </w:t>
      </w:r>
      <w:r w:rsidRPr="00902ED9">
        <w:rPr>
          <w:i/>
          <w:iCs/>
          <w:noProof/>
        </w:rPr>
        <w:t>HAZUS 4.2 SP3</w:t>
      </w:r>
      <w:r w:rsidRPr="00902ED9">
        <w:rPr>
          <w:noProof/>
        </w:rPr>
        <w:t xml:space="preserve"> (2020).</w:t>
      </w:r>
    </w:p>
    <w:p w14:paraId="4267892C" w14:textId="77777777" w:rsidR="00902ED9" w:rsidRPr="00902ED9" w:rsidRDefault="00902ED9" w:rsidP="00902ED9">
      <w:pPr>
        <w:widowControl w:val="0"/>
        <w:autoSpaceDE w:val="0"/>
        <w:autoSpaceDN w:val="0"/>
        <w:adjustRightInd w:val="0"/>
        <w:ind w:left="640" w:hanging="640"/>
        <w:rPr>
          <w:noProof/>
        </w:rPr>
      </w:pPr>
      <w:r w:rsidRPr="00902ED9">
        <w:rPr>
          <w:noProof/>
        </w:rPr>
        <w:t>34.</w:t>
      </w:r>
      <w:r w:rsidRPr="00902ED9">
        <w:rPr>
          <w:noProof/>
        </w:rPr>
        <w:tab/>
        <w:t xml:space="preserve">Verschuur, J., Koks, E. E. &amp; Hall, J. W. Port disruptions due to natural disasters: Insights into port and logistics resilience. </w:t>
      </w:r>
      <w:r w:rsidRPr="00902ED9">
        <w:rPr>
          <w:i/>
          <w:iCs/>
          <w:noProof/>
        </w:rPr>
        <w:t>Transp. Res. Part D Transp. Environ.</w:t>
      </w:r>
      <w:r w:rsidRPr="00902ED9">
        <w:rPr>
          <w:noProof/>
        </w:rPr>
        <w:t xml:space="preserve"> </w:t>
      </w:r>
      <w:r w:rsidRPr="00902ED9">
        <w:rPr>
          <w:b/>
          <w:bCs/>
          <w:noProof/>
        </w:rPr>
        <w:t>85</w:t>
      </w:r>
      <w:r w:rsidRPr="00902ED9">
        <w:rPr>
          <w:noProof/>
        </w:rPr>
        <w:t>, 102393 (2020).</w:t>
      </w:r>
    </w:p>
    <w:p w14:paraId="19063F4B" w14:textId="77777777" w:rsidR="00902ED9" w:rsidRPr="00902ED9" w:rsidRDefault="00902ED9" w:rsidP="00902ED9">
      <w:pPr>
        <w:widowControl w:val="0"/>
        <w:autoSpaceDE w:val="0"/>
        <w:autoSpaceDN w:val="0"/>
        <w:adjustRightInd w:val="0"/>
        <w:ind w:left="640" w:hanging="640"/>
        <w:rPr>
          <w:noProof/>
        </w:rPr>
      </w:pPr>
      <w:r w:rsidRPr="00902ED9">
        <w:rPr>
          <w:noProof/>
        </w:rPr>
        <w:t>35.</w:t>
      </w:r>
      <w:r w:rsidRPr="00902ED9">
        <w:rPr>
          <w:noProof/>
        </w:rPr>
        <w:tab/>
        <w:t xml:space="preserve">Zhang, Y. </w:t>
      </w:r>
      <w:r w:rsidRPr="00902ED9">
        <w:rPr>
          <w:i/>
          <w:iCs/>
          <w:noProof/>
        </w:rPr>
        <w:t>et al.</w:t>
      </w:r>
      <w:r w:rsidRPr="00902ED9">
        <w:rPr>
          <w:noProof/>
        </w:rPr>
        <w:t xml:space="preserve"> Economic impact of typhoon-induced wind disasters on port operations: A case study of ports in China. </w:t>
      </w:r>
      <w:r w:rsidRPr="00902ED9">
        <w:rPr>
          <w:i/>
          <w:iCs/>
          <w:noProof/>
        </w:rPr>
        <w:t>Int. J. Disaster Risk Reduct.</w:t>
      </w:r>
      <w:r w:rsidRPr="00902ED9">
        <w:rPr>
          <w:noProof/>
        </w:rPr>
        <w:t xml:space="preserve"> </w:t>
      </w:r>
      <w:r w:rsidRPr="00902ED9">
        <w:rPr>
          <w:b/>
          <w:bCs/>
          <w:noProof/>
        </w:rPr>
        <w:t>50</w:t>
      </w:r>
      <w:r w:rsidRPr="00902ED9">
        <w:rPr>
          <w:noProof/>
        </w:rPr>
        <w:t>, 101719 (2020).</w:t>
      </w:r>
    </w:p>
    <w:p w14:paraId="2748830F" w14:textId="1FB6DFB6" w:rsidR="00400539" w:rsidRPr="00487BF3" w:rsidRDefault="0095697F" w:rsidP="00902ED9">
      <w:pPr>
        <w:widowControl w:val="0"/>
        <w:autoSpaceDE w:val="0"/>
        <w:autoSpaceDN w:val="0"/>
        <w:adjustRightInd w:val="0"/>
        <w:ind w:left="640" w:hanging="640"/>
      </w:pPr>
      <w:r w:rsidRPr="008E49D3">
        <w:fldChar w:fldCharType="end"/>
      </w:r>
    </w:p>
    <w:sectPr w:rsidR="00400539" w:rsidRPr="00487BF3" w:rsidSect="00032A56">
      <w:pgSz w:w="11952" w:h="1684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01DF5" w14:textId="77777777" w:rsidR="00835107" w:rsidRDefault="00835107" w:rsidP="00160897">
      <w:r>
        <w:separator/>
      </w:r>
    </w:p>
  </w:endnote>
  <w:endnote w:type="continuationSeparator" w:id="0">
    <w:p w14:paraId="021A4D4F" w14:textId="77777777" w:rsidR="00835107" w:rsidRDefault="00835107" w:rsidP="00160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CCF0" w14:textId="77777777" w:rsidR="0095697F" w:rsidRDefault="0095697F">
    <w:pPr>
      <w:pStyle w:val="Footer"/>
      <w:jc w:val="right"/>
    </w:pPr>
    <w:r>
      <w:fldChar w:fldCharType="begin"/>
    </w:r>
    <w:r>
      <w:instrText xml:space="preserve"> PAGE   \* MERGEFORMAT </w:instrText>
    </w:r>
    <w:r>
      <w:fldChar w:fldCharType="separate"/>
    </w:r>
    <w:r>
      <w:rPr>
        <w:noProof/>
      </w:rPr>
      <w:t>1</w:t>
    </w:r>
    <w:r>
      <w:fldChar w:fldCharType="end"/>
    </w:r>
  </w:p>
  <w:p w14:paraId="68A3D1D3" w14:textId="77777777" w:rsidR="0095697F" w:rsidRDefault="009569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FA2FC" w14:textId="77777777" w:rsidR="00835107" w:rsidRDefault="00835107" w:rsidP="00160897">
      <w:r>
        <w:separator/>
      </w:r>
    </w:p>
  </w:footnote>
  <w:footnote w:type="continuationSeparator" w:id="0">
    <w:p w14:paraId="1A113DCC" w14:textId="77777777" w:rsidR="00835107" w:rsidRDefault="00835107" w:rsidP="00160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FBF19" w14:textId="77777777" w:rsidR="0095697F" w:rsidRPr="005001AC" w:rsidRDefault="0095697F" w:rsidP="005001AC">
    <w:pPr>
      <w:jc w:val="right"/>
      <w:rPr>
        <w:sz w:val="20"/>
      </w:rPr>
    </w:pPr>
  </w:p>
  <w:p w14:paraId="28E3177F" w14:textId="77777777" w:rsidR="0095697F" w:rsidRDefault="009569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383"/>
    <w:rsid w:val="000259D5"/>
    <w:rsid w:val="00032A56"/>
    <w:rsid w:val="000606B5"/>
    <w:rsid w:val="00080B16"/>
    <w:rsid w:val="000D1C26"/>
    <w:rsid w:val="000E1813"/>
    <w:rsid w:val="000E394C"/>
    <w:rsid w:val="00112568"/>
    <w:rsid w:val="00160897"/>
    <w:rsid w:val="00161A31"/>
    <w:rsid w:val="001733CB"/>
    <w:rsid w:val="00187EFD"/>
    <w:rsid w:val="001A1F2B"/>
    <w:rsid w:val="001B0B84"/>
    <w:rsid w:val="001F2F53"/>
    <w:rsid w:val="002057A4"/>
    <w:rsid w:val="00224AEA"/>
    <w:rsid w:val="002B12E4"/>
    <w:rsid w:val="002D3535"/>
    <w:rsid w:val="002F151E"/>
    <w:rsid w:val="002F7C01"/>
    <w:rsid w:val="003B4349"/>
    <w:rsid w:val="003D4DB0"/>
    <w:rsid w:val="00400539"/>
    <w:rsid w:val="00460DFF"/>
    <w:rsid w:val="004654AB"/>
    <w:rsid w:val="00473E63"/>
    <w:rsid w:val="00487BF3"/>
    <w:rsid w:val="005312DE"/>
    <w:rsid w:val="00541CE1"/>
    <w:rsid w:val="00575383"/>
    <w:rsid w:val="00576019"/>
    <w:rsid w:val="00590F2F"/>
    <w:rsid w:val="005973CD"/>
    <w:rsid w:val="005D02F0"/>
    <w:rsid w:val="00626144"/>
    <w:rsid w:val="006A685B"/>
    <w:rsid w:val="007374EE"/>
    <w:rsid w:val="00745207"/>
    <w:rsid w:val="007F750B"/>
    <w:rsid w:val="008068FF"/>
    <w:rsid w:val="00813267"/>
    <w:rsid w:val="00835107"/>
    <w:rsid w:val="00887F2D"/>
    <w:rsid w:val="00895368"/>
    <w:rsid w:val="008A1D3A"/>
    <w:rsid w:val="008C1A4F"/>
    <w:rsid w:val="00902ED9"/>
    <w:rsid w:val="009118DC"/>
    <w:rsid w:val="00940092"/>
    <w:rsid w:val="0095697F"/>
    <w:rsid w:val="0098461F"/>
    <w:rsid w:val="009D18E2"/>
    <w:rsid w:val="009E1EEA"/>
    <w:rsid w:val="00A1599B"/>
    <w:rsid w:val="00A621A5"/>
    <w:rsid w:val="00A70B40"/>
    <w:rsid w:val="00A7679D"/>
    <w:rsid w:val="00AF5E06"/>
    <w:rsid w:val="00BC6716"/>
    <w:rsid w:val="00C33E77"/>
    <w:rsid w:val="00C5366F"/>
    <w:rsid w:val="00C63C11"/>
    <w:rsid w:val="00C84691"/>
    <w:rsid w:val="00CF5B72"/>
    <w:rsid w:val="00D20180"/>
    <w:rsid w:val="00DA2C8D"/>
    <w:rsid w:val="00E34FC9"/>
    <w:rsid w:val="00E62700"/>
    <w:rsid w:val="00E95054"/>
    <w:rsid w:val="00EE2DD6"/>
    <w:rsid w:val="00F07026"/>
    <w:rsid w:val="00F66CBE"/>
    <w:rsid w:val="00F9011E"/>
    <w:rsid w:val="00FA5C29"/>
    <w:rsid w:val="00FC4A13"/>
    <w:rsid w:val="00FD144C"/>
    <w:rsid w:val="00FF075E"/>
    <w:rsid w:val="00FF3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59EF4"/>
  <w15:chartTrackingRefBased/>
  <w15:docId w15:val="{8BFA3CF9-01A2-7F4B-AB7B-EB42E3ED2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02F0"/>
    <w:rPr>
      <w:rFonts w:eastAsia="Times New Roman"/>
      <w:lang w:eastAsia="en-GB"/>
    </w:rPr>
  </w:style>
  <w:style w:type="paragraph" w:styleId="Heading1">
    <w:name w:val="heading 1"/>
    <w:basedOn w:val="Normal"/>
    <w:next w:val="Normal"/>
    <w:link w:val="Heading1Char"/>
    <w:qFormat/>
    <w:rsid w:val="003B43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qFormat/>
    <w:rsid w:val="0095697F"/>
    <w:pPr>
      <w:keepNext/>
      <w:spacing w:before="240" w:after="60"/>
      <w:outlineLvl w:val="1"/>
    </w:pPr>
    <w:rPr>
      <w:rFonts w:ascii="Cambria" w:hAnsi="Cambria"/>
      <w:b/>
      <w:bCs/>
      <w:i/>
      <w:iCs/>
      <w:sz w:val="28"/>
      <w:szCs w:val="28"/>
      <w:lang w:val="en-US" w:eastAsia="en-US"/>
    </w:rPr>
  </w:style>
  <w:style w:type="paragraph" w:styleId="Heading3">
    <w:name w:val="heading 3"/>
    <w:basedOn w:val="Normal"/>
    <w:next w:val="Normal"/>
    <w:link w:val="Heading3Char"/>
    <w:semiHidden/>
    <w:qFormat/>
    <w:rsid w:val="0095697F"/>
    <w:pPr>
      <w:keepNext/>
      <w:spacing w:line="480" w:lineRule="auto"/>
      <w:outlineLvl w:val="2"/>
    </w:pPr>
    <w:rPr>
      <w:rFonts w:ascii="Times" w:eastAsia="Times" w:hAnsi="Times"/>
      <w:b/>
      <w:szCs w:val="20"/>
      <w:lang w:val="en-US" w:eastAsia="en-US"/>
    </w:rPr>
  </w:style>
  <w:style w:type="paragraph" w:styleId="Heading4">
    <w:name w:val="heading 4"/>
    <w:basedOn w:val="Normal"/>
    <w:next w:val="Normal"/>
    <w:link w:val="Heading4Char"/>
    <w:semiHidden/>
    <w:qFormat/>
    <w:rsid w:val="0095697F"/>
    <w:pPr>
      <w:keepNext/>
      <w:spacing w:line="480" w:lineRule="auto"/>
      <w:outlineLvl w:val="3"/>
    </w:pPr>
    <w:rPr>
      <w:rFonts w:ascii="Times" w:hAnsi="Times"/>
      <w:b/>
      <w:color w:val="0000FF"/>
      <w:sz w:val="44"/>
      <w:szCs w:val="20"/>
      <w:lang w:val="en-US" w:eastAsia="en-US"/>
    </w:rPr>
  </w:style>
  <w:style w:type="paragraph" w:styleId="Heading5">
    <w:name w:val="heading 5"/>
    <w:basedOn w:val="Normal"/>
    <w:next w:val="Normal"/>
    <w:link w:val="Heading5Char"/>
    <w:semiHidden/>
    <w:qFormat/>
    <w:rsid w:val="0095697F"/>
    <w:pPr>
      <w:spacing w:before="240" w:after="60"/>
      <w:outlineLvl w:val="4"/>
    </w:pPr>
    <w:rPr>
      <w:rFonts w:ascii="Calibri" w:hAnsi="Calibri"/>
      <w:b/>
      <w:bCs/>
      <w:i/>
      <w:iCs/>
      <w:sz w:val="26"/>
      <w:szCs w:val="26"/>
      <w:lang w:val="en-US" w:eastAsia="en-US"/>
    </w:rPr>
  </w:style>
  <w:style w:type="paragraph" w:styleId="Heading6">
    <w:name w:val="heading 6"/>
    <w:basedOn w:val="Normal"/>
    <w:next w:val="Normal"/>
    <w:link w:val="Heading6Char"/>
    <w:semiHidden/>
    <w:qFormat/>
    <w:rsid w:val="0095697F"/>
    <w:pPr>
      <w:spacing w:before="240" w:after="60"/>
      <w:outlineLvl w:val="5"/>
    </w:pPr>
    <w:rPr>
      <w:rFonts w:ascii="Calibri" w:hAnsi="Calibri"/>
      <w:b/>
      <w:bCs/>
      <w:sz w:val="22"/>
      <w:szCs w:val="22"/>
      <w:lang w:val="en-US" w:eastAsia="en-US"/>
    </w:rPr>
  </w:style>
  <w:style w:type="paragraph" w:styleId="Heading7">
    <w:name w:val="heading 7"/>
    <w:basedOn w:val="Normal"/>
    <w:next w:val="Normal"/>
    <w:link w:val="Heading7Char"/>
    <w:semiHidden/>
    <w:qFormat/>
    <w:rsid w:val="0095697F"/>
    <w:pPr>
      <w:spacing w:before="240" w:after="60"/>
      <w:outlineLvl w:val="6"/>
    </w:pPr>
    <w:rPr>
      <w:rFonts w:ascii="Calibri" w:hAnsi="Calibri"/>
      <w:lang w:val="en-US" w:eastAsia="en-US"/>
    </w:rPr>
  </w:style>
  <w:style w:type="paragraph" w:styleId="Heading8">
    <w:name w:val="heading 8"/>
    <w:basedOn w:val="Normal"/>
    <w:next w:val="Normal"/>
    <w:link w:val="Heading8Char"/>
    <w:semiHidden/>
    <w:qFormat/>
    <w:rsid w:val="0095697F"/>
    <w:pPr>
      <w:spacing w:before="240" w:after="60"/>
      <w:outlineLvl w:val="7"/>
    </w:pPr>
    <w:rPr>
      <w:rFonts w:ascii="Calibri" w:hAnsi="Calibri"/>
      <w:i/>
      <w:iCs/>
      <w:lang w:val="en-US" w:eastAsia="en-US"/>
    </w:rPr>
  </w:style>
  <w:style w:type="paragraph" w:styleId="Heading9">
    <w:name w:val="heading 9"/>
    <w:basedOn w:val="Normal"/>
    <w:next w:val="Normal"/>
    <w:link w:val="Heading9Char"/>
    <w:semiHidden/>
    <w:qFormat/>
    <w:rsid w:val="0095697F"/>
    <w:pPr>
      <w:spacing w:before="240" w:after="60"/>
      <w:outlineLvl w:val="8"/>
    </w:pPr>
    <w:rPr>
      <w:rFonts w:ascii="Cambria" w:hAnsi="Cambria"/>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160897"/>
    <w:rPr>
      <w:rFonts w:eastAsiaTheme="minorHAnsi"/>
      <w:sz w:val="20"/>
      <w:szCs w:val="20"/>
      <w:lang w:eastAsia="en-US"/>
    </w:rPr>
  </w:style>
  <w:style w:type="character" w:customStyle="1" w:styleId="FootnoteTextChar">
    <w:name w:val="Footnote Text Char"/>
    <w:basedOn w:val="DefaultParagraphFont"/>
    <w:link w:val="FootnoteText"/>
    <w:semiHidden/>
    <w:rsid w:val="00160897"/>
    <w:rPr>
      <w:sz w:val="20"/>
      <w:szCs w:val="20"/>
    </w:rPr>
  </w:style>
  <w:style w:type="character" w:styleId="FootnoteReference">
    <w:name w:val="footnote reference"/>
    <w:basedOn w:val="DefaultParagraphFont"/>
    <w:uiPriority w:val="99"/>
    <w:semiHidden/>
    <w:unhideWhenUsed/>
    <w:rsid w:val="00160897"/>
    <w:rPr>
      <w:vertAlign w:val="superscript"/>
    </w:rPr>
  </w:style>
  <w:style w:type="character" w:styleId="Hyperlink">
    <w:name w:val="Hyperlink"/>
    <w:basedOn w:val="DefaultParagraphFont"/>
    <w:unhideWhenUsed/>
    <w:rsid w:val="00895368"/>
    <w:rPr>
      <w:color w:val="0563C1" w:themeColor="hyperlink"/>
      <w:u w:val="single"/>
    </w:rPr>
  </w:style>
  <w:style w:type="character" w:styleId="UnresolvedMention">
    <w:name w:val="Unresolved Mention"/>
    <w:basedOn w:val="DefaultParagraphFont"/>
    <w:uiPriority w:val="99"/>
    <w:semiHidden/>
    <w:unhideWhenUsed/>
    <w:rsid w:val="00895368"/>
    <w:rPr>
      <w:color w:val="605E5C"/>
      <w:shd w:val="clear" w:color="auto" w:fill="E1DFDD"/>
    </w:rPr>
  </w:style>
  <w:style w:type="character" w:styleId="PlaceholderText">
    <w:name w:val="Placeholder Text"/>
    <w:basedOn w:val="DefaultParagraphFont"/>
    <w:uiPriority w:val="99"/>
    <w:semiHidden/>
    <w:rsid w:val="005973CD"/>
    <w:rPr>
      <w:color w:val="808080"/>
    </w:rPr>
  </w:style>
  <w:style w:type="paragraph" w:styleId="BalloonText">
    <w:name w:val="Balloon Text"/>
    <w:basedOn w:val="Normal"/>
    <w:link w:val="BalloonTextChar"/>
    <w:semiHidden/>
    <w:unhideWhenUsed/>
    <w:rsid w:val="00C33E77"/>
    <w:rPr>
      <w:sz w:val="18"/>
      <w:szCs w:val="18"/>
    </w:rPr>
  </w:style>
  <w:style w:type="character" w:customStyle="1" w:styleId="BalloonTextChar">
    <w:name w:val="Balloon Text Char"/>
    <w:basedOn w:val="DefaultParagraphFont"/>
    <w:link w:val="BalloonText"/>
    <w:semiHidden/>
    <w:rsid w:val="00C33E77"/>
    <w:rPr>
      <w:rFonts w:eastAsia="Times New Roman"/>
      <w:sz w:val="18"/>
      <w:szCs w:val="18"/>
      <w:lang w:eastAsia="en-GB"/>
    </w:rPr>
  </w:style>
  <w:style w:type="paragraph" w:customStyle="1" w:styleId="SMHeading">
    <w:name w:val="SM Heading"/>
    <w:basedOn w:val="Heading1"/>
    <w:qFormat/>
    <w:rsid w:val="003B4349"/>
    <w:pPr>
      <w:keepLines w:val="0"/>
      <w:spacing w:after="60"/>
    </w:pPr>
    <w:rPr>
      <w:rFonts w:ascii="Times New Roman" w:eastAsia="Times New Roman" w:hAnsi="Times New Roman" w:cs="Times New Roman"/>
      <w:b/>
      <w:bCs/>
      <w:color w:val="auto"/>
      <w:kern w:val="32"/>
      <w:sz w:val="24"/>
      <w:szCs w:val="24"/>
      <w:lang w:val="en-US" w:eastAsia="en-US"/>
    </w:rPr>
  </w:style>
  <w:style w:type="paragraph" w:customStyle="1" w:styleId="SMSubheading">
    <w:name w:val="SM Subheading"/>
    <w:basedOn w:val="Normal"/>
    <w:qFormat/>
    <w:rsid w:val="003B4349"/>
    <w:rPr>
      <w:szCs w:val="20"/>
      <w:u w:val="words"/>
      <w:lang w:val="en-US" w:eastAsia="en-US"/>
    </w:rPr>
  </w:style>
  <w:style w:type="paragraph" w:customStyle="1" w:styleId="SMText">
    <w:name w:val="SM Text"/>
    <w:basedOn w:val="Normal"/>
    <w:qFormat/>
    <w:rsid w:val="003B4349"/>
    <w:pPr>
      <w:ind w:firstLine="480"/>
    </w:pPr>
    <w:rPr>
      <w:szCs w:val="20"/>
      <w:lang w:val="en-US" w:eastAsia="en-US"/>
    </w:rPr>
  </w:style>
  <w:style w:type="character" w:customStyle="1" w:styleId="Heading1Char">
    <w:name w:val="Heading 1 Char"/>
    <w:basedOn w:val="DefaultParagraphFont"/>
    <w:link w:val="Heading1"/>
    <w:rsid w:val="003B4349"/>
    <w:rPr>
      <w:rFonts w:asciiTheme="majorHAnsi" w:eastAsiaTheme="majorEastAsia" w:hAnsiTheme="majorHAnsi" w:cstheme="majorBidi"/>
      <w:color w:val="2F5496" w:themeColor="accent1" w:themeShade="BF"/>
      <w:sz w:val="32"/>
      <w:szCs w:val="32"/>
      <w:lang w:eastAsia="en-GB"/>
    </w:rPr>
  </w:style>
  <w:style w:type="paragraph" w:customStyle="1" w:styleId="SMcaption">
    <w:name w:val="SM caption"/>
    <w:basedOn w:val="SMText"/>
    <w:qFormat/>
    <w:rsid w:val="0095697F"/>
    <w:pPr>
      <w:ind w:firstLine="0"/>
    </w:pPr>
  </w:style>
  <w:style w:type="character" w:customStyle="1" w:styleId="Heading2Char">
    <w:name w:val="Heading 2 Char"/>
    <w:basedOn w:val="DefaultParagraphFont"/>
    <w:link w:val="Heading2"/>
    <w:semiHidden/>
    <w:rsid w:val="0095697F"/>
    <w:rPr>
      <w:rFonts w:ascii="Cambria" w:eastAsia="Times New Roman" w:hAnsi="Cambria"/>
      <w:b/>
      <w:bCs/>
      <w:i/>
      <w:iCs/>
      <w:sz w:val="28"/>
      <w:szCs w:val="28"/>
      <w:lang w:val="en-US"/>
    </w:rPr>
  </w:style>
  <w:style w:type="character" w:customStyle="1" w:styleId="Heading3Char">
    <w:name w:val="Heading 3 Char"/>
    <w:basedOn w:val="DefaultParagraphFont"/>
    <w:link w:val="Heading3"/>
    <w:semiHidden/>
    <w:rsid w:val="0095697F"/>
    <w:rPr>
      <w:rFonts w:ascii="Times" w:eastAsia="Times" w:hAnsi="Times"/>
      <w:b/>
      <w:szCs w:val="20"/>
      <w:lang w:val="en-US"/>
    </w:rPr>
  </w:style>
  <w:style w:type="character" w:customStyle="1" w:styleId="Heading4Char">
    <w:name w:val="Heading 4 Char"/>
    <w:basedOn w:val="DefaultParagraphFont"/>
    <w:link w:val="Heading4"/>
    <w:semiHidden/>
    <w:rsid w:val="0095697F"/>
    <w:rPr>
      <w:rFonts w:ascii="Times" w:eastAsia="Times New Roman" w:hAnsi="Times"/>
      <w:b/>
      <w:color w:val="0000FF"/>
      <w:sz w:val="44"/>
      <w:szCs w:val="20"/>
      <w:lang w:val="en-US"/>
    </w:rPr>
  </w:style>
  <w:style w:type="character" w:customStyle="1" w:styleId="Heading5Char">
    <w:name w:val="Heading 5 Char"/>
    <w:basedOn w:val="DefaultParagraphFont"/>
    <w:link w:val="Heading5"/>
    <w:semiHidden/>
    <w:rsid w:val="0095697F"/>
    <w:rPr>
      <w:rFonts w:ascii="Calibri" w:eastAsia="Times New Roman" w:hAnsi="Calibri"/>
      <w:b/>
      <w:bCs/>
      <w:i/>
      <w:iCs/>
      <w:sz w:val="26"/>
      <w:szCs w:val="26"/>
      <w:lang w:val="en-US"/>
    </w:rPr>
  </w:style>
  <w:style w:type="character" w:customStyle="1" w:styleId="Heading6Char">
    <w:name w:val="Heading 6 Char"/>
    <w:basedOn w:val="DefaultParagraphFont"/>
    <w:link w:val="Heading6"/>
    <w:semiHidden/>
    <w:rsid w:val="0095697F"/>
    <w:rPr>
      <w:rFonts w:ascii="Calibri" w:eastAsia="Times New Roman" w:hAnsi="Calibri"/>
      <w:b/>
      <w:bCs/>
      <w:sz w:val="22"/>
      <w:szCs w:val="22"/>
      <w:lang w:val="en-US"/>
    </w:rPr>
  </w:style>
  <w:style w:type="character" w:customStyle="1" w:styleId="Heading7Char">
    <w:name w:val="Heading 7 Char"/>
    <w:basedOn w:val="DefaultParagraphFont"/>
    <w:link w:val="Heading7"/>
    <w:semiHidden/>
    <w:rsid w:val="0095697F"/>
    <w:rPr>
      <w:rFonts w:ascii="Calibri" w:eastAsia="Times New Roman" w:hAnsi="Calibri"/>
      <w:lang w:val="en-US"/>
    </w:rPr>
  </w:style>
  <w:style w:type="character" w:customStyle="1" w:styleId="Heading8Char">
    <w:name w:val="Heading 8 Char"/>
    <w:basedOn w:val="DefaultParagraphFont"/>
    <w:link w:val="Heading8"/>
    <w:semiHidden/>
    <w:rsid w:val="0095697F"/>
    <w:rPr>
      <w:rFonts w:ascii="Calibri" w:eastAsia="Times New Roman" w:hAnsi="Calibri"/>
      <w:i/>
      <w:iCs/>
      <w:lang w:val="en-US"/>
    </w:rPr>
  </w:style>
  <w:style w:type="character" w:customStyle="1" w:styleId="Heading9Char">
    <w:name w:val="Heading 9 Char"/>
    <w:basedOn w:val="DefaultParagraphFont"/>
    <w:link w:val="Heading9"/>
    <w:semiHidden/>
    <w:rsid w:val="0095697F"/>
    <w:rPr>
      <w:rFonts w:ascii="Cambria" w:eastAsia="Times New Roman" w:hAnsi="Cambria"/>
      <w:sz w:val="22"/>
      <w:szCs w:val="22"/>
      <w:lang w:val="en-US"/>
    </w:rPr>
  </w:style>
  <w:style w:type="character" w:styleId="PageNumber">
    <w:name w:val="page number"/>
    <w:basedOn w:val="DefaultParagraphFont"/>
    <w:semiHidden/>
    <w:rsid w:val="0095697F"/>
  </w:style>
  <w:style w:type="paragraph" w:styleId="Bibliography">
    <w:name w:val="Bibliography"/>
    <w:basedOn w:val="Normal"/>
    <w:next w:val="Normal"/>
    <w:uiPriority w:val="37"/>
    <w:semiHidden/>
    <w:rsid w:val="0095697F"/>
    <w:rPr>
      <w:szCs w:val="20"/>
      <w:lang w:val="en-US" w:eastAsia="en-US"/>
    </w:rPr>
  </w:style>
  <w:style w:type="paragraph" w:styleId="BlockText">
    <w:name w:val="Block Text"/>
    <w:basedOn w:val="Normal"/>
    <w:semiHidden/>
    <w:rsid w:val="0095697F"/>
    <w:pPr>
      <w:spacing w:after="120"/>
      <w:ind w:left="1440" w:right="1440"/>
    </w:pPr>
    <w:rPr>
      <w:szCs w:val="20"/>
      <w:lang w:val="en-US" w:eastAsia="en-US"/>
    </w:rPr>
  </w:style>
  <w:style w:type="paragraph" w:styleId="BodyText">
    <w:name w:val="Body Text"/>
    <w:basedOn w:val="Normal"/>
    <w:link w:val="BodyTextChar"/>
    <w:semiHidden/>
    <w:rsid w:val="0095697F"/>
    <w:pPr>
      <w:spacing w:after="120"/>
    </w:pPr>
    <w:rPr>
      <w:szCs w:val="20"/>
      <w:lang w:val="en-US" w:eastAsia="en-US"/>
    </w:rPr>
  </w:style>
  <w:style w:type="character" w:customStyle="1" w:styleId="BodyTextChar">
    <w:name w:val="Body Text Char"/>
    <w:basedOn w:val="DefaultParagraphFont"/>
    <w:link w:val="BodyText"/>
    <w:semiHidden/>
    <w:rsid w:val="0095697F"/>
    <w:rPr>
      <w:rFonts w:eastAsia="Times New Roman"/>
      <w:szCs w:val="20"/>
      <w:lang w:val="en-US"/>
    </w:rPr>
  </w:style>
  <w:style w:type="paragraph" w:styleId="BodyText2">
    <w:name w:val="Body Text 2"/>
    <w:basedOn w:val="Normal"/>
    <w:link w:val="BodyText2Char"/>
    <w:semiHidden/>
    <w:rsid w:val="0095697F"/>
    <w:pPr>
      <w:spacing w:after="120" w:line="480" w:lineRule="auto"/>
    </w:pPr>
    <w:rPr>
      <w:szCs w:val="20"/>
      <w:lang w:val="en-US" w:eastAsia="en-US"/>
    </w:rPr>
  </w:style>
  <w:style w:type="character" w:customStyle="1" w:styleId="BodyText2Char">
    <w:name w:val="Body Text 2 Char"/>
    <w:basedOn w:val="DefaultParagraphFont"/>
    <w:link w:val="BodyText2"/>
    <w:semiHidden/>
    <w:rsid w:val="0095697F"/>
    <w:rPr>
      <w:rFonts w:eastAsia="Times New Roman"/>
      <w:szCs w:val="20"/>
      <w:lang w:val="en-US"/>
    </w:rPr>
  </w:style>
  <w:style w:type="paragraph" w:styleId="BodyText3">
    <w:name w:val="Body Text 3"/>
    <w:basedOn w:val="Normal"/>
    <w:link w:val="BodyText3Char"/>
    <w:semiHidden/>
    <w:rsid w:val="0095697F"/>
    <w:pPr>
      <w:spacing w:after="120"/>
    </w:pPr>
    <w:rPr>
      <w:sz w:val="16"/>
      <w:szCs w:val="16"/>
      <w:lang w:val="en-US" w:eastAsia="en-US"/>
    </w:rPr>
  </w:style>
  <w:style w:type="character" w:customStyle="1" w:styleId="BodyText3Char">
    <w:name w:val="Body Text 3 Char"/>
    <w:basedOn w:val="DefaultParagraphFont"/>
    <w:link w:val="BodyText3"/>
    <w:semiHidden/>
    <w:rsid w:val="0095697F"/>
    <w:rPr>
      <w:rFonts w:eastAsia="Times New Roman"/>
      <w:sz w:val="16"/>
      <w:szCs w:val="16"/>
      <w:lang w:val="en-US"/>
    </w:rPr>
  </w:style>
  <w:style w:type="paragraph" w:styleId="BodyTextFirstIndent">
    <w:name w:val="Body Text First Indent"/>
    <w:basedOn w:val="BodyText"/>
    <w:link w:val="BodyTextFirstIndentChar"/>
    <w:semiHidden/>
    <w:rsid w:val="0095697F"/>
    <w:pPr>
      <w:ind w:firstLine="210"/>
    </w:pPr>
  </w:style>
  <w:style w:type="character" w:customStyle="1" w:styleId="BodyTextFirstIndentChar">
    <w:name w:val="Body Text First Indent Char"/>
    <w:basedOn w:val="BodyTextChar"/>
    <w:link w:val="BodyTextFirstIndent"/>
    <w:semiHidden/>
    <w:rsid w:val="0095697F"/>
    <w:rPr>
      <w:rFonts w:eastAsia="Times New Roman"/>
      <w:szCs w:val="20"/>
      <w:lang w:val="en-US"/>
    </w:rPr>
  </w:style>
  <w:style w:type="paragraph" w:styleId="BodyTextIndent">
    <w:name w:val="Body Text Indent"/>
    <w:basedOn w:val="Normal"/>
    <w:link w:val="BodyTextIndentChar"/>
    <w:semiHidden/>
    <w:rsid w:val="0095697F"/>
    <w:pPr>
      <w:spacing w:after="120"/>
      <w:ind w:left="360"/>
    </w:pPr>
    <w:rPr>
      <w:szCs w:val="20"/>
      <w:lang w:val="en-US" w:eastAsia="en-US"/>
    </w:rPr>
  </w:style>
  <w:style w:type="character" w:customStyle="1" w:styleId="BodyTextIndentChar">
    <w:name w:val="Body Text Indent Char"/>
    <w:basedOn w:val="DefaultParagraphFont"/>
    <w:link w:val="BodyTextIndent"/>
    <w:semiHidden/>
    <w:rsid w:val="0095697F"/>
    <w:rPr>
      <w:rFonts w:eastAsia="Times New Roman"/>
      <w:szCs w:val="20"/>
      <w:lang w:val="en-US"/>
    </w:rPr>
  </w:style>
  <w:style w:type="paragraph" w:styleId="BodyTextFirstIndent2">
    <w:name w:val="Body Text First Indent 2"/>
    <w:basedOn w:val="BodyTextIndent"/>
    <w:link w:val="BodyTextFirstIndent2Char"/>
    <w:semiHidden/>
    <w:rsid w:val="0095697F"/>
    <w:pPr>
      <w:ind w:firstLine="210"/>
    </w:pPr>
  </w:style>
  <w:style w:type="character" w:customStyle="1" w:styleId="BodyTextFirstIndent2Char">
    <w:name w:val="Body Text First Indent 2 Char"/>
    <w:basedOn w:val="BodyTextIndentChar"/>
    <w:link w:val="BodyTextFirstIndent2"/>
    <w:semiHidden/>
    <w:rsid w:val="0095697F"/>
    <w:rPr>
      <w:rFonts w:eastAsia="Times New Roman"/>
      <w:szCs w:val="20"/>
      <w:lang w:val="en-US"/>
    </w:rPr>
  </w:style>
  <w:style w:type="paragraph" w:styleId="BodyTextIndent2">
    <w:name w:val="Body Text Indent 2"/>
    <w:basedOn w:val="Normal"/>
    <w:link w:val="BodyTextIndent2Char"/>
    <w:semiHidden/>
    <w:rsid w:val="0095697F"/>
    <w:pPr>
      <w:spacing w:after="120" w:line="480" w:lineRule="auto"/>
      <w:ind w:left="360"/>
    </w:pPr>
    <w:rPr>
      <w:szCs w:val="20"/>
      <w:lang w:val="en-US" w:eastAsia="en-US"/>
    </w:rPr>
  </w:style>
  <w:style w:type="character" w:customStyle="1" w:styleId="BodyTextIndent2Char">
    <w:name w:val="Body Text Indent 2 Char"/>
    <w:basedOn w:val="DefaultParagraphFont"/>
    <w:link w:val="BodyTextIndent2"/>
    <w:semiHidden/>
    <w:rsid w:val="0095697F"/>
    <w:rPr>
      <w:rFonts w:eastAsia="Times New Roman"/>
      <w:szCs w:val="20"/>
      <w:lang w:val="en-US"/>
    </w:rPr>
  </w:style>
  <w:style w:type="paragraph" w:styleId="BodyTextIndent3">
    <w:name w:val="Body Text Indent 3"/>
    <w:basedOn w:val="Normal"/>
    <w:link w:val="BodyTextIndent3Char"/>
    <w:semiHidden/>
    <w:rsid w:val="0095697F"/>
    <w:pPr>
      <w:spacing w:after="120"/>
      <w:ind w:left="360"/>
    </w:pPr>
    <w:rPr>
      <w:sz w:val="16"/>
      <w:szCs w:val="16"/>
      <w:lang w:val="en-US" w:eastAsia="en-US"/>
    </w:rPr>
  </w:style>
  <w:style w:type="character" w:customStyle="1" w:styleId="BodyTextIndent3Char">
    <w:name w:val="Body Text Indent 3 Char"/>
    <w:basedOn w:val="DefaultParagraphFont"/>
    <w:link w:val="BodyTextIndent3"/>
    <w:semiHidden/>
    <w:rsid w:val="0095697F"/>
    <w:rPr>
      <w:rFonts w:eastAsia="Times New Roman"/>
      <w:sz w:val="16"/>
      <w:szCs w:val="16"/>
      <w:lang w:val="en-US"/>
    </w:rPr>
  </w:style>
  <w:style w:type="paragraph" w:styleId="Caption">
    <w:name w:val="caption"/>
    <w:basedOn w:val="Normal"/>
    <w:next w:val="Normal"/>
    <w:semiHidden/>
    <w:qFormat/>
    <w:rsid w:val="0095697F"/>
    <w:rPr>
      <w:b/>
      <w:bCs/>
      <w:sz w:val="20"/>
      <w:szCs w:val="20"/>
      <w:lang w:val="en-US" w:eastAsia="en-US"/>
    </w:rPr>
  </w:style>
  <w:style w:type="paragraph" w:styleId="Closing">
    <w:name w:val="Closing"/>
    <w:basedOn w:val="Normal"/>
    <w:link w:val="ClosingChar"/>
    <w:semiHidden/>
    <w:rsid w:val="0095697F"/>
    <w:pPr>
      <w:ind w:left="4320"/>
    </w:pPr>
    <w:rPr>
      <w:szCs w:val="20"/>
      <w:lang w:val="en-US" w:eastAsia="en-US"/>
    </w:rPr>
  </w:style>
  <w:style w:type="character" w:customStyle="1" w:styleId="ClosingChar">
    <w:name w:val="Closing Char"/>
    <w:basedOn w:val="DefaultParagraphFont"/>
    <w:link w:val="Closing"/>
    <w:semiHidden/>
    <w:rsid w:val="0095697F"/>
    <w:rPr>
      <w:rFonts w:eastAsia="Times New Roman"/>
      <w:szCs w:val="20"/>
      <w:lang w:val="en-US"/>
    </w:rPr>
  </w:style>
  <w:style w:type="paragraph" w:styleId="CommentText">
    <w:name w:val="annotation text"/>
    <w:basedOn w:val="Normal"/>
    <w:link w:val="CommentTextChar"/>
    <w:semiHidden/>
    <w:rsid w:val="0095697F"/>
    <w:rPr>
      <w:sz w:val="20"/>
      <w:szCs w:val="20"/>
      <w:lang w:val="en-US" w:eastAsia="en-US"/>
    </w:rPr>
  </w:style>
  <w:style w:type="character" w:customStyle="1" w:styleId="CommentTextChar">
    <w:name w:val="Comment Text Char"/>
    <w:basedOn w:val="DefaultParagraphFont"/>
    <w:link w:val="CommentText"/>
    <w:semiHidden/>
    <w:rsid w:val="0095697F"/>
    <w:rPr>
      <w:rFonts w:eastAsia="Times New Roman"/>
      <w:sz w:val="20"/>
      <w:szCs w:val="20"/>
      <w:lang w:val="en-US"/>
    </w:rPr>
  </w:style>
  <w:style w:type="paragraph" w:styleId="CommentSubject">
    <w:name w:val="annotation subject"/>
    <w:basedOn w:val="CommentText"/>
    <w:next w:val="CommentText"/>
    <w:link w:val="CommentSubjectChar"/>
    <w:semiHidden/>
    <w:rsid w:val="0095697F"/>
    <w:rPr>
      <w:b/>
      <w:bCs/>
    </w:rPr>
  </w:style>
  <w:style w:type="character" w:customStyle="1" w:styleId="CommentSubjectChar">
    <w:name w:val="Comment Subject Char"/>
    <w:basedOn w:val="CommentTextChar"/>
    <w:link w:val="CommentSubject"/>
    <w:semiHidden/>
    <w:rsid w:val="0095697F"/>
    <w:rPr>
      <w:rFonts w:eastAsia="Times New Roman"/>
      <w:b/>
      <w:bCs/>
      <w:sz w:val="20"/>
      <w:szCs w:val="20"/>
      <w:lang w:val="en-US"/>
    </w:rPr>
  </w:style>
  <w:style w:type="paragraph" w:styleId="Date">
    <w:name w:val="Date"/>
    <w:basedOn w:val="Normal"/>
    <w:next w:val="Normal"/>
    <w:link w:val="DateChar"/>
    <w:semiHidden/>
    <w:rsid w:val="0095697F"/>
    <w:rPr>
      <w:szCs w:val="20"/>
      <w:lang w:val="en-US" w:eastAsia="en-US"/>
    </w:rPr>
  </w:style>
  <w:style w:type="character" w:customStyle="1" w:styleId="DateChar">
    <w:name w:val="Date Char"/>
    <w:basedOn w:val="DefaultParagraphFont"/>
    <w:link w:val="Date"/>
    <w:semiHidden/>
    <w:rsid w:val="0095697F"/>
    <w:rPr>
      <w:rFonts w:eastAsia="Times New Roman"/>
      <w:szCs w:val="20"/>
      <w:lang w:val="en-US"/>
    </w:rPr>
  </w:style>
  <w:style w:type="paragraph" w:styleId="DocumentMap">
    <w:name w:val="Document Map"/>
    <w:basedOn w:val="Normal"/>
    <w:link w:val="DocumentMapChar"/>
    <w:semiHidden/>
    <w:rsid w:val="0095697F"/>
    <w:rPr>
      <w:rFonts w:ascii="Tahoma" w:hAnsi="Tahoma" w:cs="Tahoma"/>
      <w:sz w:val="16"/>
      <w:szCs w:val="16"/>
      <w:lang w:val="en-US" w:eastAsia="en-US"/>
    </w:rPr>
  </w:style>
  <w:style w:type="character" w:customStyle="1" w:styleId="DocumentMapChar">
    <w:name w:val="Document Map Char"/>
    <w:basedOn w:val="DefaultParagraphFont"/>
    <w:link w:val="DocumentMap"/>
    <w:semiHidden/>
    <w:rsid w:val="0095697F"/>
    <w:rPr>
      <w:rFonts w:ascii="Tahoma" w:eastAsia="Times New Roman" w:hAnsi="Tahoma" w:cs="Tahoma"/>
      <w:sz w:val="16"/>
      <w:szCs w:val="16"/>
      <w:lang w:val="en-US"/>
    </w:rPr>
  </w:style>
  <w:style w:type="paragraph" w:styleId="EmailSignature">
    <w:name w:val="E-mail Signature"/>
    <w:basedOn w:val="Normal"/>
    <w:link w:val="EmailSignatureChar"/>
    <w:semiHidden/>
    <w:rsid w:val="0095697F"/>
    <w:rPr>
      <w:szCs w:val="20"/>
      <w:lang w:val="en-US" w:eastAsia="en-US"/>
    </w:rPr>
  </w:style>
  <w:style w:type="character" w:customStyle="1" w:styleId="EmailSignatureChar">
    <w:name w:val="Email Signature Char"/>
    <w:basedOn w:val="DefaultParagraphFont"/>
    <w:link w:val="EmailSignature"/>
    <w:semiHidden/>
    <w:rsid w:val="0095697F"/>
    <w:rPr>
      <w:rFonts w:eastAsia="Times New Roman"/>
      <w:szCs w:val="20"/>
      <w:lang w:val="en-US"/>
    </w:rPr>
  </w:style>
  <w:style w:type="paragraph" w:styleId="EndnoteText">
    <w:name w:val="endnote text"/>
    <w:basedOn w:val="Normal"/>
    <w:link w:val="EndnoteTextChar"/>
    <w:semiHidden/>
    <w:rsid w:val="0095697F"/>
    <w:rPr>
      <w:sz w:val="20"/>
      <w:szCs w:val="20"/>
      <w:lang w:val="en-US" w:eastAsia="en-US"/>
    </w:rPr>
  </w:style>
  <w:style w:type="character" w:customStyle="1" w:styleId="EndnoteTextChar">
    <w:name w:val="Endnote Text Char"/>
    <w:basedOn w:val="DefaultParagraphFont"/>
    <w:link w:val="EndnoteText"/>
    <w:semiHidden/>
    <w:rsid w:val="0095697F"/>
    <w:rPr>
      <w:rFonts w:eastAsia="Times New Roman"/>
      <w:sz w:val="20"/>
      <w:szCs w:val="20"/>
      <w:lang w:val="en-US"/>
    </w:rPr>
  </w:style>
  <w:style w:type="paragraph" w:styleId="EnvelopeAddress">
    <w:name w:val="envelope address"/>
    <w:basedOn w:val="Normal"/>
    <w:semiHidden/>
    <w:rsid w:val="0095697F"/>
    <w:pPr>
      <w:framePr w:w="7920" w:h="1980" w:hRule="exact" w:hSpace="180" w:wrap="auto" w:hAnchor="page" w:xAlign="center" w:yAlign="bottom"/>
      <w:ind w:left="2880"/>
    </w:pPr>
    <w:rPr>
      <w:rFonts w:ascii="Cambria" w:hAnsi="Cambria"/>
      <w:lang w:val="en-US" w:eastAsia="en-US"/>
    </w:rPr>
  </w:style>
  <w:style w:type="paragraph" w:styleId="EnvelopeReturn">
    <w:name w:val="envelope return"/>
    <w:basedOn w:val="Normal"/>
    <w:semiHidden/>
    <w:rsid w:val="0095697F"/>
    <w:rPr>
      <w:rFonts w:ascii="Cambria" w:hAnsi="Cambria"/>
      <w:sz w:val="20"/>
      <w:szCs w:val="20"/>
      <w:lang w:val="en-US" w:eastAsia="en-US"/>
    </w:rPr>
  </w:style>
  <w:style w:type="paragraph" w:styleId="Footer">
    <w:name w:val="footer"/>
    <w:basedOn w:val="Normal"/>
    <w:link w:val="FooterChar"/>
    <w:semiHidden/>
    <w:rsid w:val="0095697F"/>
    <w:pPr>
      <w:tabs>
        <w:tab w:val="center" w:pos="4680"/>
        <w:tab w:val="right" w:pos="9360"/>
      </w:tabs>
    </w:pPr>
    <w:rPr>
      <w:szCs w:val="20"/>
      <w:lang w:val="en-US" w:eastAsia="en-US"/>
    </w:rPr>
  </w:style>
  <w:style w:type="character" w:customStyle="1" w:styleId="FooterChar">
    <w:name w:val="Footer Char"/>
    <w:basedOn w:val="DefaultParagraphFont"/>
    <w:link w:val="Footer"/>
    <w:semiHidden/>
    <w:rsid w:val="0095697F"/>
    <w:rPr>
      <w:rFonts w:eastAsia="Times New Roman"/>
      <w:szCs w:val="20"/>
      <w:lang w:val="en-US"/>
    </w:rPr>
  </w:style>
  <w:style w:type="paragraph" w:styleId="Header">
    <w:name w:val="header"/>
    <w:basedOn w:val="Normal"/>
    <w:link w:val="HeaderChar"/>
    <w:semiHidden/>
    <w:rsid w:val="0095697F"/>
    <w:pPr>
      <w:tabs>
        <w:tab w:val="center" w:pos="4680"/>
        <w:tab w:val="right" w:pos="9360"/>
      </w:tabs>
    </w:pPr>
    <w:rPr>
      <w:szCs w:val="20"/>
      <w:lang w:val="en-US" w:eastAsia="en-US"/>
    </w:rPr>
  </w:style>
  <w:style w:type="character" w:customStyle="1" w:styleId="HeaderChar">
    <w:name w:val="Header Char"/>
    <w:basedOn w:val="DefaultParagraphFont"/>
    <w:link w:val="Header"/>
    <w:semiHidden/>
    <w:rsid w:val="0095697F"/>
    <w:rPr>
      <w:rFonts w:eastAsia="Times New Roman"/>
      <w:szCs w:val="20"/>
      <w:lang w:val="en-US"/>
    </w:rPr>
  </w:style>
  <w:style w:type="paragraph" w:styleId="HTMLAddress">
    <w:name w:val="HTML Address"/>
    <w:basedOn w:val="Normal"/>
    <w:link w:val="HTMLAddressChar"/>
    <w:semiHidden/>
    <w:rsid w:val="0095697F"/>
    <w:rPr>
      <w:i/>
      <w:iCs/>
      <w:szCs w:val="20"/>
      <w:lang w:val="en-US" w:eastAsia="en-US"/>
    </w:rPr>
  </w:style>
  <w:style w:type="character" w:customStyle="1" w:styleId="HTMLAddressChar">
    <w:name w:val="HTML Address Char"/>
    <w:basedOn w:val="DefaultParagraphFont"/>
    <w:link w:val="HTMLAddress"/>
    <w:semiHidden/>
    <w:rsid w:val="0095697F"/>
    <w:rPr>
      <w:rFonts w:eastAsia="Times New Roman"/>
      <w:i/>
      <w:iCs/>
      <w:szCs w:val="20"/>
      <w:lang w:val="en-US"/>
    </w:rPr>
  </w:style>
  <w:style w:type="paragraph" w:styleId="HTMLPreformatted">
    <w:name w:val="HTML Preformatted"/>
    <w:basedOn w:val="Normal"/>
    <w:link w:val="HTMLPreformattedChar"/>
    <w:semiHidden/>
    <w:rsid w:val="0095697F"/>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semiHidden/>
    <w:rsid w:val="0095697F"/>
    <w:rPr>
      <w:rFonts w:ascii="Courier New" w:eastAsia="Times New Roman" w:hAnsi="Courier New" w:cs="Courier New"/>
      <w:sz w:val="20"/>
      <w:szCs w:val="20"/>
      <w:lang w:val="en-US"/>
    </w:rPr>
  </w:style>
  <w:style w:type="paragraph" w:styleId="Index1">
    <w:name w:val="index 1"/>
    <w:basedOn w:val="Normal"/>
    <w:next w:val="Normal"/>
    <w:autoRedefine/>
    <w:semiHidden/>
    <w:rsid w:val="0095697F"/>
    <w:pPr>
      <w:ind w:left="240" w:hanging="240"/>
    </w:pPr>
    <w:rPr>
      <w:szCs w:val="20"/>
      <w:lang w:val="en-US" w:eastAsia="en-US"/>
    </w:rPr>
  </w:style>
  <w:style w:type="paragraph" w:styleId="Index2">
    <w:name w:val="index 2"/>
    <w:basedOn w:val="Normal"/>
    <w:next w:val="Normal"/>
    <w:autoRedefine/>
    <w:semiHidden/>
    <w:rsid w:val="0095697F"/>
    <w:pPr>
      <w:ind w:left="480" w:hanging="240"/>
    </w:pPr>
    <w:rPr>
      <w:szCs w:val="20"/>
      <w:lang w:val="en-US" w:eastAsia="en-US"/>
    </w:rPr>
  </w:style>
  <w:style w:type="paragraph" w:styleId="Index3">
    <w:name w:val="index 3"/>
    <w:basedOn w:val="Normal"/>
    <w:next w:val="Normal"/>
    <w:autoRedefine/>
    <w:semiHidden/>
    <w:rsid w:val="0095697F"/>
    <w:pPr>
      <w:ind w:left="720" w:hanging="240"/>
    </w:pPr>
    <w:rPr>
      <w:szCs w:val="20"/>
      <w:lang w:val="en-US" w:eastAsia="en-US"/>
    </w:rPr>
  </w:style>
  <w:style w:type="paragraph" w:styleId="Index4">
    <w:name w:val="index 4"/>
    <w:basedOn w:val="Normal"/>
    <w:next w:val="Normal"/>
    <w:autoRedefine/>
    <w:semiHidden/>
    <w:rsid w:val="0095697F"/>
    <w:pPr>
      <w:ind w:left="960" w:hanging="240"/>
    </w:pPr>
    <w:rPr>
      <w:szCs w:val="20"/>
      <w:lang w:val="en-US" w:eastAsia="en-US"/>
    </w:rPr>
  </w:style>
  <w:style w:type="paragraph" w:styleId="Index5">
    <w:name w:val="index 5"/>
    <w:basedOn w:val="Normal"/>
    <w:next w:val="Normal"/>
    <w:autoRedefine/>
    <w:semiHidden/>
    <w:rsid w:val="0095697F"/>
    <w:pPr>
      <w:ind w:left="1200" w:hanging="240"/>
    </w:pPr>
    <w:rPr>
      <w:szCs w:val="20"/>
      <w:lang w:val="en-US" w:eastAsia="en-US"/>
    </w:rPr>
  </w:style>
  <w:style w:type="paragraph" w:styleId="Index6">
    <w:name w:val="index 6"/>
    <w:basedOn w:val="Normal"/>
    <w:next w:val="Normal"/>
    <w:autoRedefine/>
    <w:semiHidden/>
    <w:rsid w:val="0095697F"/>
    <w:pPr>
      <w:ind w:left="1440" w:hanging="240"/>
    </w:pPr>
    <w:rPr>
      <w:szCs w:val="20"/>
      <w:lang w:val="en-US" w:eastAsia="en-US"/>
    </w:rPr>
  </w:style>
  <w:style w:type="paragraph" w:styleId="Index7">
    <w:name w:val="index 7"/>
    <w:basedOn w:val="Normal"/>
    <w:next w:val="Normal"/>
    <w:autoRedefine/>
    <w:semiHidden/>
    <w:rsid w:val="0095697F"/>
    <w:pPr>
      <w:ind w:left="1680" w:hanging="240"/>
    </w:pPr>
    <w:rPr>
      <w:szCs w:val="20"/>
      <w:lang w:val="en-US" w:eastAsia="en-US"/>
    </w:rPr>
  </w:style>
  <w:style w:type="paragraph" w:styleId="Index8">
    <w:name w:val="index 8"/>
    <w:basedOn w:val="Normal"/>
    <w:next w:val="Normal"/>
    <w:autoRedefine/>
    <w:semiHidden/>
    <w:rsid w:val="0095697F"/>
    <w:pPr>
      <w:ind w:left="1920" w:hanging="240"/>
    </w:pPr>
    <w:rPr>
      <w:szCs w:val="20"/>
      <w:lang w:val="en-US" w:eastAsia="en-US"/>
    </w:rPr>
  </w:style>
  <w:style w:type="paragraph" w:styleId="Index9">
    <w:name w:val="index 9"/>
    <w:basedOn w:val="Normal"/>
    <w:next w:val="Normal"/>
    <w:autoRedefine/>
    <w:semiHidden/>
    <w:rsid w:val="0095697F"/>
    <w:pPr>
      <w:ind w:left="2160" w:hanging="240"/>
    </w:pPr>
    <w:rPr>
      <w:szCs w:val="20"/>
      <w:lang w:val="en-US" w:eastAsia="en-US"/>
    </w:rPr>
  </w:style>
  <w:style w:type="paragraph" w:styleId="IndexHeading">
    <w:name w:val="index heading"/>
    <w:basedOn w:val="Normal"/>
    <w:next w:val="Index1"/>
    <w:semiHidden/>
    <w:rsid w:val="0095697F"/>
    <w:rPr>
      <w:rFonts w:ascii="Cambria" w:hAnsi="Cambria"/>
      <w:b/>
      <w:bCs/>
      <w:szCs w:val="20"/>
      <w:lang w:val="en-US" w:eastAsia="en-US"/>
    </w:rPr>
  </w:style>
  <w:style w:type="paragraph" w:styleId="IntenseQuote">
    <w:name w:val="Intense Quote"/>
    <w:basedOn w:val="Normal"/>
    <w:next w:val="Normal"/>
    <w:link w:val="IntenseQuoteChar"/>
    <w:uiPriority w:val="30"/>
    <w:qFormat/>
    <w:rsid w:val="0095697F"/>
    <w:pPr>
      <w:pBdr>
        <w:bottom w:val="single" w:sz="4" w:space="4" w:color="4F81BD"/>
      </w:pBdr>
      <w:spacing w:before="200" w:after="280"/>
      <w:ind w:left="936" w:right="936"/>
    </w:pPr>
    <w:rPr>
      <w:b/>
      <w:bCs/>
      <w:i/>
      <w:iCs/>
      <w:color w:val="4F81BD"/>
      <w:szCs w:val="20"/>
      <w:lang w:val="en-US" w:eastAsia="en-US"/>
    </w:rPr>
  </w:style>
  <w:style w:type="character" w:customStyle="1" w:styleId="IntenseQuoteChar">
    <w:name w:val="Intense Quote Char"/>
    <w:basedOn w:val="DefaultParagraphFont"/>
    <w:link w:val="IntenseQuote"/>
    <w:uiPriority w:val="30"/>
    <w:rsid w:val="0095697F"/>
    <w:rPr>
      <w:rFonts w:eastAsia="Times New Roman"/>
      <w:b/>
      <w:bCs/>
      <w:i/>
      <w:iCs/>
      <w:color w:val="4F81BD"/>
      <w:szCs w:val="20"/>
      <w:lang w:val="en-US"/>
    </w:rPr>
  </w:style>
  <w:style w:type="paragraph" w:styleId="List">
    <w:name w:val="List"/>
    <w:basedOn w:val="Normal"/>
    <w:semiHidden/>
    <w:rsid w:val="0095697F"/>
    <w:pPr>
      <w:ind w:left="360" w:hanging="360"/>
      <w:contextualSpacing/>
    </w:pPr>
    <w:rPr>
      <w:szCs w:val="20"/>
      <w:lang w:val="en-US" w:eastAsia="en-US"/>
    </w:rPr>
  </w:style>
  <w:style w:type="paragraph" w:styleId="List2">
    <w:name w:val="List 2"/>
    <w:basedOn w:val="Normal"/>
    <w:semiHidden/>
    <w:rsid w:val="0095697F"/>
    <w:pPr>
      <w:ind w:left="720" w:hanging="360"/>
      <w:contextualSpacing/>
    </w:pPr>
    <w:rPr>
      <w:szCs w:val="20"/>
      <w:lang w:val="en-US" w:eastAsia="en-US"/>
    </w:rPr>
  </w:style>
  <w:style w:type="paragraph" w:styleId="List3">
    <w:name w:val="List 3"/>
    <w:basedOn w:val="Normal"/>
    <w:semiHidden/>
    <w:rsid w:val="0095697F"/>
    <w:pPr>
      <w:ind w:left="1080" w:hanging="360"/>
      <w:contextualSpacing/>
    </w:pPr>
    <w:rPr>
      <w:szCs w:val="20"/>
      <w:lang w:val="en-US" w:eastAsia="en-US"/>
    </w:rPr>
  </w:style>
  <w:style w:type="paragraph" w:styleId="List4">
    <w:name w:val="List 4"/>
    <w:basedOn w:val="Normal"/>
    <w:semiHidden/>
    <w:rsid w:val="0095697F"/>
    <w:pPr>
      <w:ind w:left="1440" w:hanging="360"/>
      <w:contextualSpacing/>
    </w:pPr>
    <w:rPr>
      <w:szCs w:val="20"/>
      <w:lang w:val="en-US" w:eastAsia="en-US"/>
    </w:rPr>
  </w:style>
  <w:style w:type="paragraph" w:styleId="List5">
    <w:name w:val="List 5"/>
    <w:basedOn w:val="Normal"/>
    <w:semiHidden/>
    <w:rsid w:val="0095697F"/>
    <w:pPr>
      <w:ind w:left="1800" w:hanging="360"/>
      <w:contextualSpacing/>
    </w:pPr>
    <w:rPr>
      <w:szCs w:val="20"/>
      <w:lang w:val="en-US" w:eastAsia="en-US"/>
    </w:rPr>
  </w:style>
  <w:style w:type="paragraph" w:styleId="ListBullet">
    <w:name w:val="List Bullet"/>
    <w:basedOn w:val="Normal"/>
    <w:semiHidden/>
    <w:rsid w:val="0095697F"/>
    <w:pPr>
      <w:numPr>
        <w:numId w:val="1"/>
      </w:numPr>
      <w:contextualSpacing/>
    </w:pPr>
    <w:rPr>
      <w:szCs w:val="20"/>
      <w:lang w:val="en-US" w:eastAsia="en-US"/>
    </w:rPr>
  </w:style>
  <w:style w:type="paragraph" w:styleId="ListBullet2">
    <w:name w:val="List Bullet 2"/>
    <w:basedOn w:val="Normal"/>
    <w:semiHidden/>
    <w:rsid w:val="0095697F"/>
    <w:pPr>
      <w:numPr>
        <w:numId w:val="2"/>
      </w:numPr>
      <w:contextualSpacing/>
    </w:pPr>
    <w:rPr>
      <w:szCs w:val="20"/>
      <w:lang w:val="en-US" w:eastAsia="en-US"/>
    </w:rPr>
  </w:style>
  <w:style w:type="paragraph" w:styleId="ListBullet3">
    <w:name w:val="List Bullet 3"/>
    <w:basedOn w:val="Normal"/>
    <w:semiHidden/>
    <w:rsid w:val="0095697F"/>
    <w:pPr>
      <w:numPr>
        <w:numId w:val="3"/>
      </w:numPr>
      <w:contextualSpacing/>
    </w:pPr>
    <w:rPr>
      <w:szCs w:val="20"/>
      <w:lang w:val="en-US" w:eastAsia="en-US"/>
    </w:rPr>
  </w:style>
  <w:style w:type="paragraph" w:styleId="ListBullet4">
    <w:name w:val="List Bullet 4"/>
    <w:basedOn w:val="Normal"/>
    <w:semiHidden/>
    <w:rsid w:val="0095697F"/>
    <w:pPr>
      <w:numPr>
        <w:numId w:val="4"/>
      </w:numPr>
      <w:contextualSpacing/>
    </w:pPr>
    <w:rPr>
      <w:szCs w:val="20"/>
      <w:lang w:val="en-US" w:eastAsia="en-US"/>
    </w:rPr>
  </w:style>
  <w:style w:type="paragraph" w:styleId="ListBullet5">
    <w:name w:val="List Bullet 5"/>
    <w:basedOn w:val="Normal"/>
    <w:semiHidden/>
    <w:rsid w:val="0095697F"/>
    <w:pPr>
      <w:numPr>
        <w:numId w:val="5"/>
      </w:numPr>
      <w:contextualSpacing/>
    </w:pPr>
    <w:rPr>
      <w:szCs w:val="20"/>
      <w:lang w:val="en-US" w:eastAsia="en-US"/>
    </w:rPr>
  </w:style>
  <w:style w:type="paragraph" w:styleId="ListContinue">
    <w:name w:val="List Continue"/>
    <w:basedOn w:val="Normal"/>
    <w:semiHidden/>
    <w:rsid w:val="0095697F"/>
    <w:pPr>
      <w:spacing w:after="120"/>
      <w:ind w:left="360"/>
      <w:contextualSpacing/>
    </w:pPr>
    <w:rPr>
      <w:szCs w:val="20"/>
      <w:lang w:val="en-US" w:eastAsia="en-US"/>
    </w:rPr>
  </w:style>
  <w:style w:type="paragraph" w:styleId="ListContinue2">
    <w:name w:val="List Continue 2"/>
    <w:basedOn w:val="Normal"/>
    <w:semiHidden/>
    <w:rsid w:val="0095697F"/>
    <w:pPr>
      <w:spacing w:after="120"/>
      <w:ind w:left="720"/>
      <w:contextualSpacing/>
    </w:pPr>
    <w:rPr>
      <w:szCs w:val="20"/>
      <w:lang w:val="en-US" w:eastAsia="en-US"/>
    </w:rPr>
  </w:style>
  <w:style w:type="paragraph" w:styleId="ListContinue3">
    <w:name w:val="List Continue 3"/>
    <w:basedOn w:val="Normal"/>
    <w:semiHidden/>
    <w:rsid w:val="0095697F"/>
    <w:pPr>
      <w:spacing w:after="120"/>
      <w:ind w:left="1080"/>
      <w:contextualSpacing/>
    </w:pPr>
    <w:rPr>
      <w:szCs w:val="20"/>
      <w:lang w:val="en-US" w:eastAsia="en-US"/>
    </w:rPr>
  </w:style>
  <w:style w:type="paragraph" w:styleId="ListContinue4">
    <w:name w:val="List Continue 4"/>
    <w:basedOn w:val="Normal"/>
    <w:semiHidden/>
    <w:rsid w:val="0095697F"/>
    <w:pPr>
      <w:spacing w:after="120"/>
      <w:ind w:left="1440"/>
      <w:contextualSpacing/>
    </w:pPr>
    <w:rPr>
      <w:szCs w:val="20"/>
      <w:lang w:val="en-US" w:eastAsia="en-US"/>
    </w:rPr>
  </w:style>
  <w:style w:type="paragraph" w:styleId="ListContinue5">
    <w:name w:val="List Continue 5"/>
    <w:basedOn w:val="Normal"/>
    <w:semiHidden/>
    <w:rsid w:val="0095697F"/>
    <w:pPr>
      <w:spacing w:after="120"/>
      <w:ind w:left="1800"/>
      <w:contextualSpacing/>
    </w:pPr>
    <w:rPr>
      <w:szCs w:val="20"/>
      <w:lang w:val="en-US" w:eastAsia="en-US"/>
    </w:rPr>
  </w:style>
  <w:style w:type="paragraph" w:styleId="ListNumber">
    <w:name w:val="List Number"/>
    <w:basedOn w:val="Normal"/>
    <w:semiHidden/>
    <w:rsid w:val="0095697F"/>
    <w:pPr>
      <w:numPr>
        <w:numId w:val="6"/>
      </w:numPr>
      <w:contextualSpacing/>
    </w:pPr>
    <w:rPr>
      <w:szCs w:val="20"/>
      <w:lang w:val="en-US" w:eastAsia="en-US"/>
    </w:rPr>
  </w:style>
  <w:style w:type="paragraph" w:styleId="ListNumber2">
    <w:name w:val="List Number 2"/>
    <w:basedOn w:val="Normal"/>
    <w:semiHidden/>
    <w:rsid w:val="0095697F"/>
    <w:pPr>
      <w:numPr>
        <w:numId w:val="7"/>
      </w:numPr>
      <w:contextualSpacing/>
    </w:pPr>
    <w:rPr>
      <w:szCs w:val="20"/>
      <w:lang w:val="en-US" w:eastAsia="en-US"/>
    </w:rPr>
  </w:style>
  <w:style w:type="paragraph" w:styleId="ListNumber3">
    <w:name w:val="List Number 3"/>
    <w:basedOn w:val="Normal"/>
    <w:semiHidden/>
    <w:rsid w:val="0095697F"/>
    <w:pPr>
      <w:numPr>
        <w:numId w:val="8"/>
      </w:numPr>
      <w:contextualSpacing/>
    </w:pPr>
    <w:rPr>
      <w:szCs w:val="20"/>
      <w:lang w:val="en-US" w:eastAsia="en-US"/>
    </w:rPr>
  </w:style>
  <w:style w:type="paragraph" w:styleId="ListNumber4">
    <w:name w:val="List Number 4"/>
    <w:basedOn w:val="Normal"/>
    <w:semiHidden/>
    <w:rsid w:val="0095697F"/>
    <w:pPr>
      <w:numPr>
        <w:numId w:val="9"/>
      </w:numPr>
      <w:contextualSpacing/>
    </w:pPr>
    <w:rPr>
      <w:szCs w:val="20"/>
      <w:lang w:val="en-US" w:eastAsia="en-US"/>
    </w:rPr>
  </w:style>
  <w:style w:type="paragraph" w:styleId="ListNumber5">
    <w:name w:val="List Number 5"/>
    <w:basedOn w:val="Normal"/>
    <w:semiHidden/>
    <w:rsid w:val="0095697F"/>
    <w:pPr>
      <w:numPr>
        <w:numId w:val="10"/>
      </w:numPr>
      <w:contextualSpacing/>
    </w:pPr>
    <w:rPr>
      <w:szCs w:val="20"/>
      <w:lang w:val="en-US" w:eastAsia="en-US"/>
    </w:rPr>
  </w:style>
  <w:style w:type="paragraph" w:styleId="ListParagraph">
    <w:name w:val="List Paragraph"/>
    <w:basedOn w:val="Normal"/>
    <w:uiPriority w:val="34"/>
    <w:qFormat/>
    <w:rsid w:val="0095697F"/>
    <w:pPr>
      <w:ind w:left="720"/>
    </w:pPr>
    <w:rPr>
      <w:szCs w:val="20"/>
      <w:lang w:val="en-US" w:eastAsia="en-US"/>
    </w:rPr>
  </w:style>
  <w:style w:type="paragraph" w:styleId="MacroText">
    <w:name w:val="macro"/>
    <w:link w:val="MacroTextChar"/>
    <w:semiHidden/>
    <w:rsid w:val="0095697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semiHidden/>
    <w:rsid w:val="0095697F"/>
    <w:rPr>
      <w:rFonts w:ascii="Courier New" w:eastAsia="Times New Roman" w:hAnsi="Courier New" w:cs="Courier New"/>
      <w:sz w:val="20"/>
      <w:szCs w:val="20"/>
      <w:lang w:val="en-US"/>
    </w:rPr>
  </w:style>
  <w:style w:type="paragraph" w:styleId="MessageHeader">
    <w:name w:val="Message Header"/>
    <w:basedOn w:val="Normal"/>
    <w:link w:val="MessageHeaderChar"/>
    <w:semiHidden/>
    <w:rsid w:val="0095697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en-US" w:eastAsia="en-US"/>
    </w:rPr>
  </w:style>
  <w:style w:type="character" w:customStyle="1" w:styleId="MessageHeaderChar">
    <w:name w:val="Message Header Char"/>
    <w:basedOn w:val="DefaultParagraphFont"/>
    <w:link w:val="MessageHeader"/>
    <w:semiHidden/>
    <w:rsid w:val="0095697F"/>
    <w:rPr>
      <w:rFonts w:ascii="Cambria" w:eastAsia="Times New Roman" w:hAnsi="Cambria"/>
      <w:shd w:val="pct20" w:color="auto" w:fill="auto"/>
      <w:lang w:val="en-US"/>
    </w:rPr>
  </w:style>
  <w:style w:type="paragraph" w:styleId="NoSpacing">
    <w:name w:val="No Spacing"/>
    <w:uiPriority w:val="1"/>
    <w:qFormat/>
    <w:rsid w:val="0095697F"/>
    <w:rPr>
      <w:rFonts w:eastAsia="Times New Roman"/>
      <w:szCs w:val="20"/>
      <w:lang w:val="en-US"/>
    </w:rPr>
  </w:style>
  <w:style w:type="paragraph" w:styleId="NormalWeb">
    <w:name w:val="Normal (Web)"/>
    <w:basedOn w:val="Normal"/>
    <w:uiPriority w:val="99"/>
    <w:semiHidden/>
    <w:rsid w:val="0095697F"/>
    <w:rPr>
      <w:lang w:val="en-US" w:eastAsia="en-US"/>
    </w:rPr>
  </w:style>
  <w:style w:type="paragraph" w:styleId="NormalIndent">
    <w:name w:val="Normal Indent"/>
    <w:basedOn w:val="Normal"/>
    <w:semiHidden/>
    <w:rsid w:val="0095697F"/>
    <w:pPr>
      <w:ind w:left="720"/>
    </w:pPr>
    <w:rPr>
      <w:szCs w:val="20"/>
      <w:lang w:val="en-US" w:eastAsia="en-US"/>
    </w:rPr>
  </w:style>
  <w:style w:type="paragraph" w:styleId="NoteHeading">
    <w:name w:val="Note Heading"/>
    <w:basedOn w:val="Normal"/>
    <w:next w:val="Normal"/>
    <w:link w:val="NoteHeadingChar"/>
    <w:semiHidden/>
    <w:rsid w:val="0095697F"/>
    <w:rPr>
      <w:szCs w:val="20"/>
      <w:lang w:val="en-US" w:eastAsia="en-US"/>
    </w:rPr>
  </w:style>
  <w:style w:type="character" w:customStyle="1" w:styleId="NoteHeadingChar">
    <w:name w:val="Note Heading Char"/>
    <w:basedOn w:val="DefaultParagraphFont"/>
    <w:link w:val="NoteHeading"/>
    <w:semiHidden/>
    <w:rsid w:val="0095697F"/>
    <w:rPr>
      <w:rFonts w:eastAsia="Times New Roman"/>
      <w:szCs w:val="20"/>
      <w:lang w:val="en-US"/>
    </w:rPr>
  </w:style>
  <w:style w:type="paragraph" w:styleId="PlainText">
    <w:name w:val="Plain Text"/>
    <w:basedOn w:val="Normal"/>
    <w:link w:val="PlainTextChar"/>
    <w:semiHidden/>
    <w:rsid w:val="0095697F"/>
    <w:rPr>
      <w:rFonts w:ascii="Courier New" w:hAnsi="Courier New" w:cs="Courier New"/>
      <w:sz w:val="20"/>
      <w:szCs w:val="20"/>
      <w:lang w:val="en-US" w:eastAsia="en-US"/>
    </w:rPr>
  </w:style>
  <w:style w:type="character" w:customStyle="1" w:styleId="PlainTextChar">
    <w:name w:val="Plain Text Char"/>
    <w:basedOn w:val="DefaultParagraphFont"/>
    <w:link w:val="PlainText"/>
    <w:semiHidden/>
    <w:rsid w:val="0095697F"/>
    <w:rPr>
      <w:rFonts w:ascii="Courier New" w:eastAsia="Times New Roman" w:hAnsi="Courier New" w:cs="Courier New"/>
      <w:sz w:val="20"/>
      <w:szCs w:val="20"/>
      <w:lang w:val="en-US"/>
    </w:rPr>
  </w:style>
  <w:style w:type="paragraph" w:styleId="Quote">
    <w:name w:val="Quote"/>
    <w:basedOn w:val="Normal"/>
    <w:next w:val="Normal"/>
    <w:link w:val="QuoteChar"/>
    <w:uiPriority w:val="29"/>
    <w:qFormat/>
    <w:rsid w:val="0095697F"/>
    <w:rPr>
      <w:i/>
      <w:iCs/>
      <w:color w:val="000000"/>
      <w:szCs w:val="20"/>
      <w:lang w:val="en-US" w:eastAsia="en-US"/>
    </w:rPr>
  </w:style>
  <w:style w:type="character" w:customStyle="1" w:styleId="QuoteChar">
    <w:name w:val="Quote Char"/>
    <w:basedOn w:val="DefaultParagraphFont"/>
    <w:link w:val="Quote"/>
    <w:uiPriority w:val="29"/>
    <w:rsid w:val="0095697F"/>
    <w:rPr>
      <w:rFonts w:eastAsia="Times New Roman"/>
      <w:i/>
      <w:iCs/>
      <w:color w:val="000000"/>
      <w:szCs w:val="20"/>
      <w:lang w:val="en-US"/>
    </w:rPr>
  </w:style>
  <w:style w:type="paragraph" w:styleId="Salutation">
    <w:name w:val="Salutation"/>
    <w:basedOn w:val="Normal"/>
    <w:next w:val="Normal"/>
    <w:link w:val="SalutationChar"/>
    <w:semiHidden/>
    <w:rsid w:val="0095697F"/>
    <w:rPr>
      <w:szCs w:val="20"/>
      <w:lang w:val="en-US" w:eastAsia="en-US"/>
    </w:rPr>
  </w:style>
  <w:style w:type="character" w:customStyle="1" w:styleId="SalutationChar">
    <w:name w:val="Salutation Char"/>
    <w:basedOn w:val="DefaultParagraphFont"/>
    <w:link w:val="Salutation"/>
    <w:semiHidden/>
    <w:rsid w:val="0095697F"/>
    <w:rPr>
      <w:rFonts w:eastAsia="Times New Roman"/>
      <w:szCs w:val="20"/>
      <w:lang w:val="en-US"/>
    </w:rPr>
  </w:style>
  <w:style w:type="paragraph" w:styleId="Signature">
    <w:name w:val="Signature"/>
    <w:basedOn w:val="Normal"/>
    <w:link w:val="SignatureChar"/>
    <w:semiHidden/>
    <w:rsid w:val="0095697F"/>
    <w:pPr>
      <w:ind w:left="4320"/>
    </w:pPr>
    <w:rPr>
      <w:szCs w:val="20"/>
      <w:lang w:val="en-US" w:eastAsia="en-US"/>
    </w:rPr>
  </w:style>
  <w:style w:type="character" w:customStyle="1" w:styleId="SignatureChar">
    <w:name w:val="Signature Char"/>
    <w:basedOn w:val="DefaultParagraphFont"/>
    <w:link w:val="Signature"/>
    <w:semiHidden/>
    <w:rsid w:val="0095697F"/>
    <w:rPr>
      <w:rFonts w:eastAsia="Times New Roman"/>
      <w:szCs w:val="20"/>
      <w:lang w:val="en-US"/>
    </w:rPr>
  </w:style>
  <w:style w:type="paragraph" w:styleId="Subtitle">
    <w:name w:val="Subtitle"/>
    <w:basedOn w:val="Normal"/>
    <w:next w:val="Normal"/>
    <w:link w:val="SubtitleChar"/>
    <w:qFormat/>
    <w:rsid w:val="0095697F"/>
    <w:pPr>
      <w:spacing w:after="60"/>
      <w:jc w:val="center"/>
      <w:outlineLvl w:val="1"/>
    </w:pPr>
    <w:rPr>
      <w:rFonts w:ascii="Cambria" w:hAnsi="Cambria"/>
      <w:lang w:val="en-US" w:eastAsia="en-US"/>
    </w:rPr>
  </w:style>
  <w:style w:type="character" w:customStyle="1" w:styleId="SubtitleChar">
    <w:name w:val="Subtitle Char"/>
    <w:basedOn w:val="DefaultParagraphFont"/>
    <w:link w:val="Subtitle"/>
    <w:rsid w:val="0095697F"/>
    <w:rPr>
      <w:rFonts w:ascii="Cambria" w:eastAsia="Times New Roman" w:hAnsi="Cambria"/>
      <w:lang w:val="en-US"/>
    </w:rPr>
  </w:style>
  <w:style w:type="paragraph" w:styleId="TableofAuthorities">
    <w:name w:val="table of authorities"/>
    <w:basedOn w:val="Normal"/>
    <w:next w:val="Normal"/>
    <w:semiHidden/>
    <w:rsid w:val="0095697F"/>
    <w:pPr>
      <w:ind w:left="240" w:hanging="240"/>
    </w:pPr>
    <w:rPr>
      <w:szCs w:val="20"/>
      <w:lang w:val="en-US" w:eastAsia="en-US"/>
    </w:rPr>
  </w:style>
  <w:style w:type="paragraph" w:styleId="TableofFigures">
    <w:name w:val="table of figures"/>
    <w:basedOn w:val="Normal"/>
    <w:next w:val="Normal"/>
    <w:semiHidden/>
    <w:rsid w:val="0095697F"/>
    <w:rPr>
      <w:szCs w:val="20"/>
      <w:lang w:val="en-US" w:eastAsia="en-US"/>
    </w:rPr>
  </w:style>
  <w:style w:type="paragraph" w:styleId="Title">
    <w:name w:val="Title"/>
    <w:basedOn w:val="Normal"/>
    <w:next w:val="Normal"/>
    <w:link w:val="TitleChar"/>
    <w:qFormat/>
    <w:rsid w:val="0095697F"/>
    <w:pPr>
      <w:spacing w:before="240" w:after="60"/>
      <w:jc w:val="center"/>
      <w:outlineLvl w:val="0"/>
    </w:pPr>
    <w:rPr>
      <w:rFonts w:ascii="Cambria" w:hAnsi="Cambria"/>
      <w:b/>
      <w:bCs/>
      <w:kern w:val="28"/>
      <w:sz w:val="32"/>
      <w:szCs w:val="32"/>
      <w:lang w:val="en-US" w:eastAsia="en-US"/>
    </w:rPr>
  </w:style>
  <w:style w:type="character" w:customStyle="1" w:styleId="TitleChar">
    <w:name w:val="Title Char"/>
    <w:basedOn w:val="DefaultParagraphFont"/>
    <w:link w:val="Title"/>
    <w:rsid w:val="0095697F"/>
    <w:rPr>
      <w:rFonts w:ascii="Cambria" w:eastAsia="Times New Roman" w:hAnsi="Cambria"/>
      <w:b/>
      <w:bCs/>
      <w:kern w:val="28"/>
      <w:sz w:val="32"/>
      <w:szCs w:val="32"/>
      <w:lang w:val="en-US"/>
    </w:rPr>
  </w:style>
  <w:style w:type="paragraph" w:styleId="TOAHeading">
    <w:name w:val="toa heading"/>
    <w:basedOn w:val="Normal"/>
    <w:next w:val="Normal"/>
    <w:semiHidden/>
    <w:rsid w:val="0095697F"/>
    <w:pPr>
      <w:spacing w:before="120"/>
    </w:pPr>
    <w:rPr>
      <w:rFonts w:ascii="Cambria" w:hAnsi="Cambria"/>
      <w:b/>
      <w:bCs/>
      <w:lang w:val="en-US" w:eastAsia="en-US"/>
    </w:rPr>
  </w:style>
  <w:style w:type="paragraph" w:styleId="TOC1">
    <w:name w:val="toc 1"/>
    <w:basedOn w:val="Normal"/>
    <w:next w:val="Normal"/>
    <w:autoRedefine/>
    <w:semiHidden/>
    <w:rsid w:val="0095697F"/>
    <w:rPr>
      <w:szCs w:val="20"/>
      <w:lang w:val="en-US" w:eastAsia="en-US"/>
    </w:rPr>
  </w:style>
  <w:style w:type="paragraph" w:styleId="TOC2">
    <w:name w:val="toc 2"/>
    <w:basedOn w:val="Normal"/>
    <w:next w:val="Normal"/>
    <w:autoRedefine/>
    <w:semiHidden/>
    <w:rsid w:val="0095697F"/>
    <w:pPr>
      <w:ind w:left="240"/>
    </w:pPr>
    <w:rPr>
      <w:szCs w:val="20"/>
      <w:lang w:val="en-US" w:eastAsia="en-US"/>
    </w:rPr>
  </w:style>
  <w:style w:type="paragraph" w:styleId="TOC3">
    <w:name w:val="toc 3"/>
    <w:basedOn w:val="Normal"/>
    <w:next w:val="Normal"/>
    <w:autoRedefine/>
    <w:semiHidden/>
    <w:rsid w:val="0095697F"/>
    <w:pPr>
      <w:ind w:left="480"/>
    </w:pPr>
    <w:rPr>
      <w:szCs w:val="20"/>
      <w:lang w:val="en-US" w:eastAsia="en-US"/>
    </w:rPr>
  </w:style>
  <w:style w:type="paragraph" w:styleId="TOC4">
    <w:name w:val="toc 4"/>
    <w:basedOn w:val="Normal"/>
    <w:next w:val="Normal"/>
    <w:autoRedefine/>
    <w:semiHidden/>
    <w:rsid w:val="0095697F"/>
    <w:pPr>
      <w:ind w:left="720"/>
    </w:pPr>
    <w:rPr>
      <w:szCs w:val="20"/>
      <w:lang w:val="en-US" w:eastAsia="en-US"/>
    </w:rPr>
  </w:style>
  <w:style w:type="paragraph" w:styleId="TOC5">
    <w:name w:val="toc 5"/>
    <w:basedOn w:val="Normal"/>
    <w:next w:val="Normal"/>
    <w:autoRedefine/>
    <w:semiHidden/>
    <w:rsid w:val="0095697F"/>
    <w:pPr>
      <w:ind w:left="960"/>
    </w:pPr>
    <w:rPr>
      <w:szCs w:val="20"/>
      <w:lang w:val="en-US" w:eastAsia="en-US"/>
    </w:rPr>
  </w:style>
  <w:style w:type="paragraph" w:styleId="TOC6">
    <w:name w:val="toc 6"/>
    <w:basedOn w:val="Normal"/>
    <w:next w:val="Normal"/>
    <w:autoRedefine/>
    <w:semiHidden/>
    <w:rsid w:val="0095697F"/>
    <w:pPr>
      <w:ind w:left="1200"/>
    </w:pPr>
    <w:rPr>
      <w:szCs w:val="20"/>
      <w:lang w:val="en-US" w:eastAsia="en-US"/>
    </w:rPr>
  </w:style>
  <w:style w:type="paragraph" w:styleId="TOC7">
    <w:name w:val="toc 7"/>
    <w:basedOn w:val="Normal"/>
    <w:next w:val="Normal"/>
    <w:autoRedefine/>
    <w:semiHidden/>
    <w:rsid w:val="0095697F"/>
    <w:pPr>
      <w:ind w:left="1440"/>
    </w:pPr>
    <w:rPr>
      <w:szCs w:val="20"/>
      <w:lang w:val="en-US" w:eastAsia="en-US"/>
    </w:rPr>
  </w:style>
  <w:style w:type="paragraph" w:styleId="TOC8">
    <w:name w:val="toc 8"/>
    <w:basedOn w:val="Normal"/>
    <w:next w:val="Normal"/>
    <w:autoRedefine/>
    <w:semiHidden/>
    <w:rsid w:val="0095697F"/>
    <w:pPr>
      <w:ind w:left="1680"/>
    </w:pPr>
    <w:rPr>
      <w:szCs w:val="20"/>
      <w:lang w:val="en-US" w:eastAsia="en-US"/>
    </w:rPr>
  </w:style>
  <w:style w:type="paragraph" w:styleId="TOC9">
    <w:name w:val="toc 9"/>
    <w:basedOn w:val="Normal"/>
    <w:next w:val="Normal"/>
    <w:autoRedefine/>
    <w:semiHidden/>
    <w:rsid w:val="0095697F"/>
    <w:pPr>
      <w:ind w:left="1920"/>
    </w:pPr>
    <w:rPr>
      <w:szCs w:val="20"/>
      <w:lang w:val="en-US" w:eastAsia="en-US"/>
    </w:rPr>
  </w:style>
  <w:style w:type="paragraph" w:styleId="TOCHeading">
    <w:name w:val="TOC Heading"/>
    <w:basedOn w:val="Heading1"/>
    <w:next w:val="Normal"/>
    <w:uiPriority w:val="39"/>
    <w:semiHidden/>
    <w:unhideWhenUsed/>
    <w:qFormat/>
    <w:rsid w:val="0095697F"/>
    <w:pPr>
      <w:keepLines w:val="0"/>
      <w:spacing w:after="60"/>
      <w:outlineLvl w:val="9"/>
    </w:pPr>
    <w:rPr>
      <w:rFonts w:ascii="Cambria" w:eastAsia="Times New Roman" w:hAnsi="Cambria" w:cs="Times New Roman"/>
      <w:b/>
      <w:bCs/>
      <w:color w:val="auto"/>
      <w:kern w:val="32"/>
      <w:lang w:val="en-US" w:eastAsia="en-US"/>
    </w:rPr>
  </w:style>
  <w:style w:type="character" w:styleId="FollowedHyperlink">
    <w:name w:val="FollowedHyperlink"/>
    <w:semiHidden/>
    <w:unhideWhenUsed/>
    <w:rsid w:val="0095697F"/>
    <w:rPr>
      <w:color w:val="800080"/>
      <w:u w:val="single"/>
    </w:rPr>
  </w:style>
  <w:style w:type="character" w:styleId="CommentReference">
    <w:name w:val="annotation reference"/>
    <w:semiHidden/>
    <w:unhideWhenUsed/>
    <w:rsid w:val="0095697F"/>
    <w:rPr>
      <w:sz w:val="16"/>
      <w:szCs w:val="16"/>
    </w:rPr>
  </w:style>
  <w:style w:type="paragraph" w:customStyle="1" w:styleId="PubInfo">
    <w:name w:val="PubInfo"/>
    <w:basedOn w:val="Normal"/>
    <w:qFormat/>
    <w:rsid w:val="0095697F"/>
    <w:pPr>
      <w:suppressAutoHyphens/>
      <w:jc w:val="center"/>
    </w:pPr>
    <w:rPr>
      <w:sz w:val="20"/>
      <w:szCs w:val="20"/>
      <w:lang w:val="en-US" w:eastAsia="ar-SA"/>
    </w:rPr>
  </w:style>
  <w:style w:type="paragraph" w:customStyle="1" w:styleId="DoiInfo">
    <w:name w:val="DoiInfo"/>
    <w:basedOn w:val="Normal"/>
    <w:qFormat/>
    <w:rsid w:val="0095697F"/>
    <w:pPr>
      <w:suppressAutoHyphens/>
      <w:jc w:val="center"/>
    </w:pPr>
    <w:rPr>
      <w:sz w:val="20"/>
      <w:szCs w:val="20"/>
      <w:lang w:val="en-US" w:eastAsia="ar-SA"/>
    </w:rPr>
  </w:style>
  <w:style w:type="character" w:styleId="Emphasis">
    <w:name w:val="Emphasis"/>
    <w:basedOn w:val="DefaultParagraphFont"/>
    <w:uiPriority w:val="20"/>
    <w:qFormat/>
    <w:rsid w:val="0095697F"/>
    <w:rPr>
      <w:i/>
      <w:iCs/>
    </w:rPr>
  </w:style>
  <w:style w:type="table" w:styleId="TableGridLight">
    <w:name w:val="Grid Table Light"/>
    <w:basedOn w:val="TableNormal"/>
    <w:uiPriority w:val="40"/>
    <w:rsid w:val="0095697F"/>
    <w:rPr>
      <w:rFonts w:eastAsia="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68967">
      <w:bodyDiv w:val="1"/>
      <w:marLeft w:val="0"/>
      <w:marRight w:val="0"/>
      <w:marTop w:val="0"/>
      <w:marBottom w:val="0"/>
      <w:divBdr>
        <w:top w:val="none" w:sz="0" w:space="0" w:color="auto"/>
        <w:left w:val="none" w:sz="0" w:space="0" w:color="auto"/>
        <w:bottom w:val="none" w:sz="0" w:space="0" w:color="auto"/>
        <w:right w:val="none" w:sz="0" w:space="0" w:color="auto"/>
      </w:divBdr>
    </w:div>
    <w:div w:id="992105495">
      <w:bodyDiv w:val="1"/>
      <w:marLeft w:val="0"/>
      <w:marRight w:val="0"/>
      <w:marTop w:val="0"/>
      <w:marBottom w:val="0"/>
      <w:divBdr>
        <w:top w:val="none" w:sz="0" w:space="0" w:color="auto"/>
        <w:left w:val="none" w:sz="0" w:space="0" w:color="auto"/>
        <w:bottom w:val="none" w:sz="0" w:space="0" w:color="auto"/>
        <w:right w:val="none" w:sz="0" w:space="0" w:color="auto"/>
      </w:divBdr>
    </w:div>
    <w:div w:id="1240822372">
      <w:bodyDiv w:val="1"/>
      <w:marLeft w:val="0"/>
      <w:marRight w:val="0"/>
      <w:marTop w:val="0"/>
      <w:marBottom w:val="0"/>
      <w:divBdr>
        <w:top w:val="none" w:sz="0" w:space="0" w:color="auto"/>
        <w:left w:val="none" w:sz="0" w:space="0" w:color="auto"/>
        <w:bottom w:val="none" w:sz="0" w:space="0" w:color="auto"/>
        <w:right w:val="none" w:sz="0" w:space="0" w:color="auto"/>
      </w:divBdr>
    </w:div>
    <w:div w:id="1300653168">
      <w:bodyDiv w:val="1"/>
      <w:marLeft w:val="0"/>
      <w:marRight w:val="0"/>
      <w:marTop w:val="0"/>
      <w:marBottom w:val="0"/>
      <w:divBdr>
        <w:top w:val="none" w:sz="0" w:space="0" w:color="auto"/>
        <w:left w:val="none" w:sz="0" w:space="0" w:color="auto"/>
        <w:bottom w:val="none" w:sz="0" w:space="0" w:color="auto"/>
        <w:right w:val="none" w:sz="0" w:space="0" w:color="auto"/>
      </w:divBdr>
    </w:div>
    <w:div w:id="1598632103">
      <w:bodyDiv w:val="1"/>
      <w:marLeft w:val="0"/>
      <w:marRight w:val="0"/>
      <w:marTop w:val="0"/>
      <w:marBottom w:val="0"/>
      <w:divBdr>
        <w:top w:val="none" w:sz="0" w:space="0" w:color="auto"/>
        <w:left w:val="none" w:sz="0" w:space="0" w:color="auto"/>
        <w:bottom w:val="none" w:sz="0" w:space="0" w:color="auto"/>
        <w:right w:val="none" w:sz="0" w:space="0" w:color="auto"/>
      </w:divBdr>
    </w:div>
    <w:div w:id="166573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per.verschuur@keble.ox.ac.uk"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E5F50-0DDD-2D49-B0AE-BFF3AE5EB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23</Pages>
  <Words>25323</Words>
  <Characters>144347</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Verschuur</dc:creator>
  <cp:keywords/>
  <dc:description/>
  <cp:lastModifiedBy>Jasper Verschuur</cp:lastModifiedBy>
  <cp:revision>55</cp:revision>
  <dcterms:created xsi:type="dcterms:W3CDTF">2020-09-01T09:46:00Z</dcterms:created>
  <dcterms:modified xsi:type="dcterms:W3CDTF">2022-02-24T10:33:00Z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http://www.zotero.org/styles/nature-communications</vt:lpwstr>
  </property>
  <property fmtid="{D5CDD505-2E9C-101B-9397-08002B2CF9AE}" pid="13" name="Mendeley Recent Style Name 5_1">
    <vt:lpwstr>Nature Communications</vt:lpwstr>
  </property>
  <property fmtid="{D5CDD505-2E9C-101B-9397-08002B2CF9AE}" pid="14" name="Mendeley Recent Style Id 6_1">
    <vt:lpwstr>http://www.zotero.org/styles/plos-one</vt:lpwstr>
  </property>
  <property fmtid="{D5CDD505-2E9C-101B-9397-08002B2CF9AE}" pid="15" name="Mendeley Recent Style Name 6_1">
    <vt:lpwstr>PLOS ONE</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http://www.zotero.org/styles/science-advances</vt:lpwstr>
  </property>
  <property fmtid="{D5CDD505-2E9C-101B-9397-08002B2CF9AE}" pid="19" name="Mendeley Recent Style Name 8_1">
    <vt:lpwstr>Science Advances</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Document_1">
    <vt:lpwstr>True</vt:lpwstr>
  </property>
  <property fmtid="{D5CDD505-2E9C-101B-9397-08002B2CF9AE}" pid="23" name="Mendeley Unique User Id_1">
    <vt:lpwstr>781b9479-f752-3654-9829-7b2764f7616c</vt:lpwstr>
  </property>
  <property fmtid="{D5CDD505-2E9C-101B-9397-08002B2CF9AE}" pid="24" name="Mendeley Citation Style_1">
    <vt:lpwstr>http://www.zotero.org/styles/nature-communications</vt:lpwstr>
  </property>
</Properties>
</file>