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jc w:val="center"/>
        <w:tblLayout w:type="fixed"/>
        <w:tblLook w:val="0400" w:firstRow="0" w:lastRow="0" w:firstColumn="0" w:lastColumn="0" w:noHBand="0" w:noVBand="1"/>
      </w:tblPr>
      <w:tblGrid>
        <w:gridCol w:w="1619"/>
        <w:gridCol w:w="1170"/>
        <w:gridCol w:w="1632"/>
        <w:gridCol w:w="716"/>
        <w:gridCol w:w="1493"/>
        <w:gridCol w:w="716"/>
        <w:gridCol w:w="1377"/>
        <w:gridCol w:w="740"/>
      </w:tblGrid>
      <w:tr w:rsidR="00237A0B" w:rsidRPr="003A4434" w:rsidTr="004E20EE">
        <w:trPr>
          <w:trHeight w:val="290"/>
          <w:jc w:val="center"/>
        </w:trPr>
        <w:tc>
          <w:tcPr>
            <w:tcW w:w="9464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237A0B" w:rsidRPr="00DC1CB8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C1C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Table 1. Predicting working adults’ depression disorder, anxiety disorder, and overall mental health score (N=601)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vMerge w:val="restart"/>
            <w:tcBorders>
              <w:top w:val="single" w:sz="4" w:space="0" w:color="000000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4557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Logistic regression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Linear regression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vMerge/>
            <w:tcBorders>
              <w:top w:val="single" w:sz="4" w:space="0" w:color="000000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34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Distress</w:t>
            </w:r>
          </w:p>
        </w:tc>
        <w:tc>
          <w:tcPr>
            <w:tcW w:w="220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Anxiety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Mental health</w:t>
            </w: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vMerge/>
            <w:tcBorders>
              <w:top w:val="single" w:sz="4" w:space="0" w:color="000000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 xml:space="preserve">OR </w:t>
            </w: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(95%CI)</w:t>
            </w:r>
          </w:p>
        </w:tc>
        <w:tc>
          <w:tcPr>
            <w:tcW w:w="7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14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 xml:space="preserve">OR </w:t>
            </w: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(95%CI)</w:t>
            </w:r>
          </w:p>
        </w:tc>
        <w:tc>
          <w:tcPr>
            <w:tcW w:w="7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13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 xml:space="preserve">b </w:t>
            </w: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(95%CI)</w:t>
            </w:r>
          </w:p>
        </w:tc>
        <w:tc>
          <w:tcPr>
            <w:tcW w:w="740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p-value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9464" w:type="dxa"/>
            <w:gridSpan w:val="8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Gender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315 (52.4)</w:t>
            </w:r>
          </w:p>
        </w:tc>
        <w:tc>
          <w:tcPr>
            <w:tcW w:w="1632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.74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(.42 –1.33)</w:t>
            </w:r>
          </w:p>
        </w:tc>
        <w:tc>
          <w:tcPr>
            <w:tcW w:w="71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.315</w:t>
            </w:r>
          </w:p>
        </w:tc>
        <w:tc>
          <w:tcPr>
            <w:tcW w:w="1493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1.09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(.72 – 1.65)</w:t>
            </w:r>
          </w:p>
        </w:tc>
        <w:tc>
          <w:tcPr>
            <w:tcW w:w="71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.688</w:t>
            </w:r>
          </w:p>
        </w:tc>
        <w:tc>
          <w:tcPr>
            <w:tcW w:w="1377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-.98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(-2.62 – .64)</w:t>
            </w:r>
          </w:p>
        </w:tc>
        <w:tc>
          <w:tcPr>
            <w:tcW w:w="740" w:type="dxa"/>
            <w:vMerge w:val="restart"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.233</w:t>
            </w: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286 (47.6)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9464" w:type="dxa"/>
            <w:gridSpan w:val="8"/>
            <w:tcBorders>
              <w:right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Age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18–19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30 (5.0)</w:t>
            </w:r>
          </w:p>
        </w:tc>
        <w:tc>
          <w:tcPr>
            <w:tcW w:w="1632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.97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(.92 – 1.02)</w:t>
            </w:r>
          </w:p>
        </w:tc>
        <w:tc>
          <w:tcPr>
            <w:tcW w:w="71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.178</w:t>
            </w:r>
          </w:p>
        </w:tc>
        <w:tc>
          <w:tcPr>
            <w:tcW w:w="1493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.98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(.93 –1.03)</w:t>
            </w:r>
          </w:p>
        </w:tc>
        <w:tc>
          <w:tcPr>
            <w:tcW w:w="71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.421</w:t>
            </w:r>
          </w:p>
        </w:tc>
        <w:tc>
          <w:tcPr>
            <w:tcW w:w="1377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.23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(.06 – .40)</w:t>
            </w:r>
          </w:p>
        </w:tc>
        <w:tc>
          <w:tcPr>
            <w:tcW w:w="740" w:type="dxa"/>
            <w:vMerge w:val="restart"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.007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20–29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339 (57.4)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30–39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156 (26.0)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40–79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70 (11.6)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9464" w:type="dxa"/>
            <w:gridSpan w:val="8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Marital status </w:t>
            </w: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Single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407 (67.7)</w:t>
            </w:r>
          </w:p>
        </w:tc>
        <w:tc>
          <w:tcPr>
            <w:tcW w:w="6674" w:type="dxa"/>
            <w:gridSpan w:val="6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----------------------------Reference-----------------------------</w:t>
            </w: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 xml:space="preserve">Married 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185 (30.8)</w:t>
            </w:r>
          </w:p>
        </w:tc>
        <w:tc>
          <w:tcPr>
            <w:tcW w:w="1632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1.09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(.46 - 2.59)</w:t>
            </w:r>
          </w:p>
        </w:tc>
        <w:tc>
          <w:tcPr>
            <w:tcW w:w="716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.845</w:t>
            </w:r>
          </w:p>
        </w:tc>
        <w:tc>
          <w:tcPr>
            <w:tcW w:w="1493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.89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(.47 – 1.69)</w:t>
            </w:r>
          </w:p>
        </w:tc>
        <w:tc>
          <w:tcPr>
            <w:tcW w:w="716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.722</w:t>
            </w:r>
          </w:p>
        </w:tc>
        <w:tc>
          <w:tcPr>
            <w:tcW w:w="1377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-.35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(-2.66 – 1.97)</w:t>
            </w:r>
          </w:p>
        </w:tc>
        <w:tc>
          <w:tcPr>
            <w:tcW w:w="740" w:type="dxa"/>
            <w:tcBorders>
              <w:top w:val="nil"/>
              <w:right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.770</w:t>
            </w: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Divorced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 (1.7)</w:t>
            </w:r>
          </w:p>
        </w:tc>
        <w:tc>
          <w:tcPr>
            <w:tcW w:w="1632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2.02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(.18 – 22.8)</w:t>
            </w:r>
          </w:p>
        </w:tc>
        <w:tc>
          <w:tcPr>
            <w:tcW w:w="716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.570</w:t>
            </w:r>
          </w:p>
        </w:tc>
        <w:tc>
          <w:tcPr>
            <w:tcW w:w="1493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.69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(.08 – 6.45)</w:t>
            </w:r>
          </w:p>
        </w:tc>
        <w:tc>
          <w:tcPr>
            <w:tcW w:w="716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.748</w:t>
            </w:r>
          </w:p>
        </w:tc>
        <w:tc>
          <w:tcPr>
            <w:tcW w:w="1377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-1.91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(-10.70 – 6.86)</w:t>
            </w:r>
          </w:p>
        </w:tc>
        <w:tc>
          <w:tcPr>
            <w:tcW w:w="740" w:type="dxa"/>
            <w:tcBorders>
              <w:top w:val="nil"/>
              <w:right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.668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9464" w:type="dxa"/>
            <w:gridSpan w:val="8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Education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Primary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 (0.3)</w:t>
            </w:r>
          </w:p>
        </w:tc>
        <w:tc>
          <w:tcPr>
            <w:tcW w:w="1632" w:type="dxa"/>
            <w:vMerge w:val="restart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 95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(.51 – 1.76)</w:t>
            </w:r>
          </w:p>
        </w:tc>
        <w:tc>
          <w:tcPr>
            <w:tcW w:w="716" w:type="dxa"/>
            <w:vMerge w:val="restart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.865</w:t>
            </w:r>
          </w:p>
        </w:tc>
        <w:tc>
          <w:tcPr>
            <w:tcW w:w="1493" w:type="dxa"/>
            <w:vMerge w:val="restart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1.10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(.67 – 1.80)</w:t>
            </w:r>
          </w:p>
        </w:tc>
        <w:tc>
          <w:tcPr>
            <w:tcW w:w="716" w:type="dxa"/>
            <w:vMerge w:val="restart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.698</w:t>
            </w:r>
          </w:p>
        </w:tc>
        <w:tc>
          <w:tcPr>
            <w:tcW w:w="1377" w:type="dxa"/>
            <w:vMerge w:val="restart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-1.96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(-3.96 – .03)</w:t>
            </w:r>
          </w:p>
        </w:tc>
        <w:tc>
          <w:tcPr>
            <w:tcW w:w="740" w:type="dxa"/>
            <w:vMerge w:val="restart"/>
            <w:tcBorders>
              <w:top w:val="nil"/>
              <w:right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.054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Secondary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 (0.2)</w:t>
            </w:r>
          </w:p>
        </w:tc>
        <w:tc>
          <w:tcPr>
            <w:tcW w:w="1632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ind w:right="10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Intermediate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175 (29.0)</w:t>
            </w:r>
          </w:p>
        </w:tc>
        <w:tc>
          <w:tcPr>
            <w:tcW w:w="1632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ind w:right="10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Graduate or higher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424 (70.5)</w:t>
            </w:r>
          </w:p>
        </w:tc>
        <w:tc>
          <w:tcPr>
            <w:tcW w:w="1632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9464" w:type="dxa"/>
            <w:gridSpan w:val="8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Exercise hours per day</w:t>
            </w: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ind w:right="10"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Mean[SD]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0.77 [0.79]</w:t>
            </w:r>
          </w:p>
        </w:tc>
        <w:tc>
          <w:tcPr>
            <w:tcW w:w="1632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.66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(.45 – .96)</w:t>
            </w:r>
          </w:p>
        </w:tc>
        <w:tc>
          <w:tcPr>
            <w:tcW w:w="716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.028</w:t>
            </w:r>
          </w:p>
        </w:tc>
        <w:tc>
          <w:tcPr>
            <w:tcW w:w="1493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.81 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(.63 – 1.05)</w:t>
            </w:r>
          </w:p>
        </w:tc>
        <w:tc>
          <w:tcPr>
            <w:tcW w:w="716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.112</w:t>
            </w:r>
          </w:p>
        </w:tc>
        <w:tc>
          <w:tcPr>
            <w:tcW w:w="1377" w:type="dxa"/>
            <w:tcBorders>
              <w:top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1.28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(.31 – 2.25)</w:t>
            </w:r>
          </w:p>
        </w:tc>
        <w:tc>
          <w:tcPr>
            <w:tcW w:w="740" w:type="dxa"/>
            <w:tcBorders>
              <w:top w:val="nil"/>
              <w:right w:val="nil"/>
            </w:tcBorders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.010</w:t>
            </w: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9464" w:type="dxa"/>
            <w:gridSpan w:val="8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Distance to Karachi (1000 kilometer)</w:t>
            </w: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Mean[SD]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0.27 [0.51]</w:t>
            </w:r>
          </w:p>
        </w:tc>
        <w:tc>
          <w:tcPr>
            <w:tcW w:w="1632" w:type="dxa"/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.54 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(.18 – 1.6)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.265</w:t>
            </w:r>
          </w:p>
        </w:tc>
        <w:tc>
          <w:tcPr>
            <w:tcW w:w="1493" w:type="dxa"/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.58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(.27 – 1.24)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.160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3.51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(.74 – 6.28)</w:t>
            </w:r>
          </w:p>
        </w:tc>
        <w:tc>
          <w:tcPr>
            <w:tcW w:w="740" w:type="dxa"/>
            <w:tcBorders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.013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9464" w:type="dxa"/>
            <w:gridSpan w:val="8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Family size 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1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 (0.8)</w:t>
            </w:r>
          </w:p>
        </w:tc>
        <w:tc>
          <w:tcPr>
            <w:tcW w:w="1632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.76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(.61 – .94)</w:t>
            </w:r>
          </w:p>
        </w:tc>
        <w:tc>
          <w:tcPr>
            <w:tcW w:w="71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.013</w:t>
            </w:r>
          </w:p>
        </w:tc>
        <w:tc>
          <w:tcPr>
            <w:tcW w:w="1493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.91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(.82 – 1.00)</w:t>
            </w:r>
          </w:p>
        </w:tc>
        <w:tc>
          <w:tcPr>
            <w:tcW w:w="71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.052</w:t>
            </w:r>
          </w:p>
        </w:tc>
        <w:tc>
          <w:tcPr>
            <w:tcW w:w="1377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.19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(-.13 – .50)</w:t>
            </w:r>
          </w:p>
        </w:tc>
        <w:tc>
          <w:tcPr>
            <w:tcW w:w="740" w:type="dxa"/>
            <w:vMerge w:val="restart"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.245</w:t>
            </w: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2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17 (2.8)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3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54 (9.0)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4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99 (16.5)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5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134 (22.3)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6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122 (20.3)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8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7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58 (9.7)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8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41 (6.8)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  <w:t>9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20 (3.3)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1620" w:type="dxa"/>
            <w:tcBorders>
              <w:top w:val="nil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jc w:val="right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 w:val="22"/>
                  <w:szCs w:val="22"/>
                </w:rPr>
                <w:tag w:val="goog_rdk_22"/>
                <w:id w:val="891543827"/>
              </w:sdtPr>
              <w:sdtContent>
                <w:r w:rsidRPr="003A4434">
                  <w:rPr>
                    <w:rFonts w:ascii="Times New Roman" w:eastAsia="Gungsuh" w:hAnsi="Times New Roman" w:cs="Times New Roman"/>
                    <w:i/>
                    <w:color w:val="000000"/>
                    <w:sz w:val="22"/>
                    <w:szCs w:val="22"/>
                  </w:rPr>
                  <w:t>≥10</w:t>
                </w:r>
              </w:sdtContent>
            </w:sdt>
          </w:p>
        </w:tc>
        <w:tc>
          <w:tcPr>
            <w:tcW w:w="1170" w:type="dxa"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51 (8.49)</w:t>
            </w:r>
          </w:p>
        </w:tc>
        <w:tc>
          <w:tcPr>
            <w:tcW w:w="1632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93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7" w:type="dxa"/>
            <w:vMerge/>
            <w:tcBorders>
              <w:top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0" w:type="dxa"/>
            <w:vMerge/>
            <w:tcBorders>
              <w:top w:val="nil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RPr="003A4434" w:rsidTr="004E20EE">
        <w:trPr>
          <w:trHeight w:val="290"/>
          <w:jc w:val="center"/>
        </w:trPr>
        <w:tc>
          <w:tcPr>
            <w:tcW w:w="2790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left w:w="85" w:type="dxa"/>
              <w:right w:w="85" w:type="dxa"/>
            </w:tcMar>
            <w:vAlign w:val="center"/>
          </w:tcPr>
          <w:p w:rsidR="00237A0B" w:rsidRPr="003A4434" w:rsidRDefault="00237A0B" w:rsidP="004E20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Distance * Family size </w:t>
            </w:r>
          </w:p>
        </w:tc>
        <w:tc>
          <w:tcPr>
            <w:tcW w:w="163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1.25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(1.04 – 1.49)</w:t>
            </w:r>
          </w:p>
        </w:tc>
        <w:tc>
          <w:tcPr>
            <w:tcW w:w="7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.017</w:t>
            </w:r>
          </w:p>
        </w:tc>
        <w:tc>
          <w:tcPr>
            <w:tcW w:w="149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1.14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(1.03 – 1.26)</w:t>
            </w:r>
          </w:p>
        </w:tc>
        <w:tc>
          <w:tcPr>
            <w:tcW w:w="7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.015</w:t>
            </w:r>
          </w:p>
        </w:tc>
        <w:tc>
          <w:tcPr>
            <w:tcW w:w="137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-.71</w:t>
            </w:r>
          </w:p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(-1.04 – -.38)</w:t>
            </w:r>
          </w:p>
        </w:tc>
        <w:tc>
          <w:tcPr>
            <w:tcW w:w="740" w:type="dxa"/>
            <w:tcBorders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237A0B" w:rsidRPr="003A4434" w:rsidRDefault="00237A0B" w:rsidP="004E20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A443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.000</w:t>
            </w:r>
          </w:p>
        </w:tc>
      </w:tr>
    </w:tbl>
    <w:p w:rsidR="00237A0B" w:rsidRDefault="00237A0B" w:rsidP="00237A0B">
      <w:pPr>
        <w:rPr>
          <w:rFonts w:ascii="Times New Roman" w:eastAsia="Times New Roman" w:hAnsi="Times New Roman" w:cs="Times New Roman"/>
          <w:sz w:val="24"/>
          <w:szCs w:val="24"/>
        </w:rPr>
        <w:sectPr w:rsidR="00237A0B">
          <w:pgSz w:w="11900" w:h="16840"/>
          <w:pgMar w:top="1440" w:right="1440" w:bottom="1440" w:left="1440" w:header="851" w:footer="992" w:gutter="0"/>
          <w:cols w:space="720"/>
        </w:sectPr>
      </w:pPr>
    </w:p>
    <w:p w:rsidR="00237A0B" w:rsidRPr="00DC1CB8" w:rsidRDefault="00237A0B" w:rsidP="00237A0B">
      <w:pPr>
        <w:widowControl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C1C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Table 2. The comparisons of adults’ distress and anxiety issues during the COVID-19 pandemic across studies</w:t>
      </w:r>
      <w:r w:rsidRPr="00DC1C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237A0B" w:rsidRDefault="00237A0B" w:rsidP="00237A0B">
      <w:pPr>
        <w:widowControl/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tbl>
      <w:tblPr>
        <w:tblW w:w="10314" w:type="dxa"/>
        <w:tblBorders>
          <w:top w:val="single" w:sz="4" w:space="0" w:color="7F7F7F"/>
          <w:left w:val="nil"/>
          <w:bottom w:val="single" w:sz="4" w:space="0" w:color="7F7F7F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01"/>
        <w:gridCol w:w="4394"/>
        <w:gridCol w:w="1276"/>
        <w:gridCol w:w="2551"/>
        <w:gridCol w:w="992"/>
      </w:tblGrid>
      <w:tr w:rsidR="00237A0B" w:rsidTr="004E20EE">
        <w:tc>
          <w:tcPr>
            <w:tcW w:w="1101" w:type="dxa"/>
            <w:tcBorders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Measure </w:t>
            </w:r>
          </w:p>
        </w:tc>
        <w:tc>
          <w:tcPr>
            <w:tcW w:w="4394" w:type="dxa"/>
            <w:tcBorders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Sample description; data collection time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Prevalence</w:t>
            </w:r>
          </w:p>
        </w:tc>
        <w:tc>
          <w:tcPr>
            <w:tcW w:w="2551" w:type="dxa"/>
            <w:tcBorders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Comparison with this study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Source</w:t>
            </w:r>
          </w:p>
        </w:tc>
      </w:tr>
      <w:tr w:rsidR="00237A0B" w:rsidTr="004E20EE">
        <w:trPr>
          <w:trHeight w:val="286"/>
        </w:trPr>
        <w:tc>
          <w:tcPr>
            <w:tcW w:w="110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Distress</w:t>
            </w:r>
          </w:p>
        </w:tc>
        <w:tc>
          <w:tcPr>
            <w:tcW w:w="43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This study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9.2%</w:t>
            </w: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Tr="004E20EE">
        <w:trPr>
          <w:trHeight w:val="286"/>
        </w:trPr>
        <w:tc>
          <w:tcPr>
            <w:tcW w:w="1101" w:type="dxa"/>
            <w:tcBorders>
              <w:top w:val="single" w:sz="4" w:space="0" w:color="000000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Kessler-6</w:t>
            </w:r>
          </w:p>
        </w:tc>
        <w:tc>
          <w:tcPr>
            <w:tcW w:w="4394" w:type="dxa"/>
            <w:tcBorders>
              <w:top w:val="single" w:sz="4" w:space="0" w:color="000000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369 adults in China,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Feb 20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–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21, 2020</w:t>
            </w:r>
          </w:p>
        </w:tc>
        <w:tc>
          <w:tcPr>
            <w:tcW w:w="1276" w:type="dxa"/>
            <w:tcBorders>
              <w:top w:val="single" w:sz="4" w:space="0" w:color="000000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6.2%</w:t>
            </w:r>
          </w:p>
        </w:tc>
        <w:tc>
          <w:tcPr>
            <w:tcW w:w="2551" w:type="dxa"/>
            <w:tcBorders>
              <w:top w:val="single" w:sz="4" w:space="0" w:color="000000"/>
              <w:bottom w:val="nil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-3.0% (-6.3% to 0.6%)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=2.8, p=0.10</w:t>
            </w:r>
          </w:p>
        </w:tc>
        <w:tc>
          <w:tcPr>
            <w:tcW w:w="992" w:type="dxa"/>
            <w:tcBorders>
              <w:top w:val="single" w:sz="4" w:space="0" w:color="000000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[24] </w:t>
            </w:r>
          </w:p>
        </w:tc>
      </w:tr>
      <w:tr w:rsidR="00237A0B" w:rsidTr="004E20EE">
        <w:trPr>
          <w:trHeight w:val="286"/>
        </w:trPr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Kessler-10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500 adults in Italy,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April 10–13, 2020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18.6%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9.4% (5.5% to 13.3%)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=22.2, p&lt;0.0001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[3] </w:t>
            </w:r>
          </w:p>
        </w:tc>
      </w:tr>
      <w:tr w:rsidR="00237A0B" w:rsidTr="004E20EE">
        <w:trPr>
          <w:trHeight w:val="286"/>
        </w:trPr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Kessler-6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1599 adults in China, Feb 1–4, 2020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Mean (SD): 7.7 (±7.7)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2.2% (1.49% - 2.8%)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 (2198) = 6.4, p&lt;0.0001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[40] </w:t>
            </w:r>
          </w:p>
        </w:tc>
      </w:tr>
      <w:tr w:rsidR="00237A0B" w:rsidTr="004E20EE">
        <w:trPr>
          <w:trHeight w:val="286"/>
        </w:trPr>
        <w:tc>
          <w:tcPr>
            <w:tcW w:w="1101" w:type="dxa"/>
            <w:tcBorders>
              <w:top w:val="nil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Kessler-6</w:t>
            </w:r>
          </w:p>
        </w:tc>
        <w:tc>
          <w:tcPr>
            <w:tcW w:w="4394" w:type="dxa"/>
            <w:tcBorders>
              <w:top w:val="nil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2032 adults in the U.S.,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late April 2020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27.7%</w:t>
            </w:r>
          </w:p>
        </w:tc>
        <w:tc>
          <w:tcPr>
            <w:tcW w:w="2551" w:type="dxa"/>
            <w:tcBorders>
              <w:top w:val="nil"/>
              <w:bottom w:val="single" w:sz="4" w:space="0" w:color="000000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18.5% (15.3% to 21.4%)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=88.3, p&lt;0.0001</w:t>
            </w:r>
          </w:p>
        </w:tc>
        <w:tc>
          <w:tcPr>
            <w:tcW w:w="992" w:type="dxa"/>
            <w:tcBorders>
              <w:top w:val="nil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[29] </w:t>
            </w:r>
          </w:p>
        </w:tc>
      </w:tr>
      <w:tr w:rsidR="00237A0B" w:rsidTr="004E20EE">
        <w:trPr>
          <w:trHeight w:val="286"/>
        </w:trPr>
        <w:tc>
          <w:tcPr>
            <w:tcW w:w="110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Anxiety</w:t>
            </w:r>
          </w:p>
        </w:tc>
        <w:tc>
          <w:tcPr>
            <w:tcW w:w="43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This study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19.0%</w:t>
            </w: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37A0B" w:rsidTr="004E20EE">
        <w:trPr>
          <w:trHeight w:val="531"/>
        </w:trPr>
        <w:tc>
          <w:tcPr>
            <w:tcW w:w="1101" w:type="dxa"/>
            <w:tcBorders>
              <w:top w:val="single" w:sz="4" w:space="0" w:color="000000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GAD-2</w:t>
            </w:r>
          </w:p>
        </w:tc>
        <w:tc>
          <w:tcPr>
            <w:tcW w:w="4394" w:type="dxa"/>
            <w:tcBorders>
              <w:top w:val="single" w:sz="4" w:space="0" w:color="000000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3088 adults in 32 provinces of China, Feb 20–27, 2020</w:t>
            </w:r>
          </w:p>
        </w:tc>
        <w:tc>
          <w:tcPr>
            <w:tcW w:w="1276" w:type="dxa"/>
            <w:tcBorders>
              <w:top w:val="single" w:sz="4" w:space="0" w:color="000000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13.2%</w:t>
            </w:r>
          </w:p>
        </w:tc>
        <w:tc>
          <w:tcPr>
            <w:tcW w:w="2551" w:type="dxa"/>
            <w:tcBorders>
              <w:top w:val="single" w:sz="4" w:space="0" w:color="000000"/>
              <w:bottom w:val="nil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-5.83% (-2.6% to -9.3%)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=13.9, p=0.0002</w:t>
            </w:r>
          </w:p>
        </w:tc>
        <w:tc>
          <w:tcPr>
            <w:tcW w:w="992" w:type="dxa"/>
            <w:tcBorders>
              <w:top w:val="single" w:sz="4" w:space="0" w:color="000000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[25] </w:t>
            </w:r>
          </w:p>
        </w:tc>
      </w:tr>
      <w:tr w:rsidR="00237A0B" w:rsidTr="004E20EE">
        <w:trPr>
          <w:trHeight w:val="531"/>
        </w:trPr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GAD-2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3480 adults in Spain, March 21–27, 2020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21.6%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2.3% (-1.3% to 5.5%)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=1.6, p=0.21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[30] </w:t>
            </w:r>
          </w:p>
        </w:tc>
      </w:tr>
      <w:tr w:rsidR="00237A0B" w:rsidTr="004E20EE">
        <w:trPr>
          <w:trHeight w:val="531"/>
        </w:trPr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GAD-7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103 adults in China, Feb 10–28, 2020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22.3%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3.3% (-4.4% to 12.7%)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=0.6, p=0.44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[41] </w:t>
            </w:r>
          </w:p>
        </w:tc>
      </w:tr>
      <w:tr w:rsidR="00237A0B" w:rsidTr="004E20EE">
        <w:trPr>
          <w:trHeight w:val="531"/>
        </w:trPr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GAD-7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98 adults in Zhongshan, Guangdong in China, Feb 15–29, 2020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23.4%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4.4% (-3.6% to 14.1%)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=1.03, p=0.31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[28] </w:t>
            </w:r>
          </w:p>
        </w:tc>
      </w:tr>
      <w:tr w:rsidR="00237A0B" w:rsidTr="004E20EE">
        <w:trPr>
          <w:trHeight w:val="531"/>
        </w:trPr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GAD-7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4872 adults in China, Jan 31–Feb 2, 2020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22.6%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3.6% (.1% - 6.8%)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=4.0, p = .045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[42] </w:t>
            </w:r>
          </w:p>
        </w:tc>
      </w:tr>
      <w:tr w:rsidR="00237A0B" w:rsidTr="004E20EE">
        <w:trPr>
          <w:trHeight w:val="531"/>
        </w:trPr>
        <w:tc>
          <w:tcPr>
            <w:tcW w:w="1101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GAD-2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1577 adults in Wuhan, China, Feb 18–24, 2020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23.8%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4.8% (.9% - 8.5%)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=5.7, p = .017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[43] </w:t>
            </w:r>
          </w:p>
        </w:tc>
      </w:tr>
      <w:tr w:rsidR="00237A0B" w:rsidTr="004E20EE">
        <w:trPr>
          <w:trHeight w:val="531"/>
        </w:trPr>
        <w:tc>
          <w:tcPr>
            <w:tcW w:w="1101" w:type="dxa"/>
            <w:tcBorders>
              <w:top w:val="nil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GAD-7</w:t>
            </w:r>
          </w:p>
        </w:tc>
        <w:tc>
          <w:tcPr>
            <w:tcW w:w="4394" w:type="dxa"/>
            <w:tcBorders>
              <w:top w:val="nil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1556 seniors older than 60 years in China 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37.1%</w:t>
            </w:r>
          </w:p>
        </w:tc>
        <w:tc>
          <w:tcPr>
            <w:tcW w:w="2551" w:type="dxa"/>
            <w:tcBorders>
              <w:top w:val="nil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18.1% (14.0% - 21.9%)</w:t>
            </w:r>
          </w:p>
          <w:p w:rsidR="00237A0B" w:rsidRDefault="00237A0B" w:rsidP="004E20EE">
            <w:pPr>
              <w:widowControl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m:oMath>
              <m:sSup>
                <m:sSupPr>
                  <m:ctrlP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χ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color w:val="000000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 w:cs="Cambria Math"/>
                  <w:color w:val="000000"/>
                  <w:sz w:val="22"/>
                  <w:szCs w:val="22"/>
                </w:rPr>
                <m:t>(1)</m:t>
              </m:r>
            </m:oMath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=65.2, p &lt; .0001</w:t>
            </w:r>
          </w:p>
        </w:tc>
        <w:tc>
          <w:tcPr>
            <w:tcW w:w="992" w:type="dxa"/>
            <w:tcBorders>
              <w:top w:val="nil"/>
              <w:bottom w:val="single" w:sz="4" w:space="0" w:color="000000"/>
            </w:tcBorders>
            <w:vAlign w:val="center"/>
          </w:tcPr>
          <w:p w:rsidR="00237A0B" w:rsidRDefault="00237A0B" w:rsidP="004E20EE">
            <w:pPr>
              <w:widowControl/>
              <w:spacing w:after="120" w:line="276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[44] </w:t>
            </w:r>
          </w:p>
        </w:tc>
      </w:tr>
    </w:tbl>
    <w:p w:rsidR="00255E1C" w:rsidRDefault="00255E1C">
      <w:bookmarkStart w:id="0" w:name="_GoBack"/>
      <w:bookmarkEnd w:id="0"/>
    </w:p>
    <w:sectPr w:rsidR="00255E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A0B"/>
    <w:rsid w:val="00237A0B"/>
    <w:rsid w:val="0025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FCFCBC-9891-42AE-B6DA-00CA07F93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A0B"/>
    <w:pPr>
      <w:widowControl w:val="0"/>
      <w:spacing w:after="0" w:line="240" w:lineRule="auto"/>
      <w:jc w:val="both"/>
    </w:pPr>
    <w:rPr>
      <w:rFonts w:ascii="DengXian" w:eastAsia="DengXian" w:hAnsi="DengXian" w:cs="DengXian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2629</Characters>
  <Application>Microsoft Office Word</Application>
  <DocSecurity>0</DocSecurity>
  <Lines>21</Lines>
  <Paragraphs>6</Paragraphs>
  <ScaleCrop>false</ScaleCrop>
  <Company>Springer Nature IT</Company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2021-01-05T09:29:00Z</dcterms:created>
  <dcterms:modified xsi:type="dcterms:W3CDTF">2021-01-05T09:29:00Z</dcterms:modified>
</cp:coreProperties>
</file>