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0972D17" w14:textId="359D57EA" w:rsidR="00A573C7" w:rsidRDefault="00A573C7" w:rsidP="00F42BAF">
      <w:pPr>
        <w:autoSpaceDE w:val="0"/>
        <w:autoSpaceDN w:val="0"/>
        <w:adjustRightInd w:val="0"/>
        <w:spacing w:line="276" w:lineRule="auto"/>
        <w:jc w:val="both"/>
        <w:rPr>
          <w:rFonts w:ascii="Arial" w:eastAsia="Times New Roman" w:hAnsi="Arial" w:cs="Arial"/>
          <w:b/>
          <w:lang w:eastAsia="en-GB"/>
        </w:rPr>
      </w:pPr>
      <w:r>
        <w:rPr>
          <w:rFonts w:ascii="Arial" w:eastAsia="Times New Roman" w:hAnsi="Arial" w:cs="Arial"/>
          <w:b/>
          <w:lang w:eastAsia="en-GB"/>
        </w:rPr>
        <w:t>Additional information</w:t>
      </w:r>
    </w:p>
    <w:p w14:paraId="0B6263EA" w14:textId="60E01BCB" w:rsidR="00F42BAF" w:rsidRPr="00F42BAF" w:rsidRDefault="00F42BAF" w:rsidP="00F42BAF">
      <w:pPr>
        <w:autoSpaceDE w:val="0"/>
        <w:autoSpaceDN w:val="0"/>
        <w:adjustRightInd w:val="0"/>
        <w:spacing w:line="276" w:lineRule="auto"/>
        <w:jc w:val="both"/>
        <w:rPr>
          <w:rFonts w:ascii="Times New Roman" w:eastAsia="Times New Roman" w:hAnsi="Times New Roman" w:cs="Times New Roman"/>
          <w:b/>
          <w:bCs/>
          <w:lang w:eastAsia="en-GB"/>
        </w:rPr>
      </w:pPr>
      <w:r w:rsidRPr="00F42BAF">
        <w:rPr>
          <w:rFonts w:ascii="Times New Roman" w:eastAsia="Times New Roman" w:hAnsi="Times New Roman" w:cs="Times New Roman"/>
          <w:b/>
          <w:bCs/>
          <w:lang w:eastAsia="en-GB"/>
        </w:rPr>
        <w:t>Supplementary Data S1</w:t>
      </w:r>
    </w:p>
    <w:p w14:paraId="589FB138" w14:textId="29A13113" w:rsidR="00F42BAF" w:rsidRPr="00F42BAF" w:rsidRDefault="00F42BAF" w:rsidP="00623905">
      <w:pPr>
        <w:keepNext/>
        <w:keepLines/>
        <w:spacing w:before="40" w:after="120" w:line="276" w:lineRule="auto"/>
        <w:ind w:left="357"/>
        <w:outlineLvl w:val="2"/>
        <w:rPr>
          <w:rFonts w:asciiTheme="majorBidi" w:eastAsiaTheme="majorEastAsia" w:hAnsiTheme="majorBidi" w:cstheme="majorBidi"/>
          <w:iCs/>
          <w:color w:val="1F3763" w:themeColor="accent1" w:themeShade="7F"/>
        </w:rPr>
      </w:pPr>
      <w:r w:rsidRPr="00F42BAF">
        <w:rPr>
          <w:rFonts w:asciiTheme="majorBidi" w:eastAsiaTheme="majorEastAsia" w:hAnsiTheme="majorBidi" w:cstheme="majorBidi"/>
          <w:color w:val="1F3763" w:themeColor="accent1" w:themeShade="7F"/>
        </w:rPr>
        <w:t>1.</w:t>
      </w:r>
      <w:r w:rsidR="00F61F50">
        <w:rPr>
          <w:rFonts w:asciiTheme="majorBidi" w:eastAsiaTheme="majorEastAsia" w:hAnsiTheme="majorBidi" w:cstheme="majorBidi"/>
          <w:color w:val="1F3763" w:themeColor="accent1" w:themeShade="7F"/>
        </w:rPr>
        <w:t>1.</w:t>
      </w:r>
      <w:r w:rsidRPr="00F42BAF">
        <w:rPr>
          <w:rFonts w:asciiTheme="majorBidi" w:eastAsiaTheme="majorEastAsia" w:hAnsiTheme="majorBidi" w:cstheme="majorBidi"/>
          <w:color w:val="1F3763" w:themeColor="accent1" w:themeShade="7F"/>
        </w:rPr>
        <w:t xml:space="preserve"> Peripheral blood mononuclear cells (PBMCs) isolation</w:t>
      </w:r>
    </w:p>
    <w:p w14:paraId="643304CE" w14:textId="0494DBD9" w:rsidR="00F42BAF" w:rsidRPr="00390E30" w:rsidRDefault="00F42BAF" w:rsidP="00390E30">
      <w:pPr>
        <w:spacing w:after="160" w:line="276" w:lineRule="auto"/>
        <w:jc w:val="both"/>
        <w:rPr>
          <w:rFonts w:eastAsia="Times New Roman" w:cstheme="majorBidi"/>
          <w:color w:val="000000" w:themeColor="text1"/>
          <w:lang w:eastAsia="en-GB"/>
        </w:rPr>
      </w:pPr>
      <w:r w:rsidRPr="00F42BAF">
        <w:rPr>
          <w:rFonts w:ascii="Times New Roman" w:eastAsia="Times New Roman" w:hAnsi="Times New Roman" w:cstheme="majorBidi"/>
          <w:color w:val="000000" w:themeColor="text1"/>
          <w:lang w:val="en" w:eastAsia="en-GB"/>
        </w:rPr>
        <w:t xml:space="preserve">Peripheral blood (PB) was collected in a BD </w:t>
      </w:r>
      <w:proofErr w:type="spellStart"/>
      <w:r w:rsidRPr="00F42BAF">
        <w:rPr>
          <w:rFonts w:ascii="Times New Roman" w:eastAsia="Times New Roman" w:hAnsi="Times New Roman" w:cstheme="majorBidi"/>
          <w:color w:val="000000" w:themeColor="text1"/>
          <w:lang w:val="en" w:eastAsia="en-GB"/>
        </w:rPr>
        <w:t>Vacutainer</w:t>
      </w:r>
      <w:r w:rsidRPr="00F42BAF">
        <w:rPr>
          <w:rFonts w:ascii="Times New Roman" w:eastAsia="Times New Roman" w:hAnsi="Times New Roman" w:cstheme="majorBidi"/>
          <w:color w:val="000000" w:themeColor="text1"/>
          <w:vertAlign w:val="superscript"/>
          <w:lang w:val="en" w:eastAsia="en-GB"/>
        </w:rPr>
        <w:t>TM</w:t>
      </w:r>
      <w:proofErr w:type="spellEnd"/>
      <w:r w:rsidRPr="00F42BAF">
        <w:rPr>
          <w:rFonts w:ascii="Times New Roman" w:eastAsia="Times New Roman" w:hAnsi="Times New Roman" w:cstheme="majorBidi"/>
          <w:color w:val="000000" w:themeColor="text1"/>
          <w:lang w:val="en" w:eastAsia="en-GB"/>
        </w:rPr>
        <w:t xml:space="preserve"> blood collection tube with sodium heparin</w:t>
      </w:r>
      <w:r w:rsidRPr="00F42BAF">
        <w:rPr>
          <w:rFonts w:ascii="Times New Roman" w:eastAsia="Times New Roman" w:hAnsi="Times New Roman" w:cstheme="majorBidi"/>
          <w:color w:val="000000" w:themeColor="text1"/>
          <w:lang w:eastAsia="en-GB"/>
        </w:rPr>
        <w:t xml:space="preserve">. </w:t>
      </w:r>
      <w:r w:rsidRPr="00F42BAF">
        <w:rPr>
          <w:rFonts w:ascii="Times New Roman" w:eastAsia="Times New Roman" w:hAnsi="Times New Roman" w:cstheme="majorBidi"/>
          <w:color w:val="000000" w:themeColor="text1"/>
          <w:lang w:val="en" w:eastAsia="en-GB"/>
        </w:rPr>
        <w:t xml:space="preserve">PBMCs were prepared from the leukocyte concentrate by </w:t>
      </w:r>
      <w:proofErr w:type="spellStart"/>
      <w:r w:rsidRPr="00F42BAF">
        <w:rPr>
          <w:rFonts w:ascii="Times New Roman" w:eastAsia="Times New Roman" w:hAnsi="Times New Roman" w:cstheme="majorBidi"/>
          <w:color w:val="000000" w:themeColor="text1"/>
          <w:lang w:val="en" w:eastAsia="en-GB"/>
        </w:rPr>
        <w:t>Ficoll</w:t>
      </w:r>
      <w:proofErr w:type="spellEnd"/>
      <w:r w:rsidRPr="00F42BAF">
        <w:rPr>
          <w:rFonts w:ascii="Times New Roman" w:eastAsia="Times New Roman" w:hAnsi="Times New Roman" w:cstheme="majorBidi"/>
          <w:color w:val="000000" w:themeColor="text1"/>
          <w:lang w:val="en" w:eastAsia="en-GB"/>
        </w:rPr>
        <w:t>–</w:t>
      </w:r>
      <w:proofErr w:type="spellStart"/>
      <w:r w:rsidR="009D4695">
        <w:rPr>
          <w:rFonts w:ascii="Times New Roman" w:eastAsia="Times New Roman" w:hAnsi="Times New Roman" w:cstheme="majorBidi"/>
          <w:color w:val="000000" w:themeColor="text1"/>
          <w:lang w:val="en" w:eastAsia="en-GB"/>
        </w:rPr>
        <w:t>H</w:t>
      </w:r>
      <w:r w:rsidRPr="00F42BAF">
        <w:rPr>
          <w:rFonts w:ascii="Times New Roman" w:eastAsia="Times New Roman" w:hAnsi="Times New Roman" w:cstheme="majorBidi"/>
          <w:color w:val="000000" w:themeColor="text1"/>
          <w:lang w:val="en" w:eastAsia="en-GB"/>
        </w:rPr>
        <w:t>ypaqu</w:t>
      </w:r>
      <w:r w:rsidR="009D4695">
        <w:rPr>
          <w:rFonts w:ascii="Times New Roman" w:eastAsia="Times New Roman" w:hAnsi="Times New Roman" w:cstheme="majorBidi"/>
          <w:color w:val="000000" w:themeColor="text1"/>
          <w:lang w:val="en" w:eastAsia="en-GB"/>
        </w:rPr>
        <w:t>e</w:t>
      </w:r>
      <w:proofErr w:type="spellEnd"/>
      <w:r w:rsidRPr="00F42BAF">
        <w:rPr>
          <w:rFonts w:ascii="Times New Roman" w:eastAsia="Times New Roman" w:hAnsi="Times New Roman" w:cstheme="majorBidi"/>
          <w:color w:val="000000" w:themeColor="text1"/>
          <w:lang w:val="en" w:eastAsia="en-GB"/>
        </w:rPr>
        <w:t xml:space="preserve"> density gradient centrifugation of fresh blood over</w:t>
      </w:r>
      <w:r w:rsidRPr="00F42BAF">
        <w:rPr>
          <w:rFonts w:ascii="Times New Roman" w:eastAsia="Times New Roman" w:hAnsi="Times New Roman" w:cstheme="majorBidi"/>
          <w:color w:val="000000" w:themeColor="text1"/>
          <w:lang w:eastAsia="en-GB"/>
        </w:rPr>
        <w:t xml:space="preserve"> </w:t>
      </w:r>
      <w:proofErr w:type="spellStart"/>
      <w:r w:rsidR="00D07966" w:rsidRPr="00F42BAF">
        <w:rPr>
          <w:rFonts w:ascii="Times New Roman" w:eastAsia="Times New Roman" w:hAnsi="Times New Roman" w:cstheme="majorBidi"/>
          <w:color w:val="000000" w:themeColor="text1"/>
          <w:lang w:eastAsia="en-GB"/>
        </w:rPr>
        <w:t>Histopa</w:t>
      </w:r>
      <w:r w:rsidR="00D07966">
        <w:rPr>
          <w:rFonts w:ascii="Times New Roman" w:eastAsia="Times New Roman" w:hAnsi="Times New Roman" w:cstheme="majorBidi"/>
          <w:color w:val="000000" w:themeColor="text1"/>
          <w:lang w:eastAsia="en-GB"/>
        </w:rPr>
        <w:t>q</w:t>
      </w:r>
      <w:r w:rsidR="00D07966" w:rsidRPr="00F42BAF">
        <w:rPr>
          <w:rFonts w:ascii="Times New Roman" w:eastAsia="Times New Roman" w:hAnsi="Times New Roman" w:cstheme="majorBidi"/>
          <w:color w:val="000000" w:themeColor="text1"/>
          <w:lang w:eastAsia="en-GB"/>
        </w:rPr>
        <w:t>ue</w:t>
      </w:r>
      <w:proofErr w:type="spellEnd"/>
      <w:r w:rsidRPr="00F42BAF">
        <w:rPr>
          <w:rFonts w:ascii="Times New Roman" w:eastAsia="Times New Roman" w:hAnsi="Times New Roman" w:cstheme="majorBidi"/>
          <w:color w:val="000000" w:themeColor="text1"/>
          <w:lang w:eastAsia="en-GB"/>
        </w:rPr>
        <w:t xml:space="preserve">®-1077 (Sigma-Aldrich, UK) </w:t>
      </w:r>
      <w:r w:rsidRPr="00F42BAF">
        <w:rPr>
          <w:rFonts w:ascii="Times New Roman" w:eastAsia="Times New Roman" w:hAnsi="Times New Roman" w:cstheme="majorBidi"/>
          <w:color w:val="000000" w:themeColor="text1"/>
          <w:lang w:val="en" w:eastAsia="en-GB"/>
        </w:rPr>
        <w:t>from RA patients</w:t>
      </w:r>
      <w:r w:rsidRPr="00F42BAF">
        <w:rPr>
          <w:rFonts w:ascii="Times New Roman" w:eastAsia="Times New Roman" w:hAnsi="Times New Roman" w:cstheme="majorBidi"/>
          <w:color w:val="000000" w:themeColor="text1"/>
          <w:lang w:eastAsia="en-GB"/>
        </w:rPr>
        <w:t>.</w:t>
      </w:r>
      <w:r w:rsidRPr="00F42BAF">
        <w:rPr>
          <w:rFonts w:ascii="Times New Roman" w:eastAsia="Times New Roman" w:hAnsi="Times New Roman" w:cstheme="majorBidi"/>
          <w:color w:val="000000" w:themeColor="text1"/>
          <w:lang w:val="en" w:eastAsia="en-GB"/>
        </w:rPr>
        <w:t xml:space="preserve"> </w:t>
      </w:r>
      <w:r w:rsidRPr="00F42BAF">
        <w:rPr>
          <w:rFonts w:ascii="Times New Roman" w:eastAsia="Times New Roman" w:hAnsi="Times New Roman" w:cstheme="majorBidi"/>
          <w:color w:val="000000" w:themeColor="text1"/>
          <w:lang w:eastAsia="en-GB"/>
        </w:rPr>
        <w:t>The samples then</w:t>
      </w:r>
      <w:r w:rsidRPr="00F42BAF">
        <w:rPr>
          <w:rFonts w:ascii="Times New Roman" w:eastAsia="Times New Roman" w:hAnsi="Times New Roman" w:cstheme="majorBidi"/>
          <w:color w:val="000000" w:themeColor="text1"/>
          <w:lang w:val="en" w:eastAsia="en-GB"/>
        </w:rPr>
        <w:t xml:space="preserve"> were centrifuged </w:t>
      </w:r>
      <w:r w:rsidRPr="00F42BAF">
        <w:rPr>
          <w:rFonts w:ascii="Times New Roman" w:eastAsia="Times New Roman" w:hAnsi="Times New Roman" w:cstheme="majorBidi"/>
          <w:color w:val="000000" w:themeColor="text1"/>
          <w:lang w:val="en-US" w:eastAsia="en-GB"/>
        </w:rPr>
        <w:t xml:space="preserve">at 400 x g at 22ºC for 30 min (without brakes). </w:t>
      </w:r>
      <w:r w:rsidRPr="00F42BAF">
        <w:rPr>
          <w:rFonts w:ascii="Times New Roman" w:eastAsia="Times New Roman" w:hAnsi="Times New Roman" w:cstheme="majorBidi"/>
          <w:color w:val="000000" w:themeColor="text1"/>
          <w:lang w:val="en" w:eastAsia="en-GB"/>
        </w:rPr>
        <w:t xml:space="preserve">The PBMCs layer was carefully harvested using sterile </w:t>
      </w:r>
      <w:r w:rsidR="00D07966">
        <w:rPr>
          <w:rFonts w:ascii="Times New Roman" w:eastAsia="Times New Roman" w:hAnsi="Times New Roman" w:cstheme="majorBidi"/>
          <w:color w:val="000000" w:themeColor="text1"/>
          <w:lang w:val="en" w:eastAsia="en-GB"/>
        </w:rPr>
        <w:t>P</w:t>
      </w:r>
      <w:r w:rsidR="00D07966" w:rsidRPr="00F42BAF">
        <w:rPr>
          <w:rFonts w:ascii="Times New Roman" w:eastAsia="Times New Roman" w:hAnsi="Times New Roman" w:cstheme="majorBidi"/>
          <w:color w:val="000000" w:themeColor="text1"/>
          <w:lang w:val="en" w:eastAsia="en-GB"/>
        </w:rPr>
        <w:t xml:space="preserve">asteur </w:t>
      </w:r>
      <w:r w:rsidRPr="00F42BAF">
        <w:rPr>
          <w:rFonts w:ascii="Times New Roman" w:eastAsia="Times New Roman" w:hAnsi="Times New Roman" w:cstheme="majorBidi"/>
          <w:color w:val="000000" w:themeColor="text1"/>
          <w:lang w:val="en" w:eastAsia="en-GB"/>
        </w:rPr>
        <w:t>pipette</w:t>
      </w:r>
      <w:r w:rsidR="00A05EF1">
        <w:rPr>
          <w:rFonts w:ascii="Times New Roman" w:eastAsia="Times New Roman" w:hAnsi="Times New Roman" w:cstheme="majorBidi"/>
          <w:color w:val="000000" w:themeColor="text1"/>
          <w:lang w:val="en" w:eastAsia="en-GB"/>
        </w:rPr>
        <w:t>s</w:t>
      </w:r>
      <w:r w:rsidRPr="00F42BAF">
        <w:rPr>
          <w:rFonts w:ascii="Times New Roman" w:eastAsia="Times New Roman" w:hAnsi="Times New Roman" w:cstheme="majorBidi"/>
          <w:color w:val="000000" w:themeColor="text1"/>
          <w:lang w:val="en" w:eastAsia="en-GB"/>
        </w:rPr>
        <w:t xml:space="preserve">, washed repeatedly with </w:t>
      </w:r>
      <w:r w:rsidRPr="00F42BAF">
        <w:rPr>
          <w:rFonts w:ascii="Times New Roman" w:eastAsia="Times New Roman" w:hAnsi="Times New Roman" w:cstheme="majorBidi"/>
          <w:color w:val="000000" w:themeColor="text1"/>
          <w:lang w:eastAsia="en-GB"/>
        </w:rPr>
        <w:t>Dulbec</w:t>
      </w:r>
      <w:r w:rsidR="00D07966">
        <w:rPr>
          <w:rFonts w:ascii="Times New Roman" w:eastAsia="Times New Roman" w:hAnsi="Times New Roman" w:cstheme="majorBidi"/>
          <w:color w:val="000000" w:themeColor="text1"/>
          <w:lang w:eastAsia="en-GB"/>
        </w:rPr>
        <w:t>c</w:t>
      </w:r>
      <w:r w:rsidRPr="00F42BAF">
        <w:rPr>
          <w:rFonts w:ascii="Times New Roman" w:eastAsia="Times New Roman" w:hAnsi="Times New Roman" w:cstheme="majorBidi"/>
          <w:color w:val="000000" w:themeColor="text1"/>
          <w:lang w:eastAsia="en-GB"/>
        </w:rPr>
        <w:t xml:space="preserve">o’s </w:t>
      </w:r>
      <w:r w:rsidRPr="00F42BAF">
        <w:rPr>
          <w:rFonts w:ascii="Times New Roman" w:eastAsia="Times New Roman" w:hAnsi="Times New Roman" w:cstheme="majorBidi"/>
          <w:color w:val="000000" w:themeColor="text1"/>
          <w:lang w:val="en" w:eastAsia="en-GB"/>
        </w:rPr>
        <w:t xml:space="preserve">PBS </w:t>
      </w:r>
      <w:r w:rsidRPr="00F42BAF">
        <w:rPr>
          <w:rFonts w:ascii="Times New Roman" w:eastAsia="Times New Roman" w:hAnsi="Times New Roman" w:cstheme="majorBidi"/>
          <w:color w:val="000000" w:themeColor="text1"/>
          <w:lang w:eastAsia="en-GB"/>
        </w:rPr>
        <w:t>(without Ca</w:t>
      </w:r>
      <w:r w:rsidRPr="00F42BAF">
        <w:rPr>
          <w:rFonts w:ascii="Times New Roman" w:eastAsia="Times New Roman" w:hAnsi="Times New Roman" w:cstheme="majorBidi"/>
          <w:color w:val="000000" w:themeColor="text1"/>
          <w:vertAlign w:val="superscript"/>
          <w:lang w:eastAsia="en-GB"/>
        </w:rPr>
        <w:t>2+</w:t>
      </w:r>
      <w:r w:rsidRPr="00F42BAF">
        <w:rPr>
          <w:rFonts w:ascii="Times New Roman" w:eastAsia="Times New Roman" w:hAnsi="Times New Roman" w:cstheme="majorBidi"/>
          <w:color w:val="000000" w:themeColor="text1"/>
          <w:lang w:eastAsia="en-GB"/>
        </w:rPr>
        <w:t xml:space="preserve"> or Mg</w:t>
      </w:r>
      <w:r w:rsidRPr="00F42BAF">
        <w:rPr>
          <w:rFonts w:ascii="Times New Roman" w:eastAsia="Times New Roman" w:hAnsi="Times New Roman" w:cstheme="majorBidi"/>
          <w:color w:val="000000" w:themeColor="text1"/>
          <w:vertAlign w:val="superscript"/>
          <w:lang w:eastAsia="en-GB"/>
        </w:rPr>
        <w:t>2+</w:t>
      </w:r>
      <w:r w:rsidRPr="00F42BAF">
        <w:rPr>
          <w:rFonts w:ascii="Times New Roman" w:eastAsia="Times New Roman" w:hAnsi="Times New Roman" w:cstheme="majorBidi"/>
          <w:color w:val="000000" w:themeColor="text1"/>
          <w:lang w:val="en" w:eastAsia="en-GB"/>
        </w:rPr>
        <w:t>) at room temperature (RT)</w:t>
      </w:r>
      <w:r w:rsidRPr="00F42BAF">
        <w:rPr>
          <w:rFonts w:ascii="Times New Roman" w:eastAsia="Times New Roman" w:hAnsi="Times New Roman" w:cstheme="majorBidi"/>
          <w:color w:val="000000" w:themeColor="text1"/>
          <w:lang w:eastAsia="en-GB"/>
        </w:rPr>
        <w:t xml:space="preserve"> to remove platelet contamination</w:t>
      </w:r>
      <w:r w:rsidRPr="00F42BAF">
        <w:rPr>
          <w:rFonts w:ascii="Times New Roman" w:eastAsia="Times New Roman" w:hAnsi="Times New Roman" w:cstheme="majorBidi"/>
          <w:color w:val="000000" w:themeColor="text1"/>
          <w:lang w:val="en" w:eastAsia="en-GB"/>
        </w:rPr>
        <w:t xml:space="preserve"> and centrifuged at 250 x g for 10 min at 10</w:t>
      </w:r>
      <w:r w:rsidRPr="00F42BAF">
        <w:rPr>
          <w:rFonts w:ascii="Times New Roman" w:eastAsia="Times New Roman" w:hAnsi="Times New Roman" w:cs="Times New Roman"/>
          <w:color w:val="000000" w:themeColor="text1"/>
          <w:lang w:val="en" w:eastAsia="en-GB"/>
        </w:rPr>
        <w:t>°</w:t>
      </w:r>
      <w:r w:rsidRPr="00F42BAF">
        <w:rPr>
          <w:rFonts w:ascii="Times New Roman" w:eastAsia="Times New Roman" w:hAnsi="Times New Roman" w:cstheme="majorBidi"/>
          <w:color w:val="000000" w:themeColor="text1"/>
          <w:lang w:val="en" w:eastAsia="en-GB"/>
        </w:rPr>
        <w:t xml:space="preserve">C until the supernatant became clear. </w:t>
      </w:r>
      <w:r w:rsidRPr="00F42BAF">
        <w:rPr>
          <w:rFonts w:ascii="Times New Roman" w:eastAsia="Times New Roman" w:hAnsi="Times New Roman" w:cstheme="majorBidi"/>
          <w:lang w:val="it-IT" w:eastAsia="en-GB"/>
        </w:rPr>
        <w:t>T</w:t>
      </w:r>
      <w:r w:rsidRPr="00F42BAF">
        <w:rPr>
          <w:rFonts w:ascii="Times New Roman" w:eastAsia="Times New Roman" w:hAnsi="Times New Roman" w:cstheme="majorBidi"/>
          <w:color w:val="000000" w:themeColor="text1"/>
          <w:lang w:val="en" w:eastAsia="en-GB"/>
        </w:rPr>
        <w:t xml:space="preserve">o lyse erythrocytes, 1X RBCs lysis buffer </w:t>
      </w:r>
      <w:r w:rsidRPr="00F42BAF">
        <w:rPr>
          <w:rFonts w:ascii="Times New Roman" w:eastAsia="Calibri" w:hAnsi="Times New Roman" w:cs="Times New Roman"/>
          <w:color w:val="000000"/>
          <w:lang w:eastAsia="en-GB"/>
        </w:rPr>
        <w:t>(</w:t>
      </w:r>
      <w:proofErr w:type="spellStart"/>
      <w:r w:rsidRPr="00F42BAF">
        <w:rPr>
          <w:rFonts w:ascii="Times New Roman" w:eastAsia="Calibri" w:hAnsi="Times New Roman" w:cs="Times New Roman"/>
          <w:color w:val="000000"/>
          <w:lang w:eastAsia="en-GB"/>
        </w:rPr>
        <w:t>Biolegend</w:t>
      </w:r>
      <w:proofErr w:type="spellEnd"/>
      <w:r w:rsidRPr="00F42BAF">
        <w:rPr>
          <w:rFonts w:ascii="Times New Roman" w:eastAsia="Calibri" w:hAnsi="Times New Roman" w:cs="Times New Roman"/>
          <w:color w:val="000000"/>
          <w:lang w:eastAsia="en-GB"/>
        </w:rPr>
        <w:t>, USA)</w:t>
      </w:r>
      <w:r w:rsidRPr="00F42BAF">
        <w:rPr>
          <w:rFonts w:ascii="Times New Roman" w:eastAsia="Times New Roman" w:hAnsi="Times New Roman" w:cstheme="majorBidi"/>
          <w:color w:val="000000" w:themeColor="text1"/>
          <w:lang w:val="en" w:eastAsia="en-GB"/>
        </w:rPr>
        <w:t xml:space="preserve"> was used after reconstitution in </w:t>
      </w:r>
      <w:r w:rsidR="00513EE9" w:rsidRPr="00F42BAF">
        <w:rPr>
          <w:rFonts w:ascii="Times New Roman" w:eastAsia="Times New Roman" w:hAnsi="Times New Roman" w:cstheme="majorBidi"/>
          <w:color w:val="000000" w:themeColor="text1"/>
          <w:lang w:val="en" w:eastAsia="en-GB"/>
        </w:rPr>
        <w:t>dd</w:t>
      </w:r>
      <w:r w:rsidRPr="00F42BAF">
        <w:rPr>
          <w:rFonts w:ascii="Times New Roman" w:eastAsia="Times New Roman" w:hAnsi="Times New Roman" w:cstheme="majorBidi"/>
          <w:color w:val="000000" w:themeColor="text1"/>
          <w:lang w:val="en" w:eastAsia="en-GB"/>
        </w:rPr>
        <w:t>H</w:t>
      </w:r>
      <w:r w:rsidRPr="00F42BAF">
        <w:rPr>
          <w:rFonts w:ascii="Times New Roman" w:eastAsia="Times New Roman" w:hAnsi="Times New Roman" w:cstheme="majorBidi"/>
          <w:color w:val="000000" w:themeColor="text1"/>
          <w:vertAlign w:val="subscript"/>
          <w:lang w:val="en" w:eastAsia="en-GB"/>
        </w:rPr>
        <w:t>2</w:t>
      </w:r>
      <w:r w:rsidRPr="00F42BAF">
        <w:rPr>
          <w:rFonts w:ascii="Times New Roman" w:eastAsia="Times New Roman" w:hAnsi="Times New Roman" w:cstheme="majorBidi"/>
          <w:color w:val="000000" w:themeColor="text1"/>
          <w:lang w:val="en" w:eastAsia="en-GB"/>
        </w:rPr>
        <w:t xml:space="preserve">O and incubated with the PBMCs suspension on ice for 15 min as </w:t>
      </w:r>
      <w:r w:rsidRPr="00F42BAF">
        <w:rPr>
          <w:rFonts w:ascii="Times New Roman" w:eastAsia="Calibri" w:hAnsi="Times New Roman" w:cs="Times New Roman"/>
          <w:color w:val="000000"/>
          <w:lang w:eastAsia="en-GB"/>
        </w:rPr>
        <w:t xml:space="preserve">per manufacturer’s instructions. </w:t>
      </w:r>
      <w:r w:rsidRPr="00F42BAF">
        <w:rPr>
          <w:rFonts w:ascii="Times New Roman" w:eastAsia="Times New Roman" w:hAnsi="Times New Roman" w:cstheme="majorBidi"/>
          <w:color w:val="000000" w:themeColor="text1"/>
          <w:lang w:val="en" w:eastAsia="en-GB"/>
        </w:rPr>
        <w:t xml:space="preserve">MACS buffer </w:t>
      </w:r>
      <w:r w:rsidRPr="00F42BAF">
        <w:rPr>
          <w:rFonts w:ascii="Times New Roman" w:eastAsia="Calibri" w:hAnsi="Times New Roman" w:cs="Times New Roman"/>
          <w:color w:val="000000"/>
          <w:lang w:eastAsia="en-GB"/>
        </w:rPr>
        <w:t>(</w:t>
      </w:r>
      <w:proofErr w:type="spellStart"/>
      <w:r w:rsidRPr="00F42BAF">
        <w:rPr>
          <w:rFonts w:ascii="Times New Roman" w:eastAsia="Calibri" w:hAnsi="Times New Roman" w:cs="Times New Roman"/>
          <w:color w:val="000000"/>
          <w:lang w:eastAsia="en-GB"/>
        </w:rPr>
        <w:t>Miltenyi</w:t>
      </w:r>
      <w:proofErr w:type="spellEnd"/>
      <w:r w:rsidRPr="00F42BAF">
        <w:rPr>
          <w:rFonts w:ascii="Times New Roman" w:eastAsia="Calibri" w:hAnsi="Times New Roman" w:cs="Times New Roman"/>
          <w:color w:val="000000"/>
          <w:lang w:eastAsia="en-GB"/>
        </w:rPr>
        <w:t xml:space="preserve"> </w:t>
      </w:r>
      <w:proofErr w:type="spellStart"/>
      <w:r w:rsidRPr="00F42BAF">
        <w:rPr>
          <w:rFonts w:ascii="Times New Roman" w:eastAsia="Calibri" w:hAnsi="Times New Roman" w:cs="Times New Roman"/>
          <w:color w:val="000000"/>
          <w:lang w:eastAsia="en-GB"/>
        </w:rPr>
        <w:t>Biotec</w:t>
      </w:r>
      <w:proofErr w:type="spellEnd"/>
      <w:r w:rsidRPr="00F42BAF">
        <w:rPr>
          <w:rFonts w:ascii="Times New Roman" w:eastAsia="Calibri" w:hAnsi="Times New Roman" w:cs="Times New Roman"/>
          <w:color w:val="000000"/>
          <w:lang w:eastAsia="en-GB"/>
        </w:rPr>
        <w:t>)</w:t>
      </w:r>
      <w:r w:rsidRPr="00F42BAF">
        <w:rPr>
          <w:rFonts w:ascii="Times New Roman" w:eastAsia="Times New Roman" w:hAnsi="Times New Roman" w:cstheme="majorBidi"/>
          <w:color w:val="000000" w:themeColor="text1"/>
          <w:lang w:val="en" w:eastAsia="en-GB"/>
        </w:rPr>
        <w:t xml:space="preserve"> was added to </w:t>
      </w:r>
      <w:r w:rsidR="00245100">
        <w:rPr>
          <w:rFonts w:ascii="Times New Roman" w:eastAsia="Times New Roman" w:hAnsi="Times New Roman" w:cstheme="majorBidi"/>
          <w:color w:val="000000" w:themeColor="text1"/>
          <w:lang w:val="en" w:eastAsia="en-GB"/>
        </w:rPr>
        <w:t>s</w:t>
      </w:r>
      <w:r w:rsidRPr="00F42BAF">
        <w:rPr>
          <w:rFonts w:ascii="Times New Roman" w:eastAsia="Times New Roman" w:hAnsi="Times New Roman" w:cstheme="majorBidi"/>
          <w:color w:val="000000" w:themeColor="text1"/>
          <w:lang w:val="en" w:eastAsia="en-GB"/>
        </w:rPr>
        <w:t xml:space="preserve">top the cell lysis as </w:t>
      </w:r>
      <w:r w:rsidRPr="00F42BAF">
        <w:rPr>
          <w:rFonts w:ascii="Times New Roman" w:eastAsia="Calibri" w:hAnsi="Times New Roman" w:cs="Times New Roman"/>
          <w:color w:val="000000"/>
          <w:lang w:eastAsia="en-GB"/>
        </w:rPr>
        <w:t>per manufacturer’s instructions</w:t>
      </w:r>
      <w:r w:rsidRPr="00F42BAF">
        <w:rPr>
          <w:rFonts w:ascii="Times New Roman" w:eastAsia="Times New Roman" w:hAnsi="Times New Roman" w:cstheme="majorBidi"/>
          <w:color w:val="000000" w:themeColor="text1"/>
          <w:lang w:val="en" w:eastAsia="en-GB"/>
        </w:rPr>
        <w:t xml:space="preserve"> and the mixture centrifuged at 350 x g at RT for 5 min.</w:t>
      </w:r>
      <w:r w:rsidRPr="00F42BAF">
        <w:rPr>
          <w:rFonts w:ascii="Times New Roman" w:eastAsia="Times New Roman" w:hAnsi="Times New Roman" w:cstheme="majorBidi"/>
          <w:lang w:val="it-IT" w:eastAsia="en-GB"/>
        </w:rPr>
        <w:t xml:space="preserve"> The supernatant was discarded and </w:t>
      </w:r>
      <w:r w:rsidRPr="00F42BAF">
        <w:rPr>
          <w:rFonts w:ascii="Times New Roman" w:eastAsia="Times New Roman" w:hAnsi="Times New Roman" w:cstheme="majorBidi"/>
          <w:lang w:eastAsia="en-GB"/>
        </w:rPr>
        <w:t xml:space="preserve">cell viability was assessed using a trypan blue exclusion assay, where </w:t>
      </w:r>
      <w:r w:rsidRPr="00F42BAF">
        <w:rPr>
          <w:rFonts w:ascii="Times New Roman" w:eastAsia="Times New Roman" w:hAnsi="Times New Roman" w:cstheme="majorBidi"/>
          <w:lang w:val="it-IT" w:eastAsia="en-GB"/>
        </w:rPr>
        <w:t xml:space="preserve">10 µl of cell </w:t>
      </w:r>
      <w:r w:rsidRPr="00F42BAF">
        <w:rPr>
          <w:rFonts w:ascii="Times New Roman" w:eastAsia="Times New Roman" w:hAnsi="Times New Roman" w:cstheme="majorBidi"/>
          <w:lang w:eastAsia="en-GB"/>
        </w:rPr>
        <w:t>suspension</w:t>
      </w:r>
      <w:r w:rsidRPr="00F42BAF">
        <w:rPr>
          <w:rFonts w:ascii="Times New Roman" w:eastAsia="Times New Roman" w:hAnsi="Times New Roman" w:cstheme="majorBidi"/>
          <w:lang w:val="it-IT" w:eastAsia="en-GB"/>
        </w:rPr>
        <w:t xml:space="preserve"> was added to 40 µl of a dilute 0.4% (w/v) trypan blue solution (previously prepared in PBS at 1:1 ratio). For cell counting, the haemocytometer </w:t>
      </w:r>
      <w:r w:rsidRPr="00F42BAF">
        <w:rPr>
          <w:rFonts w:ascii="Times New Roman" w:eastAsia="Times New Roman" w:hAnsi="Times New Roman" w:cstheme="majorBidi"/>
          <w:lang w:eastAsia="en-GB"/>
        </w:rPr>
        <w:t>method</w:t>
      </w:r>
      <w:r w:rsidRPr="00F42BAF">
        <w:rPr>
          <w:rFonts w:ascii="Times New Roman" w:eastAsia="Times New Roman" w:hAnsi="Times New Roman" w:cstheme="majorBidi"/>
          <w:lang w:val="it-IT" w:eastAsia="en-GB"/>
        </w:rPr>
        <w:t xml:space="preserve"> was used. </w:t>
      </w:r>
      <w:r w:rsidRPr="00F42BAF">
        <w:rPr>
          <w:rFonts w:ascii="Times New Roman" w:eastAsia="Times New Roman" w:hAnsi="Times New Roman" w:cstheme="majorBidi"/>
          <w:color w:val="000000"/>
          <w:lang w:eastAsia="en-GB"/>
        </w:rPr>
        <w:t xml:space="preserve">The surface of the haemocytometer was covered in a 5 x 5 grid that can be used to count the cells by adding 10 </w:t>
      </w:r>
      <w:proofErr w:type="spellStart"/>
      <w:r w:rsidRPr="00F42BAF">
        <w:rPr>
          <w:rFonts w:ascii="Times New Roman" w:eastAsia="Times New Roman" w:hAnsi="Times New Roman" w:cstheme="majorBidi"/>
          <w:color w:val="000000"/>
          <w:lang w:eastAsia="en-GB"/>
        </w:rPr>
        <w:t>μl</w:t>
      </w:r>
      <w:proofErr w:type="spellEnd"/>
      <w:r w:rsidRPr="00F42BAF">
        <w:rPr>
          <w:rFonts w:ascii="Times New Roman" w:eastAsia="Times New Roman" w:hAnsi="Times New Roman" w:cstheme="majorBidi"/>
          <w:color w:val="000000"/>
          <w:lang w:eastAsia="en-GB"/>
        </w:rPr>
        <w:t xml:space="preserve"> of cell suspension</w:t>
      </w:r>
      <w:r w:rsidRPr="00F42BAF">
        <w:rPr>
          <w:rFonts w:ascii="Times New Roman" w:eastAsia="Times New Roman" w:hAnsi="Times New Roman" w:cstheme="majorBidi"/>
          <w:bCs/>
          <w:lang w:val="en-US" w:eastAsia="en-GB"/>
        </w:rPr>
        <w:t>.</w:t>
      </w:r>
      <w:r w:rsidRPr="00F42BAF">
        <w:rPr>
          <w:rFonts w:ascii="Times New Roman" w:eastAsia="Times New Roman" w:hAnsi="Times New Roman" w:cstheme="majorBidi"/>
          <w:lang w:val="en-US" w:eastAsia="en-GB"/>
        </w:rPr>
        <w:t xml:space="preserve"> </w:t>
      </w:r>
      <w:r w:rsidRPr="00F42BAF">
        <w:rPr>
          <w:rFonts w:ascii="Times New Roman" w:eastAsia="Times New Roman" w:hAnsi="Times New Roman" w:cstheme="majorBidi"/>
          <w:color w:val="000000" w:themeColor="text1"/>
          <w:lang w:val="en" w:eastAsia="en-GB"/>
        </w:rPr>
        <w:t xml:space="preserve">PBMCs </w:t>
      </w:r>
      <w:r w:rsidR="003A5D07" w:rsidRPr="00F42BAF">
        <w:rPr>
          <w:rFonts w:ascii="Times New Roman" w:eastAsia="Times New Roman" w:hAnsi="Times New Roman" w:cstheme="majorBidi"/>
          <w:color w:val="000000" w:themeColor="text1"/>
          <w:lang w:val="en" w:eastAsia="en-GB"/>
        </w:rPr>
        <w:t>were then</w:t>
      </w:r>
      <w:r w:rsidR="00390E30">
        <w:rPr>
          <w:rFonts w:ascii="Times New Roman" w:eastAsia="Times New Roman" w:hAnsi="Times New Roman" w:cstheme="majorBidi"/>
          <w:color w:val="000000" w:themeColor="text1"/>
          <w:lang w:val="en" w:eastAsia="en-GB"/>
        </w:rPr>
        <w:t xml:space="preserve"> aliquoted as 1x10</w:t>
      </w:r>
      <w:r w:rsidR="00390E30" w:rsidRPr="00390E30">
        <w:rPr>
          <w:rFonts w:ascii="Times New Roman" w:eastAsia="Times New Roman" w:hAnsi="Times New Roman" w:cstheme="majorBidi"/>
          <w:color w:val="000000" w:themeColor="text1"/>
          <w:vertAlign w:val="superscript"/>
          <w:lang w:val="en" w:eastAsia="en-GB"/>
        </w:rPr>
        <w:t>7</w:t>
      </w:r>
      <w:r w:rsidR="00390E30">
        <w:rPr>
          <w:rFonts w:ascii="Times New Roman" w:eastAsia="Times New Roman" w:hAnsi="Times New Roman" w:cstheme="majorBidi"/>
          <w:color w:val="000000" w:themeColor="text1"/>
          <w:lang w:val="en" w:eastAsia="en-GB"/>
        </w:rPr>
        <w:t xml:space="preserve"> for the negative selection </w:t>
      </w:r>
      <w:r w:rsidR="00E918D2">
        <w:rPr>
          <w:rFonts w:ascii="Times New Roman" w:eastAsia="Times New Roman" w:hAnsi="Times New Roman" w:cstheme="majorBidi"/>
          <w:color w:val="000000" w:themeColor="text1"/>
          <w:lang w:val="en" w:eastAsia="en-GB"/>
        </w:rPr>
        <w:t xml:space="preserve">of monocytes </w:t>
      </w:r>
      <w:r w:rsidR="00390E30">
        <w:rPr>
          <w:rFonts w:ascii="Times New Roman" w:eastAsia="Times New Roman" w:hAnsi="Times New Roman" w:cstheme="majorBidi"/>
          <w:color w:val="000000" w:themeColor="text1"/>
          <w:lang w:val="en" w:eastAsia="en-GB"/>
        </w:rPr>
        <w:t>using pan monocytes isolation kit.</w:t>
      </w:r>
    </w:p>
    <w:p w14:paraId="144C305A" w14:textId="77777777" w:rsidR="00F42BAF" w:rsidRPr="00F42BAF" w:rsidRDefault="00F42BAF" w:rsidP="00F42BAF">
      <w:pPr>
        <w:autoSpaceDE w:val="0"/>
        <w:autoSpaceDN w:val="0"/>
        <w:adjustRightInd w:val="0"/>
        <w:spacing w:line="276" w:lineRule="auto"/>
        <w:jc w:val="both"/>
        <w:rPr>
          <w:rFonts w:ascii="Times New Roman" w:eastAsia="Times New Roman" w:hAnsi="Times New Roman" w:cs="Times New Roman"/>
          <w:b/>
          <w:bCs/>
          <w:lang w:eastAsia="en-GB"/>
        </w:rPr>
      </w:pPr>
      <w:r w:rsidRPr="00F42BAF">
        <w:rPr>
          <w:rFonts w:ascii="Times New Roman" w:eastAsia="Times New Roman" w:hAnsi="Times New Roman" w:cs="Times New Roman"/>
          <w:b/>
          <w:bCs/>
          <w:lang w:eastAsia="en-GB"/>
        </w:rPr>
        <w:t>Supplementary Data S2</w:t>
      </w:r>
    </w:p>
    <w:p w14:paraId="49E79FA5" w14:textId="77777777" w:rsidR="00F42BAF" w:rsidRPr="00F42BAF" w:rsidRDefault="00F42BAF" w:rsidP="00F42BAF">
      <w:pPr>
        <w:keepNext/>
        <w:keepLines/>
        <w:spacing w:before="40" w:after="120"/>
        <w:outlineLvl w:val="2"/>
        <w:rPr>
          <w:rFonts w:asciiTheme="majorBidi" w:eastAsiaTheme="majorEastAsia" w:hAnsiTheme="majorBidi" w:cstheme="majorBidi"/>
          <w:color w:val="1F3763" w:themeColor="accent1" w:themeShade="7F"/>
        </w:rPr>
      </w:pPr>
      <w:r w:rsidRPr="00F42BAF">
        <w:rPr>
          <w:rFonts w:asciiTheme="majorBidi" w:eastAsiaTheme="majorEastAsia" w:hAnsiTheme="majorBidi" w:cstheme="majorBidi"/>
          <w:color w:val="1F3763" w:themeColor="accent1" w:themeShade="7F"/>
        </w:rPr>
        <w:t xml:space="preserve">    2.1 Cell surface staining</w:t>
      </w:r>
    </w:p>
    <w:p w14:paraId="55E46A8F" w14:textId="44B59440" w:rsidR="00F42BAF" w:rsidRPr="00F42BAF" w:rsidRDefault="00F42BAF" w:rsidP="2430E17A">
      <w:pPr>
        <w:spacing w:line="276" w:lineRule="auto"/>
        <w:jc w:val="both"/>
        <w:rPr>
          <w:rFonts w:asciiTheme="majorBidi" w:eastAsia="Times New Roman" w:hAnsiTheme="majorBidi" w:cstheme="majorBidi"/>
          <w:color w:val="000000" w:themeColor="text1"/>
          <w:lang w:eastAsia="en-GB"/>
        </w:rPr>
      </w:pPr>
      <w:r w:rsidRPr="2430E17A">
        <w:rPr>
          <w:rFonts w:asciiTheme="majorBidi" w:eastAsia="Times New Roman" w:hAnsiTheme="majorBidi" w:cstheme="majorBidi"/>
          <w:lang w:eastAsia="en-GB"/>
        </w:rPr>
        <w:t>After LPS stimulation with/without pre-treatment with PNLA, CD14</w:t>
      </w:r>
      <w:r w:rsidR="6A675D27" w:rsidRPr="2430E17A">
        <w:rPr>
          <w:rFonts w:asciiTheme="majorBidi" w:eastAsia="Times New Roman" w:hAnsiTheme="majorBidi" w:cstheme="majorBidi"/>
          <w:lang w:eastAsia="en-GB"/>
        </w:rPr>
        <w:t>/</w:t>
      </w:r>
      <w:r w:rsidRPr="2430E17A">
        <w:rPr>
          <w:rFonts w:asciiTheme="majorBidi" w:eastAsia="Times New Roman" w:hAnsiTheme="majorBidi" w:cstheme="majorBidi"/>
          <w:lang w:eastAsia="en-GB"/>
        </w:rPr>
        <w:t>CD16</w:t>
      </w:r>
      <w:r w:rsidRPr="2430E17A">
        <w:rPr>
          <w:rFonts w:asciiTheme="majorBidi" w:eastAsia="Times New Roman" w:hAnsiTheme="majorBidi" w:cstheme="majorBidi"/>
          <w:vertAlign w:val="superscript"/>
          <w:lang w:eastAsia="en-GB"/>
        </w:rPr>
        <w:t xml:space="preserve"> </w:t>
      </w:r>
      <w:r w:rsidRPr="2430E17A">
        <w:rPr>
          <w:rFonts w:asciiTheme="majorBidi" w:eastAsia="Times New Roman" w:hAnsiTheme="majorBidi" w:cstheme="majorBidi"/>
          <w:lang w:eastAsia="en-GB"/>
        </w:rPr>
        <w:t>enriched monocytes were collected by detachment of the plastic wells using cold PBS containing 2.5 mM EDTA. The plate was left on ice for 10 min, and clumps of monocytes detached</w:t>
      </w:r>
      <w:r w:rsidR="009D4695" w:rsidRPr="2430E17A">
        <w:rPr>
          <w:rFonts w:asciiTheme="majorBidi" w:eastAsia="Times New Roman" w:hAnsiTheme="majorBidi" w:cstheme="majorBidi"/>
          <w:lang w:eastAsia="en-GB"/>
        </w:rPr>
        <w:t xml:space="preserve"> as seen</w:t>
      </w:r>
      <w:r w:rsidRPr="2430E17A">
        <w:rPr>
          <w:rFonts w:asciiTheme="majorBidi" w:eastAsia="Times New Roman" w:hAnsiTheme="majorBidi" w:cstheme="majorBidi"/>
          <w:lang w:eastAsia="en-GB"/>
        </w:rPr>
        <w:t xml:space="preserve"> under </w:t>
      </w:r>
      <w:r w:rsidR="009D4695" w:rsidRPr="2430E17A">
        <w:rPr>
          <w:rFonts w:asciiTheme="majorBidi" w:eastAsia="Times New Roman" w:hAnsiTheme="majorBidi" w:cstheme="majorBidi"/>
          <w:lang w:eastAsia="en-GB"/>
        </w:rPr>
        <w:t xml:space="preserve">the </w:t>
      </w:r>
      <w:r w:rsidRPr="2430E17A">
        <w:rPr>
          <w:rFonts w:asciiTheme="majorBidi" w:eastAsia="Times New Roman" w:hAnsiTheme="majorBidi" w:cstheme="majorBidi"/>
          <w:lang w:eastAsia="en-GB"/>
        </w:rPr>
        <w:t>microscope. Ca</w:t>
      </w:r>
      <w:r w:rsidRPr="2430E17A">
        <w:rPr>
          <w:rFonts w:asciiTheme="majorBidi" w:eastAsia="Times New Roman" w:hAnsiTheme="majorBidi" w:cs="Times New Roman (Headings CS)"/>
          <w:vertAlign w:val="superscript"/>
          <w:lang w:eastAsia="en-GB"/>
        </w:rPr>
        <w:t>2</w:t>
      </w:r>
      <w:r w:rsidRPr="2430E17A">
        <w:rPr>
          <w:rFonts w:asciiTheme="majorBidi" w:eastAsia="Times New Roman" w:hAnsiTheme="majorBidi" w:cstheme="majorBidi"/>
          <w:b/>
          <w:bCs/>
          <w:vertAlign w:val="superscript"/>
          <w:lang w:eastAsia="en-GB"/>
        </w:rPr>
        <w:t>+</w:t>
      </w:r>
      <w:r w:rsidRPr="2430E17A">
        <w:rPr>
          <w:rFonts w:asciiTheme="majorBidi" w:eastAsia="Times New Roman" w:hAnsiTheme="majorBidi" w:cstheme="majorBidi"/>
          <w:lang w:eastAsia="en-GB"/>
        </w:rPr>
        <w:t xml:space="preserve"> ions in EDTA helps in detaching the monocytes and dislodging them in the PBS. The monocytes were then washed using PBS supplemented with 2% HI-FCS, centrifuged at 500 x g for 5 min and non-specific binding to </w:t>
      </w:r>
      <w:proofErr w:type="spellStart"/>
      <w:r w:rsidR="00513EE9" w:rsidRPr="2430E17A">
        <w:rPr>
          <w:rFonts w:asciiTheme="majorBidi" w:eastAsia="Times New Roman" w:hAnsiTheme="majorBidi" w:cstheme="majorBidi"/>
          <w:lang w:eastAsia="en-GB"/>
        </w:rPr>
        <w:t>FcR</w:t>
      </w:r>
      <w:proofErr w:type="spellEnd"/>
      <w:r w:rsidR="00513EE9" w:rsidRPr="2430E17A">
        <w:rPr>
          <w:rFonts w:asciiTheme="majorBidi" w:eastAsia="Times New Roman" w:hAnsiTheme="majorBidi" w:cstheme="majorBidi"/>
          <w:lang w:eastAsia="en-GB"/>
        </w:rPr>
        <w:t xml:space="preserve"> </w:t>
      </w:r>
      <w:r w:rsidRPr="2430E17A">
        <w:rPr>
          <w:rFonts w:asciiTheme="majorBidi" w:eastAsia="Times New Roman" w:hAnsiTheme="majorBidi" w:cstheme="majorBidi"/>
          <w:lang w:eastAsia="en-GB"/>
        </w:rPr>
        <w:t>was prevented by incubating 10</w:t>
      </w:r>
      <w:r w:rsidRPr="2430E17A">
        <w:rPr>
          <w:rFonts w:asciiTheme="majorBidi" w:eastAsia="Times New Roman" w:hAnsiTheme="majorBidi" w:cstheme="majorBidi"/>
          <w:vertAlign w:val="superscript"/>
          <w:lang w:eastAsia="en-GB"/>
        </w:rPr>
        <w:t>6</w:t>
      </w:r>
      <w:r w:rsidRPr="2430E17A">
        <w:rPr>
          <w:rFonts w:asciiTheme="majorBidi" w:eastAsia="Times New Roman" w:hAnsiTheme="majorBidi" w:cstheme="majorBidi"/>
          <w:lang w:eastAsia="en-GB"/>
        </w:rPr>
        <w:t xml:space="preserve"> cells with 2 </w:t>
      </w:r>
      <w:r w:rsidRPr="2430E17A">
        <w:rPr>
          <w:rFonts w:asciiTheme="majorBidi" w:eastAsia="Symbol" w:hAnsiTheme="majorBidi" w:cstheme="majorBidi"/>
          <w:lang w:eastAsia="en-GB"/>
        </w:rPr>
        <w:t>m</w:t>
      </w:r>
      <w:r w:rsidRPr="2430E17A">
        <w:rPr>
          <w:rFonts w:asciiTheme="majorBidi" w:eastAsia="Times New Roman" w:hAnsiTheme="majorBidi" w:cstheme="majorBidi"/>
          <w:lang w:eastAsia="en-GB"/>
        </w:rPr>
        <w:t xml:space="preserve">l of </w:t>
      </w:r>
      <w:proofErr w:type="spellStart"/>
      <w:r w:rsidR="00513EE9" w:rsidRPr="2430E17A">
        <w:rPr>
          <w:rFonts w:asciiTheme="majorBidi" w:eastAsia="Times New Roman" w:hAnsiTheme="majorBidi" w:cstheme="majorBidi"/>
          <w:lang w:eastAsia="en-GB"/>
        </w:rPr>
        <w:t>FcR</w:t>
      </w:r>
      <w:proofErr w:type="spellEnd"/>
      <w:r w:rsidR="00513EE9" w:rsidRPr="2430E17A">
        <w:rPr>
          <w:rFonts w:asciiTheme="majorBidi" w:eastAsia="Times New Roman" w:hAnsiTheme="majorBidi" w:cstheme="majorBidi"/>
          <w:lang w:eastAsia="en-GB"/>
        </w:rPr>
        <w:t xml:space="preserve"> </w:t>
      </w:r>
      <w:r w:rsidRPr="2430E17A">
        <w:rPr>
          <w:rFonts w:asciiTheme="majorBidi" w:eastAsia="Times New Roman" w:hAnsiTheme="majorBidi" w:cstheme="majorBidi"/>
          <w:lang w:eastAsia="en-GB"/>
        </w:rPr>
        <w:t xml:space="preserve">human serum immunoglobulin /200 </w:t>
      </w:r>
      <w:r w:rsidRPr="2430E17A">
        <w:rPr>
          <w:rFonts w:asciiTheme="majorBidi" w:eastAsia="Symbol" w:hAnsiTheme="majorBidi" w:cstheme="majorBidi"/>
          <w:lang w:eastAsia="en-GB"/>
        </w:rPr>
        <w:t>m</w:t>
      </w:r>
      <w:r w:rsidRPr="2430E17A">
        <w:rPr>
          <w:rFonts w:asciiTheme="majorBidi" w:eastAsia="Times New Roman" w:hAnsiTheme="majorBidi" w:cstheme="majorBidi"/>
          <w:lang w:eastAsia="en-GB"/>
        </w:rPr>
        <w:t>l PBS buffer for 30 min at 2-8</w:t>
      </w:r>
      <w:r w:rsidRPr="2430E17A">
        <w:rPr>
          <w:rFonts w:ascii="Times New Roman" w:eastAsia="Times New Roman" w:hAnsi="Times New Roman" w:cs="Times New Roman"/>
          <w:color w:val="000000" w:themeColor="text1"/>
          <w:lang w:eastAsia="en-GB"/>
        </w:rPr>
        <w:t>°</w:t>
      </w:r>
      <w:r w:rsidRPr="2430E17A">
        <w:rPr>
          <w:rFonts w:asciiTheme="majorBidi" w:eastAsia="Times New Roman" w:hAnsiTheme="majorBidi" w:cstheme="majorBidi"/>
          <w:lang w:eastAsia="en-GB"/>
        </w:rPr>
        <w:t>C</w:t>
      </w:r>
      <w:r w:rsidRPr="2430E17A">
        <w:rPr>
          <w:rFonts w:ascii="Times New Roman" w:eastAsia="Times New Roman" w:hAnsi="Times New Roman" w:cs="Times New Roman"/>
          <w:lang w:eastAsia="en-GB"/>
        </w:rPr>
        <w:t xml:space="preserve">. </w:t>
      </w:r>
      <w:r w:rsidRPr="2430E17A">
        <w:rPr>
          <w:rFonts w:asciiTheme="majorBidi" w:eastAsia="Times New Roman" w:hAnsiTheme="majorBidi" w:cstheme="majorBidi"/>
          <w:lang w:eastAsia="en-GB"/>
        </w:rPr>
        <w:t xml:space="preserve">This blocks non-specific binding of the Fc portion of fluorescently conjugated antibodies during staining steps. Then, 2 </w:t>
      </w:r>
      <w:r w:rsidRPr="2430E17A">
        <w:rPr>
          <w:rFonts w:asciiTheme="majorBidi" w:eastAsia="Symbol" w:hAnsiTheme="majorBidi" w:cstheme="majorBidi"/>
          <w:lang w:eastAsia="en-GB"/>
        </w:rPr>
        <w:t>m</w:t>
      </w:r>
      <w:r w:rsidRPr="2430E17A">
        <w:rPr>
          <w:rFonts w:asciiTheme="majorBidi" w:eastAsia="Times New Roman" w:hAnsiTheme="majorBidi" w:cstheme="majorBidi"/>
          <w:lang w:eastAsia="en-GB"/>
        </w:rPr>
        <w:t>l of Zombie Aqua live/dead stain was added to 10</w:t>
      </w:r>
      <w:r w:rsidRPr="2430E17A">
        <w:rPr>
          <w:rFonts w:asciiTheme="majorBidi" w:eastAsia="Times New Roman" w:hAnsiTheme="majorBidi" w:cstheme="majorBidi"/>
          <w:vertAlign w:val="superscript"/>
          <w:lang w:eastAsia="en-GB"/>
        </w:rPr>
        <w:t>6</w:t>
      </w:r>
      <w:r w:rsidRPr="2430E17A">
        <w:rPr>
          <w:rFonts w:asciiTheme="majorBidi" w:eastAsia="Times New Roman" w:hAnsiTheme="majorBidi" w:cstheme="majorBidi"/>
          <w:lang w:eastAsia="en-GB"/>
        </w:rPr>
        <w:t xml:space="preserve"> cells/200 </w:t>
      </w:r>
      <w:r w:rsidRPr="2430E17A">
        <w:rPr>
          <w:rFonts w:asciiTheme="majorBidi" w:eastAsia="Symbol" w:hAnsiTheme="majorBidi" w:cstheme="majorBidi"/>
          <w:lang w:eastAsia="en-GB"/>
        </w:rPr>
        <w:t>m</w:t>
      </w:r>
      <w:r w:rsidRPr="2430E17A">
        <w:rPr>
          <w:rFonts w:asciiTheme="majorBidi" w:eastAsia="Times New Roman" w:hAnsiTheme="majorBidi" w:cstheme="majorBidi"/>
          <w:lang w:eastAsia="en-GB"/>
        </w:rPr>
        <w:t xml:space="preserve">l buffer and incubated in dark for 30 min at RT. Cells were then washed once in FACS staining buffer (0.5% BSA, 5 mM EDTA, 7.5 mM </w:t>
      </w:r>
      <w:r w:rsidR="00A90BF2" w:rsidRPr="2430E17A">
        <w:rPr>
          <w:rFonts w:asciiTheme="majorBidi" w:eastAsia="Times New Roman" w:hAnsiTheme="majorBidi" w:cstheme="majorBidi"/>
          <w:lang w:eastAsia="en-GB"/>
        </w:rPr>
        <w:t xml:space="preserve">sodium </w:t>
      </w:r>
      <w:proofErr w:type="spellStart"/>
      <w:r w:rsidR="00A90BF2" w:rsidRPr="2430E17A">
        <w:rPr>
          <w:rFonts w:asciiTheme="majorBidi" w:eastAsia="Times New Roman" w:hAnsiTheme="majorBidi" w:cstheme="majorBidi"/>
          <w:lang w:eastAsia="en-GB"/>
        </w:rPr>
        <w:t>a</w:t>
      </w:r>
      <w:r w:rsidRPr="2430E17A">
        <w:rPr>
          <w:rFonts w:asciiTheme="majorBidi" w:eastAsia="Times New Roman" w:hAnsiTheme="majorBidi" w:cstheme="majorBidi"/>
          <w:lang w:eastAsia="en-GB"/>
        </w:rPr>
        <w:t>zide</w:t>
      </w:r>
      <w:proofErr w:type="spellEnd"/>
      <w:r w:rsidRPr="2430E17A">
        <w:rPr>
          <w:rFonts w:asciiTheme="majorBidi" w:eastAsia="Times New Roman" w:hAnsiTheme="majorBidi" w:cstheme="majorBidi"/>
          <w:lang w:eastAsia="en-GB"/>
        </w:rPr>
        <w:t xml:space="preserve"> in PBS). 2 </w:t>
      </w:r>
      <w:r w:rsidRPr="2430E17A">
        <w:rPr>
          <w:rFonts w:asciiTheme="majorBidi" w:eastAsia="Symbol" w:hAnsiTheme="majorBidi" w:cstheme="majorBidi"/>
          <w:lang w:eastAsia="en-GB"/>
        </w:rPr>
        <w:t>m</w:t>
      </w:r>
      <w:r w:rsidRPr="2430E17A">
        <w:rPr>
          <w:rFonts w:asciiTheme="majorBidi" w:eastAsia="Times New Roman" w:hAnsiTheme="majorBidi" w:cstheme="majorBidi"/>
          <w:lang w:eastAsia="en-GB"/>
        </w:rPr>
        <w:t xml:space="preserve">l of fluorochrome-conjugated antibodies specific to monocyte surface receptors </w:t>
      </w:r>
      <w:r w:rsidRPr="2430E17A">
        <w:rPr>
          <w:rFonts w:asciiTheme="majorBidi" w:eastAsia="Times New Roman" w:hAnsiTheme="majorBidi" w:cstheme="majorBidi"/>
          <w:color w:val="000000" w:themeColor="text1"/>
          <w:lang w:eastAsia="en-GB"/>
        </w:rPr>
        <w:t xml:space="preserve">CD14, and CD16 were added to some of the wells, while identical IgG isotype were added to other wells as a control </w:t>
      </w:r>
      <w:r w:rsidRPr="2430E17A">
        <w:rPr>
          <w:rFonts w:asciiTheme="majorBidi" w:eastAsia="Times New Roman" w:hAnsiTheme="majorBidi" w:cstheme="majorBidi"/>
          <w:lang w:eastAsia="en-GB"/>
        </w:rPr>
        <w:t xml:space="preserve">and incubated </w:t>
      </w:r>
      <w:r w:rsidRPr="2430E17A">
        <w:rPr>
          <w:rFonts w:asciiTheme="majorBidi" w:eastAsia="Times New Roman" w:hAnsiTheme="majorBidi" w:cstheme="majorBidi"/>
          <w:color w:val="000000" w:themeColor="text1"/>
          <w:lang w:eastAsia="en-GB"/>
        </w:rPr>
        <w:t>for 30-45 min at 2-8</w:t>
      </w:r>
      <w:r w:rsidRPr="2430E17A">
        <w:rPr>
          <w:rFonts w:ascii="Times New Roman" w:eastAsia="Times New Roman" w:hAnsi="Times New Roman" w:cs="Times New Roman"/>
          <w:color w:val="000000" w:themeColor="text1"/>
          <w:lang w:eastAsia="en-GB"/>
        </w:rPr>
        <w:t>°</w:t>
      </w:r>
      <w:r w:rsidRPr="2430E17A">
        <w:rPr>
          <w:rFonts w:asciiTheme="majorBidi" w:eastAsia="Times New Roman" w:hAnsiTheme="majorBidi" w:cstheme="majorBidi"/>
          <w:color w:val="000000" w:themeColor="text1"/>
          <w:lang w:eastAsia="en-GB"/>
        </w:rPr>
        <w:t>C avoiding direct light (tubes wrapped in foil). 2-4 ml FACS staining buffer was then added, washed twice to remove excess antibody, and centrifuged at 350 x g for 5 min at RT.</w:t>
      </w:r>
      <w:r w:rsidRPr="2430E17A">
        <w:rPr>
          <w:rFonts w:asciiTheme="majorBidi" w:eastAsia="Times New Roman" w:hAnsiTheme="majorBidi" w:cstheme="majorBidi"/>
          <w:lang w:eastAsia="en-GB"/>
        </w:rPr>
        <w:t xml:space="preserve">  </w:t>
      </w:r>
      <w:r w:rsidRPr="2430E17A">
        <w:rPr>
          <w:rFonts w:asciiTheme="majorBidi" w:eastAsia="Times New Roman" w:hAnsiTheme="majorBidi" w:cstheme="majorBidi"/>
          <w:color w:val="000000" w:themeColor="text1"/>
          <w:lang w:eastAsia="en-GB"/>
        </w:rPr>
        <w:t>Supernatants were then discarded, and the pelleted cells resuspended by flicking tubes in 200</w:t>
      </w:r>
      <w:r w:rsidR="59D48B42" w:rsidRPr="2430E17A">
        <w:rPr>
          <w:rFonts w:asciiTheme="majorBidi" w:eastAsia="Times New Roman" w:hAnsiTheme="majorBidi" w:cstheme="majorBidi"/>
          <w:color w:val="000000" w:themeColor="text1"/>
          <w:lang w:eastAsia="en-GB"/>
        </w:rPr>
        <w:t xml:space="preserve"> </w:t>
      </w:r>
      <w:r w:rsidRPr="2430E17A">
        <w:rPr>
          <w:rFonts w:asciiTheme="majorBidi" w:eastAsia="Times New Roman" w:hAnsiTheme="majorBidi" w:cstheme="majorBidi"/>
          <w:color w:val="000000" w:themeColor="text1"/>
          <w:lang w:eastAsia="en-GB"/>
        </w:rPr>
        <w:t>µl of 3% paraformaldehyde (PFH) previousl</w:t>
      </w:r>
      <w:r w:rsidR="009D4695" w:rsidRPr="2430E17A">
        <w:rPr>
          <w:rFonts w:asciiTheme="majorBidi" w:eastAsia="Times New Roman" w:hAnsiTheme="majorBidi" w:cstheme="majorBidi"/>
          <w:color w:val="000000" w:themeColor="text1"/>
          <w:lang w:eastAsia="en-GB"/>
        </w:rPr>
        <w:t>y</w:t>
      </w:r>
      <w:r w:rsidRPr="2430E17A">
        <w:rPr>
          <w:rFonts w:asciiTheme="majorBidi" w:eastAsia="Times New Roman" w:hAnsiTheme="majorBidi" w:cstheme="majorBidi"/>
          <w:color w:val="000000" w:themeColor="text1"/>
          <w:lang w:eastAsia="en-GB"/>
        </w:rPr>
        <w:t xml:space="preserve"> prepared</w:t>
      </w:r>
      <w:r w:rsidR="009D4695" w:rsidRPr="2430E17A">
        <w:rPr>
          <w:rFonts w:asciiTheme="majorBidi" w:eastAsia="Times New Roman" w:hAnsiTheme="majorBidi" w:cstheme="majorBidi"/>
          <w:color w:val="000000" w:themeColor="text1"/>
          <w:lang w:eastAsia="en-GB"/>
        </w:rPr>
        <w:t xml:space="preserve"> in the lab and kept at -4</w:t>
      </w:r>
      <w:r w:rsidR="009D4695" w:rsidRPr="2430E17A">
        <w:rPr>
          <w:rFonts w:ascii="Times New Roman" w:eastAsia="Times New Roman" w:hAnsi="Times New Roman" w:cs="Times New Roman"/>
          <w:color w:val="000000" w:themeColor="text1"/>
          <w:lang w:eastAsia="en-GB"/>
        </w:rPr>
        <w:t>°</w:t>
      </w:r>
      <w:r w:rsidR="009D4695" w:rsidRPr="2430E17A">
        <w:rPr>
          <w:rFonts w:asciiTheme="majorBidi" w:eastAsia="Times New Roman" w:hAnsiTheme="majorBidi" w:cstheme="majorBidi"/>
          <w:color w:val="000000" w:themeColor="text1"/>
          <w:lang w:eastAsia="en-GB"/>
        </w:rPr>
        <w:t>C</w:t>
      </w:r>
      <w:r w:rsidRPr="2430E17A">
        <w:rPr>
          <w:rFonts w:asciiTheme="majorBidi" w:eastAsia="Times New Roman" w:hAnsiTheme="majorBidi" w:cstheme="majorBidi"/>
          <w:color w:val="000000" w:themeColor="text1"/>
          <w:lang w:eastAsia="en-GB"/>
        </w:rPr>
        <w:t xml:space="preserve">. Finally, the cells were vortexed and incubated for 15 min in dark (tubes wrapped in foil) at RT before the next step (section 2.2). </w:t>
      </w:r>
    </w:p>
    <w:p w14:paraId="36D8E630" w14:textId="77777777" w:rsidR="00F42BAF" w:rsidRPr="00F42BAF" w:rsidRDefault="00F42BAF" w:rsidP="00F42BAF">
      <w:pPr>
        <w:keepNext/>
        <w:keepLines/>
        <w:spacing w:before="120" w:line="360" w:lineRule="auto"/>
        <w:outlineLvl w:val="2"/>
        <w:rPr>
          <w:rFonts w:asciiTheme="majorBidi" w:eastAsiaTheme="majorEastAsia" w:hAnsiTheme="majorBidi" w:cstheme="majorBidi"/>
          <w:color w:val="1F3763" w:themeColor="accent1" w:themeShade="7F"/>
        </w:rPr>
      </w:pPr>
      <w:bookmarkStart w:id="0" w:name="_Toc78753031"/>
      <w:bookmarkStart w:id="1" w:name="_Toc79623491"/>
      <w:bookmarkStart w:id="2" w:name="_Toc80613647"/>
      <w:r w:rsidRPr="00F42BAF">
        <w:rPr>
          <w:rFonts w:asciiTheme="majorBidi" w:eastAsiaTheme="majorEastAsia" w:hAnsiTheme="majorBidi" w:cstheme="majorBidi"/>
          <w:color w:val="1F3763" w:themeColor="accent1" w:themeShade="7F"/>
        </w:rPr>
        <w:lastRenderedPageBreak/>
        <w:t xml:space="preserve">   2.2. Intracellular staining</w:t>
      </w:r>
      <w:bookmarkEnd w:id="0"/>
      <w:bookmarkEnd w:id="1"/>
      <w:bookmarkEnd w:id="2"/>
    </w:p>
    <w:p w14:paraId="3A038B0A" w14:textId="647F3E8E" w:rsidR="00F42BAF" w:rsidRPr="00F42BAF" w:rsidRDefault="00F42BAF" w:rsidP="2430E17A">
      <w:pPr>
        <w:spacing w:line="276" w:lineRule="auto"/>
        <w:jc w:val="both"/>
        <w:rPr>
          <w:rFonts w:asciiTheme="majorBidi" w:eastAsia="Times New Roman" w:hAnsiTheme="majorBidi" w:cstheme="majorBidi"/>
          <w:lang w:eastAsia="en-GB"/>
        </w:rPr>
      </w:pPr>
      <w:r w:rsidRPr="2430E17A">
        <w:rPr>
          <w:rFonts w:asciiTheme="majorBidi" w:eastAsia="Times New Roman" w:hAnsiTheme="majorBidi" w:cstheme="majorBidi"/>
          <w:lang w:eastAsia="en-GB"/>
        </w:rPr>
        <w:t xml:space="preserve">2-4 ml of FACS staining buffer was then added to each tube, mixed well, centrifugated at 350 x g for 5 min at RT, and supernatants discarded. </w:t>
      </w:r>
      <w:r w:rsidR="498358BA" w:rsidRPr="2430E17A">
        <w:rPr>
          <w:rFonts w:asciiTheme="majorBidi" w:eastAsia="Times New Roman" w:hAnsiTheme="majorBidi" w:cstheme="majorBidi"/>
          <w:lang w:eastAsia="en-GB"/>
        </w:rPr>
        <w:t>Then,</w:t>
      </w:r>
      <w:r w:rsidRPr="2430E17A">
        <w:rPr>
          <w:rFonts w:asciiTheme="majorBidi" w:eastAsia="Times New Roman" w:hAnsiTheme="majorBidi" w:cstheme="majorBidi"/>
          <w:lang w:eastAsia="en-GB"/>
        </w:rPr>
        <w:t xml:space="preserve"> 200 </w:t>
      </w:r>
      <w:r w:rsidRPr="2430E17A">
        <w:rPr>
          <w:rFonts w:asciiTheme="majorBidi" w:eastAsia="Symbol" w:hAnsiTheme="majorBidi" w:cstheme="majorBidi"/>
          <w:lang w:eastAsia="en-GB"/>
        </w:rPr>
        <w:t>m</w:t>
      </w:r>
      <w:r w:rsidRPr="2430E17A">
        <w:rPr>
          <w:rFonts w:asciiTheme="majorBidi" w:eastAsia="Times New Roman" w:hAnsiTheme="majorBidi" w:cstheme="majorBidi"/>
          <w:lang w:eastAsia="en-GB"/>
        </w:rPr>
        <w:t xml:space="preserve">l of 0.3% saponin (Thermo Fisher Scientific, UK) diluted in PBS was added and incubated for 5 min in dark at RT to allow </w:t>
      </w:r>
      <w:r w:rsidR="00623905" w:rsidRPr="2430E17A">
        <w:rPr>
          <w:rFonts w:asciiTheme="majorBidi" w:eastAsia="Times New Roman" w:hAnsiTheme="majorBidi" w:cstheme="majorBidi"/>
          <w:lang w:eastAsia="en-GB"/>
        </w:rPr>
        <w:t>permeabilization</w:t>
      </w:r>
      <w:r w:rsidRPr="2430E17A">
        <w:rPr>
          <w:rFonts w:asciiTheme="majorBidi" w:eastAsia="Times New Roman" w:hAnsiTheme="majorBidi" w:cstheme="majorBidi"/>
          <w:lang w:eastAsia="en-GB"/>
        </w:rPr>
        <w:t xml:space="preserve"> of the monocytes surface. At this step, anti-cytokine panel antibodies or corresponding IgG isotype controls (TNF-</w:t>
      </w:r>
      <w:r w:rsidRPr="2430E17A">
        <w:rPr>
          <w:rFonts w:ascii="Times New Roman" w:eastAsia="Times New Roman" w:hAnsi="Times New Roman" w:cs="Times New Roman"/>
          <w:lang w:eastAsia="en-GB"/>
        </w:rPr>
        <w:t>α</w:t>
      </w:r>
      <w:r w:rsidRPr="2430E17A">
        <w:rPr>
          <w:rFonts w:asciiTheme="majorBidi" w:eastAsia="Times New Roman" w:hAnsiTheme="majorBidi" w:cstheme="majorBidi"/>
          <w:lang w:eastAsia="en-GB"/>
        </w:rPr>
        <w:t>, IL-6, IL-1β, and IL-8) were added and incubated at 2-8</w:t>
      </w:r>
      <w:r w:rsidRPr="2430E17A">
        <w:rPr>
          <w:rFonts w:ascii="Times New Roman" w:eastAsia="Times New Roman" w:hAnsi="Times New Roman" w:cs="Times New Roman"/>
          <w:color w:val="000000" w:themeColor="text1"/>
          <w:lang w:eastAsia="en-GB"/>
        </w:rPr>
        <w:t>°</w:t>
      </w:r>
      <w:r w:rsidRPr="2430E17A">
        <w:rPr>
          <w:rFonts w:asciiTheme="majorBidi" w:eastAsia="Times New Roman" w:hAnsiTheme="majorBidi" w:cstheme="majorBidi"/>
          <w:lang w:eastAsia="en-GB"/>
        </w:rPr>
        <w:t xml:space="preserve">C for 30-45 min. After this incubation, the suspension was washed once with 2-4 ml FACS buffer to remove any </w:t>
      </w:r>
      <w:r w:rsidR="0089721B" w:rsidRPr="2430E17A">
        <w:rPr>
          <w:rFonts w:asciiTheme="majorBidi" w:eastAsia="Times New Roman" w:hAnsiTheme="majorBidi" w:cstheme="majorBidi"/>
          <w:lang w:eastAsia="en-GB"/>
        </w:rPr>
        <w:t xml:space="preserve">excessive </w:t>
      </w:r>
      <w:r w:rsidRPr="2430E17A">
        <w:rPr>
          <w:rFonts w:asciiTheme="majorBidi" w:eastAsia="Times New Roman" w:hAnsiTheme="majorBidi" w:cstheme="majorBidi"/>
          <w:lang w:eastAsia="en-GB"/>
        </w:rPr>
        <w:t xml:space="preserve">staining, supernatants were discarded, and the pellet resuspended in 200 </w:t>
      </w:r>
      <w:r w:rsidRPr="2430E17A">
        <w:rPr>
          <w:rFonts w:asciiTheme="majorBidi" w:eastAsia="Symbol" w:hAnsiTheme="majorBidi" w:cstheme="majorBidi"/>
          <w:lang w:eastAsia="en-GB"/>
        </w:rPr>
        <w:t>m</w:t>
      </w:r>
      <w:r w:rsidRPr="2430E17A">
        <w:rPr>
          <w:rFonts w:asciiTheme="majorBidi" w:eastAsia="Times New Roman" w:hAnsiTheme="majorBidi" w:cstheme="majorBidi"/>
          <w:lang w:eastAsia="en-GB"/>
        </w:rPr>
        <w:t xml:space="preserve">l of 3% </w:t>
      </w:r>
      <w:r w:rsidR="00D30E67" w:rsidRPr="2430E17A">
        <w:rPr>
          <w:rFonts w:asciiTheme="majorBidi" w:eastAsia="Times New Roman" w:hAnsiTheme="majorBidi" w:cstheme="majorBidi"/>
          <w:lang w:eastAsia="en-GB"/>
        </w:rPr>
        <w:t>PFH and</w:t>
      </w:r>
      <w:r w:rsidRPr="2430E17A">
        <w:rPr>
          <w:rFonts w:asciiTheme="majorBidi" w:eastAsia="Times New Roman" w:hAnsiTheme="majorBidi" w:cstheme="majorBidi"/>
          <w:lang w:eastAsia="en-GB"/>
        </w:rPr>
        <w:t xml:space="preserve"> kept in dark at 2-8</w:t>
      </w:r>
      <w:r w:rsidRPr="2430E17A">
        <w:rPr>
          <w:rFonts w:ascii="Times New Roman" w:eastAsia="Times New Roman" w:hAnsi="Times New Roman" w:cs="Times New Roman"/>
          <w:color w:val="000000" w:themeColor="text1"/>
          <w:lang w:eastAsia="en-GB"/>
        </w:rPr>
        <w:t>°</w:t>
      </w:r>
      <w:r w:rsidRPr="2430E17A">
        <w:rPr>
          <w:rFonts w:asciiTheme="majorBidi" w:eastAsia="Times New Roman" w:hAnsiTheme="majorBidi" w:cstheme="majorBidi"/>
          <w:lang w:eastAsia="en-GB"/>
        </w:rPr>
        <w:t>C ready for data acquisition on a flow cytometer (BD LSR-FORTESSA)</w:t>
      </w:r>
      <w:r w:rsidR="00A37190" w:rsidRPr="2430E17A">
        <w:rPr>
          <w:rFonts w:asciiTheme="majorBidi" w:eastAsia="Times New Roman" w:hAnsiTheme="majorBidi" w:cstheme="majorBidi"/>
          <w:lang w:eastAsia="en-GB"/>
        </w:rPr>
        <w:t xml:space="preserve"> </w:t>
      </w:r>
      <w:r w:rsidR="1C8CD0AD" w:rsidRPr="2430E17A">
        <w:rPr>
          <w:rFonts w:asciiTheme="majorBidi" w:eastAsia="Times New Roman" w:hAnsiTheme="majorBidi" w:cstheme="majorBidi"/>
          <w:lang w:eastAsia="en-GB"/>
        </w:rPr>
        <w:t>in</w:t>
      </w:r>
      <w:r w:rsidR="00A37190" w:rsidRPr="2430E17A">
        <w:rPr>
          <w:rFonts w:asciiTheme="majorBidi" w:eastAsia="Times New Roman" w:hAnsiTheme="majorBidi" w:cstheme="majorBidi"/>
          <w:lang w:eastAsia="en-GB"/>
        </w:rPr>
        <w:t xml:space="preserve"> the </w:t>
      </w:r>
      <w:r w:rsidR="00A37190" w:rsidRPr="2430E17A">
        <w:rPr>
          <w:rFonts w:asciiTheme="majorBidi" w:eastAsia="Times New Roman" w:hAnsiTheme="majorBidi" w:cstheme="majorBidi"/>
          <w:color w:val="000000" w:themeColor="text1"/>
          <w:lang w:eastAsia="en-GB"/>
        </w:rPr>
        <w:t>next step (section 2.3).</w:t>
      </w:r>
    </w:p>
    <w:p w14:paraId="34F9E30A" w14:textId="77777777" w:rsidR="00F42BAF" w:rsidRPr="00F42BAF" w:rsidRDefault="00F42BAF" w:rsidP="00F42BAF">
      <w:pPr>
        <w:autoSpaceDE w:val="0"/>
        <w:autoSpaceDN w:val="0"/>
        <w:adjustRightInd w:val="0"/>
        <w:spacing w:before="120" w:line="360" w:lineRule="auto"/>
        <w:jc w:val="both"/>
        <w:rPr>
          <w:rFonts w:ascii="Times New Roman" w:eastAsia="Times New Roman" w:hAnsi="Times New Roman" w:cs="Times New Roman"/>
          <w:color w:val="1F3864" w:themeColor="accent1" w:themeShade="80"/>
          <w:lang w:eastAsia="en-GB"/>
        </w:rPr>
      </w:pPr>
      <w:r w:rsidRPr="00F42BAF">
        <w:rPr>
          <w:rFonts w:ascii="Times New Roman" w:eastAsia="Times New Roman" w:hAnsi="Times New Roman" w:cs="Times New Roman"/>
          <w:color w:val="1F3864" w:themeColor="accent1" w:themeShade="80"/>
          <w:lang w:eastAsia="en-GB"/>
        </w:rPr>
        <w:t xml:space="preserve">     2.3. Flow cytometry analysis </w:t>
      </w:r>
    </w:p>
    <w:p w14:paraId="78F02AB3" w14:textId="7B81D3A0" w:rsidR="00F42BAF" w:rsidRPr="00F42BAF" w:rsidRDefault="00F42BAF" w:rsidP="00D943AE">
      <w:pPr>
        <w:autoSpaceDE w:val="0"/>
        <w:autoSpaceDN w:val="0"/>
        <w:adjustRightInd w:val="0"/>
        <w:spacing w:after="120" w:line="276" w:lineRule="auto"/>
        <w:jc w:val="both"/>
        <w:rPr>
          <w:rFonts w:ascii="Times New Roman" w:eastAsia="Times New Roman" w:hAnsi="Times New Roman" w:cs="Times New Roman"/>
          <w:lang w:eastAsia="en-GB"/>
        </w:rPr>
      </w:pPr>
      <w:r w:rsidRPr="2430E17A">
        <w:rPr>
          <w:rFonts w:ascii="Times New Roman" w:eastAsia="Times New Roman" w:hAnsi="Times New Roman" w:cs="Times New Roman"/>
          <w:lang w:eastAsia="en-GB"/>
        </w:rPr>
        <w:t xml:space="preserve">All acquisition and analysis were performed using the program BD </w:t>
      </w:r>
      <w:proofErr w:type="spellStart"/>
      <w:r w:rsidRPr="2430E17A">
        <w:rPr>
          <w:rFonts w:ascii="Times New Roman" w:eastAsia="Times New Roman" w:hAnsi="Times New Roman" w:cs="Times New Roman"/>
          <w:lang w:eastAsia="en-GB"/>
        </w:rPr>
        <w:t>FACSDiva</w:t>
      </w:r>
      <w:proofErr w:type="spellEnd"/>
      <w:r w:rsidRPr="2430E17A">
        <w:rPr>
          <w:rFonts w:ascii="Times New Roman" w:eastAsia="Times New Roman" w:hAnsi="Times New Roman" w:cs="Times New Roman"/>
          <w:lang w:eastAsia="en-GB"/>
        </w:rPr>
        <w:t xml:space="preserve"> version 8. </w:t>
      </w:r>
      <w:r w:rsidRPr="2430E17A">
        <w:rPr>
          <w:rFonts w:asciiTheme="majorBidi" w:eastAsia="Times New Roman" w:hAnsiTheme="majorBidi" w:cstheme="majorBidi"/>
          <w:lang w:eastAsia="en-GB"/>
        </w:rPr>
        <w:t xml:space="preserve">Compensations </w:t>
      </w:r>
      <w:r w:rsidR="77FA762F" w:rsidRPr="2430E17A">
        <w:rPr>
          <w:rFonts w:asciiTheme="majorBidi" w:eastAsia="Times New Roman" w:hAnsiTheme="majorBidi" w:cstheme="majorBidi"/>
          <w:lang w:eastAsia="en-GB"/>
        </w:rPr>
        <w:t xml:space="preserve">and </w:t>
      </w:r>
      <w:r w:rsidRPr="2430E17A">
        <w:rPr>
          <w:rFonts w:ascii="Times New Roman" w:eastAsia="Times New Roman" w:hAnsi="Times New Roman" w:cs="Times New Roman"/>
          <w:lang w:eastAsia="en-GB"/>
        </w:rPr>
        <w:t xml:space="preserve">unlabelled (unstained) sample </w:t>
      </w:r>
      <w:r w:rsidR="54CB1F7A" w:rsidRPr="2430E17A">
        <w:rPr>
          <w:rFonts w:ascii="Times New Roman" w:eastAsia="Times New Roman" w:hAnsi="Times New Roman" w:cs="Times New Roman"/>
          <w:lang w:eastAsia="en-GB"/>
        </w:rPr>
        <w:t>were</w:t>
      </w:r>
      <w:r w:rsidRPr="2430E17A">
        <w:rPr>
          <w:rFonts w:ascii="Times New Roman" w:eastAsia="Times New Roman" w:hAnsi="Times New Roman" w:cs="Times New Roman"/>
          <w:lang w:eastAsia="en-GB"/>
        </w:rPr>
        <w:t xml:space="preserve"> set before samples acquisition, and the flow rate voltages adjusted on FSC and SSC accordingly. Compensation for fluorochrome settings were generated using compensation beads. Compensation beads were prepared on the day of acquisition by adding 5 µl positive and 5 µl negative bead (BD Biosciences, UK) to each surface or intracellular cytokines antibody in an independent FACS tube and suspended in 200 µl in FACS staining buffer.</w:t>
      </w:r>
    </w:p>
    <w:p w14:paraId="30A31754" w14:textId="77777777" w:rsidR="00F42BAF" w:rsidRPr="00F42BAF" w:rsidRDefault="00F42BAF" w:rsidP="00F42BAF">
      <w:pPr>
        <w:autoSpaceDE w:val="0"/>
        <w:autoSpaceDN w:val="0"/>
        <w:adjustRightInd w:val="0"/>
        <w:spacing w:line="276" w:lineRule="auto"/>
        <w:jc w:val="both"/>
        <w:rPr>
          <w:rFonts w:ascii="Times New Roman" w:eastAsia="Times New Roman" w:hAnsi="Times New Roman" w:cs="Times New Roman"/>
          <w:b/>
          <w:bCs/>
          <w:lang w:eastAsia="en-GB"/>
        </w:rPr>
      </w:pPr>
      <w:r w:rsidRPr="00F42BAF">
        <w:rPr>
          <w:rFonts w:ascii="Times New Roman" w:eastAsia="Times New Roman" w:hAnsi="Times New Roman" w:cs="Times New Roman"/>
          <w:b/>
          <w:bCs/>
          <w:lang w:eastAsia="en-GB"/>
        </w:rPr>
        <w:t>Supplementary Data S3</w:t>
      </w:r>
    </w:p>
    <w:p w14:paraId="7BC2C68E" w14:textId="77777777" w:rsidR="00F42BAF" w:rsidRPr="00F42BAF" w:rsidRDefault="00F42BAF" w:rsidP="00F42BAF">
      <w:pPr>
        <w:keepNext/>
        <w:keepLines/>
        <w:spacing w:before="40" w:after="160" w:line="276" w:lineRule="auto"/>
        <w:ind w:left="360"/>
        <w:outlineLvl w:val="2"/>
        <w:rPr>
          <w:rFonts w:asciiTheme="majorBidi" w:eastAsiaTheme="majorEastAsia" w:hAnsiTheme="majorBidi" w:cstheme="majorBidi"/>
          <w:color w:val="1F3763" w:themeColor="accent1" w:themeShade="7F"/>
        </w:rPr>
      </w:pPr>
      <w:r w:rsidRPr="00F42BAF">
        <w:rPr>
          <w:rFonts w:asciiTheme="majorBidi" w:eastAsiaTheme="majorEastAsia" w:hAnsiTheme="majorBidi" w:cstheme="majorBidi"/>
          <w:color w:val="1F3763" w:themeColor="accent1" w:themeShade="7F"/>
        </w:rPr>
        <w:t>3.1. RNA extraction methods</w:t>
      </w:r>
    </w:p>
    <w:p w14:paraId="7A483C01" w14:textId="2173451B" w:rsidR="00F42BAF" w:rsidRPr="00F42BAF" w:rsidRDefault="00F42BAF" w:rsidP="00F42BAF">
      <w:pPr>
        <w:autoSpaceDE w:val="0"/>
        <w:autoSpaceDN w:val="0"/>
        <w:adjustRightInd w:val="0"/>
        <w:spacing w:line="276" w:lineRule="auto"/>
        <w:jc w:val="both"/>
        <w:rPr>
          <w:rFonts w:ascii="Times New Roman" w:eastAsia="Times New Roman" w:hAnsi="Times New Roman" w:cs="Times New Roman"/>
        </w:rPr>
      </w:pPr>
      <w:r w:rsidRPr="2430E17A">
        <w:rPr>
          <w:rFonts w:ascii="Times New Roman" w:eastAsia="Times New Roman" w:hAnsi="Times New Roman" w:cstheme="majorBidi"/>
          <w:lang w:eastAsia="en-GB"/>
        </w:rPr>
        <w:t>In brief, 24 samples of CD14</w:t>
      </w:r>
      <w:r w:rsidR="2FFA09A1" w:rsidRPr="2430E17A">
        <w:rPr>
          <w:rFonts w:ascii="Times New Roman" w:eastAsia="Times New Roman" w:hAnsi="Times New Roman" w:cstheme="majorBidi"/>
          <w:lang w:eastAsia="en-GB"/>
        </w:rPr>
        <w:t xml:space="preserve">, </w:t>
      </w:r>
      <w:r w:rsidRPr="2430E17A">
        <w:rPr>
          <w:rFonts w:ascii="Times New Roman" w:eastAsia="Times New Roman" w:hAnsi="Times New Roman" w:cstheme="majorBidi"/>
          <w:lang w:eastAsia="en-GB"/>
        </w:rPr>
        <w:t>CD16 monocytes lysed in buffer RLT (350 µl; provided in the kit) supplemented with 10% of 2-mercaptoethanol (</w:t>
      </w:r>
      <w:r w:rsidRPr="2430E17A">
        <w:rPr>
          <w:rFonts w:ascii="Times New Roman" w:eastAsia="Times New Roman" w:hAnsi="Times New Roman" w:cstheme="majorBidi"/>
          <w:lang w:val="en-US" w:eastAsia="en-GB"/>
        </w:rPr>
        <w:t xml:space="preserve">Gibco Life Science, UK) </w:t>
      </w:r>
      <w:r w:rsidRPr="2430E17A">
        <w:rPr>
          <w:rFonts w:ascii="Times New Roman" w:eastAsia="Times New Roman" w:hAnsi="Times New Roman" w:cstheme="majorBidi"/>
          <w:lang w:eastAsia="en-GB"/>
        </w:rPr>
        <w:t>in Eppendorf tubes</w:t>
      </w:r>
      <w:r w:rsidR="00A573C7" w:rsidRPr="2430E17A">
        <w:rPr>
          <w:rFonts w:ascii="Times New Roman" w:eastAsia="Times New Roman" w:hAnsi="Times New Roman" w:cstheme="majorBidi"/>
          <w:lang w:eastAsia="en-GB"/>
        </w:rPr>
        <w:t xml:space="preserve"> and</w:t>
      </w:r>
      <w:r w:rsidRPr="2430E17A">
        <w:rPr>
          <w:rFonts w:ascii="Times New Roman" w:eastAsia="Times New Roman" w:hAnsi="Times New Roman" w:cstheme="majorBidi"/>
          <w:lang w:eastAsia="en-GB"/>
        </w:rPr>
        <w:t xml:space="preserve"> kept at -80</w:t>
      </w:r>
      <w:r w:rsidRPr="2430E17A">
        <w:rPr>
          <w:rFonts w:ascii="Times New Roman" w:eastAsia="Times New Roman" w:hAnsi="Times New Roman" w:cs="Times New Roman"/>
          <w:color w:val="000000" w:themeColor="text1"/>
          <w:lang w:eastAsia="en-GB"/>
        </w:rPr>
        <w:t>°</w:t>
      </w:r>
      <w:r w:rsidRPr="2430E17A">
        <w:rPr>
          <w:rFonts w:ascii="Times New Roman" w:eastAsia="Times New Roman" w:hAnsi="Times New Roman" w:cstheme="majorBidi"/>
          <w:lang w:eastAsia="en-GB"/>
        </w:rPr>
        <w:t>C</w:t>
      </w:r>
      <w:r w:rsidR="00E80E48" w:rsidRPr="2430E17A">
        <w:rPr>
          <w:rFonts w:ascii="Times New Roman" w:eastAsia="Times New Roman" w:hAnsi="Times New Roman" w:cstheme="majorBidi"/>
          <w:lang w:eastAsia="en-GB"/>
        </w:rPr>
        <w:t xml:space="preserve"> </w:t>
      </w:r>
      <w:r w:rsidRPr="2430E17A">
        <w:rPr>
          <w:rFonts w:ascii="Times New Roman" w:eastAsia="Times New Roman" w:hAnsi="Times New Roman" w:cstheme="majorBidi"/>
          <w:lang w:eastAsia="en-GB"/>
        </w:rPr>
        <w:t>were brought to RT. 350 µl of 70% ethanol (v/v) was then added and mixed well by pipetting up and down. Next, 350 µl of the sample mixture, including any precipitate, was transferred to RNeasy mini spin column placed in 2 ml collection tube (supplied) with the lid closed, centrifuged at 9000 rpm</w:t>
      </w:r>
      <w:r w:rsidR="096A17F8" w:rsidRPr="2430E17A">
        <w:rPr>
          <w:rFonts w:ascii="Times New Roman" w:eastAsia="Times New Roman" w:hAnsi="Times New Roman" w:cstheme="majorBidi"/>
          <w:lang w:eastAsia="en-GB"/>
        </w:rPr>
        <w:t xml:space="preserve"> using a microcentrifuge</w:t>
      </w:r>
      <w:r w:rsidRPr="2430E17A">
        <w:rPr>
          <w:rFonts w:ascii="Times New Roman" w:eastAsia="Times New Roman" w:hAnsi="Times New Roman" w:cs="Times New Roman"/>
          <w:sz w:val="16"/>
          <w:szCs w:val="16"/>
          <w:lang w:eastAsia="en-GB"/>
        </w:rPr>
        <w:t xml:space="preserve"> </w:t>
      </w:r>
      <w:r w:rsidRPr="2430E17A">
        <w:rPr>
          <w:rFonts w:ascii="Times New Roman" w:eastAsia="Times New Roman" w:hAnsi="Times New Roman" w:cstheme="majorBidi"/>
          <w:lang w:eastAsia="en-GB"/>
        </w:rPr>
        <w:t>for 15 sec, and the flow through discarded (i.e., nucleic acids are on the column). The rest of the suspension (cell lysate in RLT and ethanol mixture) were added to the column and centrifugation repeated and the flow through discarded, now RNA and DNA on the column. Then, 350 µl of buffer RW1 (wash buffer; provided by the kit) was added to each sample, centrifuged at 9000 rpm</w:t>
      </w:r>
      <w:r w:rsidRPr="2430E17A">
        <w:rPr>
          <w:rFonts w:ascii="Times New Roman" w:eastAsia="Times New Roman" w:hAnsi="Times New Roman" w:cs="Times New Roman"/>
          <w:sz w:val="16"/>
          <w:szCs w:val="16"/>
          <w:lang w:eastAsia="en-GB"/>
        </w:rPr>
        <w:t xml:space="preserve"> </w:t>
      </w:r>
      <w:r w:rsidR="1A9442FA" w:rsidRPr="2430E17A">
        <w:rPr>
          <w:rFonts w:ascii="Times New Roman" w:eastAsia="Times New Roman" w:hAnsi="Times New Roman" w:cs="Times New Roman"/>
          <w:lang w:eastAsia="en-GB"/>
        </w:rPr>
        <w:t>in a microcentrifuge</w:t>
      </w:r>
      <w:r w:rsidR="1A9442FA" w:rsidRPr="2430E17A">
        <w:rPr>
          <w:rFonts w:ascii="Times New Roman" w:eastAsia="Times New Roman" w:hAnsi="Times New Roman" w:cs="Times New Roman"/>
          <w:sz w:val="16"/>
          <w:szCs w:val="16"/>
          <w:lang w:eastAsia="en-GB"/>
        </w:rPr>
        <w:t xml:space="preserve"> </w:t>
      </w:r>
      <w:r w:rsidRPr="2430E17A">
        <w:rPr>
          <w:rFonts w:ascii="Times New Roman" w:eastAsia="Times New Roman" w:hAnsi="Times New Roman" w:cstheme="majorBidi"/>
          <w:lang w:eastAsia="en-GB"/>
        </w:rPr>
        <w:t>for 15 sec, and the flow through discarded. Next, 80 µl of combined 10 µl of DNase I (previously prepared and kept at -20</w:t>
      </w:r>
      <w:r w:rsidRPr="2430E17A">
        <w:rPr>
          <w:rFonts w:ascii="Times New Roman" w:eastAsia="Times New Roman" w:hAnsi="Times New Roman" w:cs="Times New Roman"/>
          <w:color w:val="000000" w:themeColor="text1"/>
          <w:lang w:eastAsia="en-GB"/>
        </w:rPr>
        <w:t>°</w:t>
      </w:r>
      <w:r w:rsidRPr="2430E17A">
        <w:rPr>
          <w:rFonts w:ascii="Times New Roman" w:eastAsia="Times New Roman" w:hAnsi="Times New Roman" w:cstheme="majorBidi"/>
          <w:lang w:eastAsia="en-GB"/>
        </w:rPr>
        <w:t>C) and 70 µl of RDD buffer (kept at 2-8</w:t>
      </w:r>
      <w:r w:rsidRPr="2430E17A">
        <w:rPr>
          <w:rFonts w:ascii="Times New Roman" w:eastAsia="Times New Roman" w:hAnsi="Times New Roman" w:cs="Times New Roman"/>
          <w:color w:val="000000" w:themeColor="text1"/>
          <w:lang w:eastAsia="en-GB"/>
        </w:rPr>
        <w:t>°</w:t>
      </w:r>
      <w:r w:rsidRPr="2430E17A">
        <w:rPr>
          <w:rFonts w:ascii="Times New Roman" w:eastAsia="Times New Roman" w:hAnsi="Times New Roman" w:cstheme="majorBidi"/>
          <w:lang w:eastAsia="en-GB"/>
        </w:rPr>
        <w:t xml:space="preserve">C) was added to centre of the column and incubated for 15 min at RT. Then, 350 µl of RWI buffer was added, centrifuged at 9000 rpm </w:t>
      </w:r>
      <w:r w:rsidR="658222D1" w:rsidRPr="2430E17A">
        <w:rPr>
          <w:rFonts w:ascii="Times New Roman" w:eastAsia="Times New Roman" w:hAnsi="Times New Roman" w:cstheme="majorBidi"/>
          <w:lang w:eastAsia="en-GB"/>
        </w:rPr>
        <w:t>in a microcentrifuge f</w:t>
      </w:r>
      <w:r w:rsidRPr="2430E17A">
        <w:rPr>
          <w:rFonts w:ascii="Times New Roman" w:eastAsia="Times New Roman" w:hAnsi="Times New Roman" w:cstheme="majorBidi"/>
          <w:lang w:eastAsia="en-GB"/>
        </w:rPr>
        <w:t xml:space="preserve">or 15 sec, and the flow discarded. 500 µl of buffer RPE (wash buffer provided in the kit and constituted with ethanol at 1:5) was added followed by centrifugation </w:t>
      </w:r>
      <w:r w:rsidR="06B3E25B" w:rsidRPr="2430E17A">
        <w:rPr>
          <w:rFonts w:ascii="Times New Roman" w:eastAsia="Times New Roman" w:hAnsi="Times New Roman" w:cstheme="majorBidi"/>
          <w:lang w:eastAsia="en-GB"/>
        </w:rPr>
        <w:t xml:space="preserve">in a microcentrifuge </w:t>
      </w:r>
      <w:r w:rsidRPr="2430E17A">
        <w:rPr>
          <w:rFonts w:ascii="Times New Roman" w:eastAsia="Times New Roman" w:hAnsi="Times New Roman" w:cstheme="majorBidi"/>
          <w:lang w:eastAsia="en-GB"/>
        </w:rPr>
        <w:t>at 9000 rpm</w:t>
      </w:r>
      <w:r w:rsidRPr="2430E17A">
        <w:rPr>
          <w:rFonts w:ascii="Times New Roman" w:eastAsia="Times New Roman" w:hAnsi="Times New Roman" w:cs="Times New Roman"/>
          <w:sz w:val="16"/>
          <w:szCs w:val="16"/>
          <w:lang w:eastAsia="en-GB"/>
        </w:rPr>
        <w:t xml:space="preserve"> </w:t>
      </w:r>
      <w:r w:rsidRPr="2430E17A">
        <w:rPr>
          <w:rFonts w:ascii="Times New Roman" w:eastAsia="Times New Roman" w:hAnsi="Times New Roman" w:cstheme="majorBidi"/>
          <w:lang w:eastAsia="en-GB"/>
        </w:rPr>
        <w:t xml:space="preserve">for 15 sec, </w:t>
      </w:r>
      <w:r w:rsidR="1A3FB89A" w:rsidRPr="2430E17A">
        <w:rPr>
          <w:rFonts w:ascii="Times New Roman" w:eastAsia="Times New Roman" w:hAnsi="Times New Roman" w:cstheme="majorBidi"/>
          <w:lang w:eastAsia="en-GB"/>
        </w:rPr>
        <w:t xml:space="preserve">and </w:t>
      </w:r>
      <w:r w:rsidRPr="2430E17A">
        <w:rPr>
          <w:rFonts w:ascii="Times New Roman" w:eastAsia="Times New Roman" w:hAnsi="Times New Roman" w:cstheme="majorBidi"/>
          <w:lang w:eastAsia="en-GB"/>
        </w:rPr>
        <w:t xml:space="preserve">the flow discarded. Finally, 500 µl of RPE was added and centrifuged at 9000 rpm </w:t>
      </w:r>
      <w:r w:rsidR="4B3B2BCE" w:rsidRPr="2430E17A">
        <w:rPr>
          <w:rFonts w:ascii="Times New Roman" w:eastAsia="Times New Roman" w:hAnsi="Times New Roman" w:cstheme="majorBidi"/>
          <w:lang w:eastAsia="en-GB"/>
        </w:rPr>
        <w:t xml:space="preserve">in a microcentrifuge </w:t>
      </w:r>
      <w:r w:rsidRPr="2430E17A">
        <w:rPr>
          <w:rFonts w:ascii="Times New Roman" w:eastAsia="Times New Roman" w:hAnsi="Times New Roman" w:cstheme="majorBidi"/>
          <w:lang w:eastAsia="en-GB"/>
        </w:rPr>
        <w:t>for 2 min, and the flow discarded. After drying the column by centrifugation at 1300 rpm</w:t>
      </w:r>
      <w:r w:rsidRPr="2430E17A">
        <w:rPr>
          <w:rFonts w:ascii="Times New Roman" w:eastAsia="Times New Roman" w:hAnsi="Times New Roman" w:cs="Times New Roman"/>
          <w:sz w:val="16"/>
          <w:szCs w:val="16"/>
          <w:lang w:eastAsia="en-GB"/>
        </w:rPr>
        <w:t xml:space="preserve"> </w:t>
      </w:r>
      <w:r w:rsidR="49DF3543" w:rsidRPr="2430E17A">
        <w:rPr>
          <w:rFonts w:ascii="Times New Roman" w:eastAsia="Times New Roman" w:hAnsi="Times New Roman" w:cs="Times New Roman"/>
          <w:lang w:eastAsia="en-GB"/>
        </w:rPr>
        <w:t>in a microcentrifuge</w:t>
      </w:r>
      <w:r w:rsidR="49DF3543" w:rsidRPr="2430E17A">
        <w:rPr>
          <w:rFonts w:ascii="Times New Roman" w:eastAsia="Times New Roman" w:hAnsi="Times New Roman" w:cs="Times New Roman"/>
          <w:sz w:val="16"/>
          <w:szCs w:val="16"/>
          <w:lang w:eastAsia="en-GB"/>
        </w:rPr>
        <w:t xml:space="preserve"> </w:t>
      </w:r>
      <w:r w:rsidRPr="2430E17A">
        <w:rPr>
          <w:rFonts w:ascii="Times New Roman" w:eastAsia="Times New Roman" w:hAnsi="Times New Roman" w:cstheme="majorBidi"/>
          <w:lang w:eastAsia="en-GB"/>
        </w:rPr>
        <w:t xml:space="preserve">for 1 min, the RNeasy column was then placed into a new 1.5 ml collection tube (supplied in the kit). A 30 µl RNase free water was added directly to the column membrane, the lid closed and centrifuged at 9000 rpm </w:t>
      </w:r>
      <w:r w:rsidR="77307FF5" w:rsidRPr="2430E17A">
        <w:rPr>
          <w:rFonts w:ascii="Times New Roman" w:eastAsia="Times New Roman" w:hAnsi="Times New Roman" w:cstheme="majorBidi"/>
          <w:lang w:eastAsia="en-GB"/>
        </w:rPr>
        <w:t xml:space="preserve">in a microcentrifuge </w:t>
      </w:r>
      <w:r w:rsidRPr="2430E17A">
        <w:rPr>
          <w:rFonts w:ascii="Times New Roman" w:eastAsia="Times New Roman" w:hAnsi="Times New Roman" w:cstheme="majorBidi"/>
          <w:lang w:eastAsia="en-GB"/>
        </w:rPr>
        <w:t>for 1 min</w:t>
      </w:r>
      <w:r w:rsidRPr="2430E17A">
        <w:rPr>
          <w:rFonts w:ascii="Times New Roman" w:eastAsia="Times New Roman" w:hAnsi="Times New Roman" w:cs="Times New Roman"/>
          <w:sz w:val="16"/>
          <w:szCs w:val="16"/>
          <w:lang w:eastAsia="en-GB"/>
        </w:rPr>
        <w:t xml:space="preserve"> </w:t>
      </w:r>
      <w:r w:rsidRPr="2430E17A">
        <w:rPr>
          <w:rFonts w:ascii="Times New Roman" w:eastAsia="Times New Roman" w:hAnsi="Times New Roman" w:cstheme="majorBidi"/>
          <w:lang w:eastAsia="en-GB"/>
        </w:rPr>
        <w:t>to elute RNA. The column was now discarded, and the collection tubes, which contain</w:t>
      </w:r>
      <w:r w:rsidR="4E53827F" w:rsidRPr="2430E17A">
        <w:rPr>
          <w:rFonts w:ascii="Times New Roman" w:eastAsia="Times New Roman" w:hAnsi="Times New Roman" w:cstheme="majorBidi"/>
          <w:lang w:eastAsia="en-GB"/>
        </w:rPr>
        <w:t>s</w:t>
      </w:r>
      <w:r w:rsidRPr="2430E17A">
        <w:rPr>
          <w:rFonts w:ascii="Times New Roman" w:eastAsia="Times New Roman" w:hAnsi="Times New Roman" w:cstheme="majorBidi"/>
          <w:lang w:eastAsia="en-GB"/>
        </w:rPr>
        <w:t xml:space="preserve"> RNA, were </w:t>
      </w:r>
      <w:r w:rsidRPr="2430E17A">
        <w:rPr>
          <w:rFonts w:ascii="Times New Roman" w:eastAsia="Times New Roman" w:hAnsi="Times New Roman" w:cstheme="majorBidi"/>
          <w:lang w:eastAsia="en-GB"/>
        </w:rPr>
        <w:lastRenderedPageBreak/>
        <w:t>kept at -80</w:t>
      </w:r>
      <w:r w:rsidRPr="2430E17A">
        <w:rPr>
          <w:rFonts w:ascii="Times New Roman" w:eastAsia="Times New Roman" w:hAnsi="Times New Roman" w:cs="Times New Roman"/>
          <w:lang w:eastAsia="en-GB"/>
        </w:rPr>
        <w:t>°</w:t>
      </w:r>
      <w:r w:rsidRPr="2430E17A">
        <w:rPr>
          <w:rFonts w:ascii="Times New Roman" w:eastAsia="Times New Roman" w:hAnsi="Times New Roman" w:cstheme="majorBidi"/>
          <w:lang w:eastAsia="en-GB"/>
        </w:rPr>
        <w:t xml:space="preserve">C ready for </w:t>
      </w:r>
      <w:r w:rsidR="00A90BF2" w:rsidRPr="2430E17A">
        <w:rPr>
          <w:rFonts w:ascii="Times New Roman" w:eastAsia="Times New Roman" w:hAnsi="Times New Roman" w:cs="Times New Roman"/>
          <w:lang w:eastAsia="en-GB"/>
        </w:rPr>
        <w:t xml:space="preserve">quality </w:t>
      </w:r>
      <w:r w:rsidRPr="2430E17A">
        <w:rPr>
          <w:rFonts w:ascii="Times New Roman" w:eastAsia="Times New Roman" w:hAnsi="Times New Roman" w:cs="Times New Roman"/>
          <w:lang w:eastAsia="en-GB"/>
        </w:rPr>
        <w:t>control (</w:t>
      </w:r>
      <w:r w:rsidRPr="2430E17A">
        <w:rPr>
          <w:rFonts w:ascii="Times New Roman" w:eastAsia="Times New Roman" w:hAnsi="Times New Roman" w:cstheme="majorBidi"/>
          <w:lang w:eastAsia="en-GB"/>
        </w:rPr>
        <w:t xml:space="preserve">QC) check and future library constructions. </w:t>
      </w:r>
      <w:r w:rsidRPr="2430E17A">
        <w:rPr>
          <w:rFonts w:ascii="Times New Roman" w:eastAsia="Times New Roman" w:hAnsi="Times New Roman" w:cs="Times New Roman"/>
          <w:color w:val="000000" w:themeColor="text1"/>
          <w:lang w:eastAsia="en-GB"/>
        </w:rPr>
        <w:t xml:space="preserve">A quality control check for RNA was performed. </w:t>
      </w:r>
      <w:r w:rsidRPr="2430E17A">
        <w:rPr>
          <w:rFonts w:ascii="Times New Roman" w:eastAsia="Times New Roman" w:hAnsi="Times New Roman" w:cstheme="majorBidi"/>
          <w:lang w:eastAsia="en-GB"/>
        </w:rPr>
        <w:t>QC</w:t>
      </w:r>
      <w:r w:rsidRPr="2430E17A">
        <w:rPr>
          <w:rFonts w:ascii="Times New Roman" w:eastAsia="Times New Roman" w:hAnsi="Times New Roman" w:cs="Times New Roman"/>
          <w:lang w:eastAsia="en-GB"/>
        </w:rPr>
        <w:t xml:space="preserve"> parameters were applied under the guidance available for library construction </w:t>
      </w:r>
      <w:r w:rsidRPr="2430E17A">
        <w:rPr>
          <w:rFonts w:ascii="Times New Roman" w:eastAsia="Times New Roman" w:hAnsi="Times New Roman" w:cs="Times New Roman"/>
          <w:lang w:val="en-US" w:eastAsia="en-GB"/>
        </w:rPr>
        <w:t xml:space="preserve">using </w:t>
      </w:r>
      <w:bookmarkStart w:id="3" w:name="_Toc51454396"/>
      <w:r w:rsidRPr="2430E17A">
        <w:rPr>
          <w:rFonts w:ascii="Times New Roman" w:eastAsia="Times New Roman" w:hAnsi="Times New Roman" w:cs="Times New Roman"/>
          <w:lang w:val="en-US" w:eastAsia="en-GB"/>
        </w:rPr>
        <w:t xml:space="preserve">nanodrop spectrophotometer </w:t>
      </w:r>
      <w:r w:rsidRPr="2430E17A">
        <w:rPr>
          <w:rFonts w:asciiTheme="majorBidi" w:eastAsia="Times New Roman" w:hAnsiTheme="majorBidi" w:cstheme="majorBidi"/>
          <w:lang w:eastAsia="en-GB"/>
        </w:rPr>
        <w:t xml:space="preserve">(Thermo Scientific) </w:t>
      </w:r>
      <w:r w:rsidRPr="2430E17A">
        <w:rPr>
          <w:rFonts w:ascii="Times New Roman" w:eastAsia="Times New Roman" w:hAnsi="Times New Roman" w:cs="Times New Roman"/>
          <w:lang w:val="en-US" w:eastAsia="en-GB"/>
        </w:rPr>
        <w:t xml:space="preserve">and Agilent 4200 </w:t>
      </w:r>
      <w:proofErr w:type="spellStart"/>
      <w:r w:rsidRPr="2430E17A">
        <w:rPr>
          <w:rFonts w:ascii="Times New Roman" w:eastAsia="Times New Roman" w:hAnsi="Times New Roman" w:cs="Times New Roman"/>
          <w:lang w:val="en-US" w:eastAsia="en-GB"/>
        </w:rPr>
        <w:t>TapeStation</w:t>
      </w:r>
      <w:proofErr w:type="spellEnd"/>
      <w:r w:rsidRPr="2430E17A">
        <w:rPr>
          <w:rFonts w:ascii="Times New Roman" w:eastAsia="Times New Roman" w:hAnsi="Times New Roman" w:cs="Times New Roman"/>
          <w:lang w:val="en-US" w:eastAsia="en-GB"/>
        </w:rPr>
        <w:t xml:space="preserve"> System and RNA </w:t>
      </w:r>
      <w:proofErr w:type="spellStart"/>
      <w:r w:rsidRPr="2430E17A">
        <w:rPr>
          <w:rFonts w:ascii="Times New Roman" w:eastAsia="Times New Roman" w:hAnsi="Times New Roman" w:cs="Times New Roman"/>
          <w:lang w:val="en-US" w:eastAsia="en-GB"/>
        </w:rPr>
        <w:t>ScreenTape</w:t>
      </w:r>
      <w:proofErr w:type="spellEnd"/>
      <w:r w:rsidRPr="2430E17A">
        <w:rPr>
          <w:rFonts w:ascii="Times New Roman" w:eastAsia="Times New Roman" w:hAnsi="Times New Roman" w:cs="Times New Roman"/>
          <w:lang w:val="en-US" w:eastAsia="en-GB"/>
        </w:rPr>
        <w:t xml:space="preserve"> kit (Agilent Technologies, UK). </w:t>
      </w:r>
    </w:p>
    <w:p w14:paraId="4032ED79" w14:textId="77777777" w:rsidR="00F42BAF" w:rsidRPr="00F42BAF" w:rsidRDefault="00F42BAF" w:rsidP="00F42BAF">
      <w:pPr>
        <w:spacing w:line="276" w:lineRule="auto"/>
        <w:jc w:val="both"/>
        <w:rPr>
          <w:rFonts w:ascii="Times New Roman" w:eastAsia="Times New Roman" w:hAnsi="Times New Roman" w:cs="Times New Roman"/>
          <w:lang w:val="en-US" w:eastAsia="en-GB"/>
        </w:rPr>
      </w:pPr>
    </w:p>
    <w:p w14:paraId="7CCCFF37" w14:textId="77777777" w:rsidR="00F42BAF" w:rsidRPr="00F42BAF" w:rsidRDefault="00F42BAF" w:rsidP="00F42BAF">
      <w:pPr>
        <w:spacing w:line="276" w:lineRule="auto"/>
        <w:jc w:val="both"/>
        <w:rPr>
          <w:rFonts w:ascii="Times New Roman" w:eastAsia="Times New Roman" w:hAnsi="Times New Roman" w:cs="Times New Roman"/>
          <w:b/>
          <w:bCs/>
          <w:lang w:val="en-US" w:eastAsia="en-GB"/>
        </w:rPr>
      </w:pPr>
      <w:r w:rsidRPr="00F42BAF">
        <w:rPr>
          <w:rFonts w:ascii="Times New Roman" w:eastAsia="Times New Roman" w:hAnsi="Times New Roman" w:cs="Times New Roman"/>
          <w:b/>
          <w:bCs/>
          <w:lang w:val="en-US" w:eastAsia="en-GB"/>
        </w:rPr>
        <w:t>Nanodrop spectrophotometer</w:t>
      </w:r>
    </w:p>
    <w:p w14:paraId="5F67CD07" w14:textId="6F1A7411" w:rsidR="00F42BAF" w:rsidRPr="00F42BAF" w:rsidRDefault="00F42BAF" w:rsidP="00F42BAF">
      <w:pPr>
        <w:spacing w:line="276" w:lineRule="auto"/>
        <w:jc w:val="both"/>
        <w:rPr>
          <w:rFonts w:ascii="Times New Roman" w:eastAsia="Times New Roman" w:hAnsi="Times New Roman" w:cs="Times New Roman"/>
          <w:b/>
          <w:bCs/>
          <w:lang w:eastAsia="en-GB"/>
        </w:rPr>
      </w:pPr>
      <w:r w:rsidRPr="00F42BAF">
        <w:rPr>
          <w:rFonts w:asciiTheme="majorBidi" w:eastAsia="Times New Roman" w:hAnsiTheme="majorBidi" w:cstheme="majorBidi"/>
          <w:lang w:eastAsia="en-GB"/>
        </w:rPr>
        <w:t>Following extraction, defrosted total RNA samples were quantified and quality-assessed using th</w:t>
      </w:r>
      <w:r w:rsidR="009D4695">
        <w:rPr>
          <w:rFonts w:asciiTheme="majorBidi" w:eastAsia="Times New Roman" w:hAnsiTheme="majorBidi" w:cstheme="majorBidi"/>
          <w:lang w:eastAsia="en-GB"/>
        </w:rPr>
        <w:t>e</w:t>
      </w:r>
      <w:r w:rsidRPr="00F42BAF">
        <w:rPr>
          <w:rFonts w:asciiTheme="majorBidi" w:eastAsia="Times New Roman" w:hAnsiTheme="majorBidi" w:cstheme="majorBidi"/>
          <w:lang w:eastAsia="en-GB"/>
        </w:rPr>
        <w:t xml:space="preserve"> Nanodrop ND-2000 spectrophotometer VX (Thermo Scientific). Nanodrop permits RNA quantification with high accuracy, reproducibility, and low sample consumption (1 </w:t>
      </w:r>
      <w:proofErr w:type="spellStart"/>
      <w:r w:rsidRPr="00F42BAF">
        <w:rPr>
          <w:rFonts w:asciiTheme="majorBidi" w:eastAsia="Times New Roman" w:hAnsiTheme="majorBidi" w:cstheme="majorBidi"/>
          <w:lang w:eastAsia="en-GB"/>
        </w:rPr>
        <w:t>μl</w:t>
      </w:r>
      <w:proofErr w:type="spellEnd"/>
      <w:r w:rsidRPr="00F42BAF">
        <w:rPr>
          <w:rFonts w:asciiTheme="majorBidi" w:eastAsia="Times New Roman" w:hAnsiTheme="majorBidi" w:cstheme="majorBidi"/>
          <w:lang w:eastAsia="en-GB"/>
        </w:rPr>
        <w:t xml:space="preserve"> of total RNA). The values of the absorbance measurements reflect the concentration and purity of the RNA samples. The ratio of absorbance at 260 nm and 230 nm is frequently considered when assessing nucleic acid purity, typical 260/230 ratios are in the range of 2.0-2.2. Also, the 260/280 ratio is used to assess RNA purity with a ratio of 2 generally accepted as pure for RNA.</w:t>
      </w:r>
    </w:p>
    <w:p w14:paraId="2C315CB0" w14:textId="77777777" w:rsidR="00F42BAF" w:rsidRPr="00F42BAF" w:rsidRDefault="00F42BAF" w:rsidP="00F42BAF">
      <w:pPr>
        <w:spacing w:line="276" w:lineRule="auto"/>
        <w:jc w:val="both"/>
        <w:rPr>
          <w:rFonts w:ascii="Times New Roman" w:eastAsia="Times New Roman" w:hAnsi="Times New Roman" w:cs="Times New Roman"/>
          <w:lang w:val="en-US" w:eastAsia="en-GB"/>
        </w:rPr>
      </w:pPr>
    </w:p>
    <w:p w14:paraId="7CBD88ED" w14:textId="0D73D0AE" w:rsidR="00F42BAF" w:rsidRPr="00F42BAF" w:rsidRDefault="00F42BAF" w:rsidP="00F42BAF">
      <w:pPr>
        <w:spacing w:line="276" w:lineRule="auto"/>
        <w:jc w:val="both"/>
        <w:rPr>
          <w:rFonts w:ascii="Times New Roman" w:eastAsia="Times New Roman" w:hAnsi="Times New Roman" w:cs="Times New Roman"/>
          <w:b/>
          <w:bCs/>
          <w:lang w:eastAsia="en-GB"/>
        </w:rPr>
      </w:pPr>
      <w:r w:rsidRPr="00F42BAF">
        <w:rPr>
          <w:rFonts w:ascii="Times New Roman" w:eastAsia="Times New Roman" w:hAnsi="Times New Roman" w:cs="Times New Roman"/>
          <w:b/>
          <w:bCs/>
          <w:lang w:eastAsia="en-GB"/>
        </w:rPr>
        <w:t xml:space="preserve">Agilent 4200 </w:t>
      </w:r>
      <w:proofErr w:type="spellStart"/>
      <w:r w:rsidRPr="00F42BAF">
        <w:rPr>
          <w:rFonts w:ascii="Times New Roman" w:eastAsia="Times New Roman" w:hAnsi="Times New Roman" w:cs="Times New Roman"/>
          <w:b/>
          <w:bCs/>
          <w:lang w:eastAsia="en-GB"/>
        </w:rPr>
        <w:t>TapeStation</w:t>
      </w:r>
      <w:bookmarkEnd w:id="3"/>
      <w:proofErr w:type="spellEnd"/>
      <w:r w:rsidRPr="00F42BAF">
        <w:rPr>
          <w:rFonts w:ascii="Times New Roman" w:eastAsia="Times New Roman" w:hAnsi="Times New Roman" w:cs="Times New Roman"/>
          <w:b/>
          <w:bCs/>
          <w:lang w:eastAsia="en-GB"/>
        </w:rPr>
        <w:t xml:space="preserve"> assa</w:t>
      </w:r>
      <w:r w:rsidR="009D4695">
        <w:rPr>
          <w:rFonts w:ascii="Times New Roman" w:eastAsia="Times New Roman" w:hAnsi="Times New Roman" w:cs="Times New Roman"/>
          <w:b/>
          <w:bCs/>
          <w:lang w:eastAsia="en-GB"/>
        </w:rPr>
        <w:t>y</w:t>
      </w:r>
    </w:p>
    <w:p w14:paraId="0E3AE6C2" w14:textId="4D6F9A7D" w:rsidR="00F42BAF" w:rsidRDefault="00F42BAF" w:rsidP="00F42BAF">
      <w:pPr>
        <w:spacing w:line="276" w:lineRule="auto"/>
        <w:jc w:val="both"/>
        <w:rPr>
          <w:rFonts w:asciiTheme="majorBidi" w:eastAsia="Times New Roman" w:hAnsiTheme="majorBidi" w:cstheme="majorBidi"/>
          <w:lang w:eastAsia="en-GB"/>
        </w:rPr>
      </w:pPr>
      <w:r w:rsidRPr="2430E17A">
        <w:rPr>
          <w:rFonts w:asciiTheme="majorBidi" w:eastAsia="Times New Roman" w:hAnsiTheme="majorBidi" w:cstheme="majorBidi"/>
          <w:color w:val="262626" w:themeColor="text1" w:themeTint="D9"/>
          <w:lang w:eastAsia="en-GB"/>
        </w:rPr>
        <w:t xml:space="preserve">Total RNA QC check was assessed using </w:t>
      </w:r>
      <w:r w:rsidRPr="2430E17A">
        <w:rPr>
          <w:rFonts w:asciiTheme="majorBidi" w:eastAsia="Times New Roman" w:hAnsiTheme="majorBidi" w:cstheme="majorBidi"/>
          <w:lang w:eastAsia="en-GB"/>
        </w:rPr>
        <w:t xml:space="preserve">Agilent 4200 </w:t>
      </w:r>
      <w:proofErr w:type="spellStart"/>
      <w:r w:rsidRPr="2430E17A">
        <w:rPr>
          <w:rFonts w:asciiTheme="majorBidi" w:eastAsia="Times New Roman" w:hAnsiTheme="majorBidi" w:cstheme="majorBidi"/>
          <w:lang w:eastAsia="en-GB"/>
        </w:rPr>
        <w:t>TapeStation</w:t>
      </w:r>
      <w:proofErr w:type="spellEnd"/>
      <w:r w:rsidRPr="2430E17A">
        <w:rPr>
          <w:rFonts w:asciiTheme="majorBidi" w:eastAsia="Times New Roman" w:hAnsiTheme="majorBidi" w:cstheme="majorBidi"/>
          <w:lang w:eastAsia="en-GB"/>
        </w:rPr>
        <w:t xml:space="preserve"> </w:t>
      </w:r>
      <w:r w:rsidRPr="2430E17A">
        <w:rPr>
          <w:rFonts w:asciiTheme="majorBidi" w:eastAsia="Times New Roman" w:hAnsiTheme="majorBidi" w:cstheme="majorBidi"/>
          <w:color w:val="262626" w:themeColor="text1" w:themeTint="D9"/>
          <w:lang w:eastAsia="en-GB"/>
        </w:rPr>
        <w:t>System</w:t>
      </w:r>
      <w:r w:rsidRPr="2430E17A">
        <w:rPr>
          <w:rFonts w:asciiTheme="majorBidi" w:eastAsia="Times New Roman" w:hAnsiTheme="majorBidi" w:cstheme="majorBidi"/>
          <w:lang w:eastAsia="en-GB"/>
        </w:rPr>
        <w:t xml:space="preserve"> and RNA </w:t>
      </w:r>
      <w:proofErr w:type="spellStart"/>
      <w:r w:rsidRPr="2430E17A">
        <w:rPr>
          <w:rFonts w:asciiTheme="majorBidi" w:eastAsia="Times New Roman" w:hAnsiTheme="majorBidi" w:cstheme="majorBidi"/>
          <w:lang w:eastAsia="en-GB"/>
        </w:rPr>
        <w:t>ScreenTape</w:t>
      </w:r>
      <w:proofErr w:type="spellEnd"/>
      <w:r w:rsidRPr="2430E17A">
        <w:rPr>
          <w:rFonts w:asciiTheme="majorBidi" w:eastAsia="Times New Roman" w:hAnsiTheme="majorBidi" w:cstheme="majorBidi"/>
          <w:lang w:eastAsia="en-GB"/>
        </w:rPr>
        <w:t xml:space="preserve"> kit (Agilent Technologies, UK)</w:t>
      </w:r>
      <w:r w:rsidRPr="2430E17A">
        <w:rPr>
          <w:rFonts w:asciiTheme="majorBidi" w:eastAsia="Times New Roman" w:hAnsiTheme="majorBidi" w:cstheme="majorBidi"/>
          <w:color w:val="262626" w:themeColor="text1" w:themeTint="D9"/>
          <w:lang w:eastAsia="en-GB"/>
        </w:rPr>
        <w:t xml:space="preserve">. </w:t>
      </w:r>
      <w:r w:rsidRPr="2430E17A">
        <w:rPr>
          <w:rFonts w:asciiTheme="majorBidi" w:eastAsia="Times New Roman" w:hAnsiTheme="majorBidi" w:cstheme="majorBidi"/>
          <w:lang w:eastAsia="en-GB"/>
        </w:rPr>
        <w:t xml:space="preserve">The credit card sized, disposable </w:t>
      </w:r>
      <w:proofErr w:type="spellStart"/>
      <w:r w:rsidRPr="2430E17A">
        <w:rPr>
          <w:rFonts w:asciiTheme="majorBidi" w:eastAsia="Times New Roman" w:hAnsiTheme="majorBidi" w:cstheme="majorBidi"/>
          <w:lang w:eastAsia="en-GB"/>
        </w:rPr>
        <w:t>ScreenTape</w:t>
      </w:r>
      <w:proofErr w:type="spellEnd"/>
      <w:r w:rsidRPr="2430E17A">
        <w:rPr>
          <w:rFonts w:asciiTheme="majorBidi" w:eastAsia="Times New Roman" w:hAnsiTheme="majorBidi" w:cstheme="majorBidi"/>
          <w:lang w:eastAsia="en-GB"/>
        </w:rPr>
        <w:t xml:space="preserve"> device carries multiple separation lanes for </w:t>
      </w:r>
      <w:r w:rsidR="00D943AE" w:rsidRPr="2430E17A">
        <w:rPr>
          <w:rFonts w:asciiTheme="majorBidi" w:eastAsia="Times New Roman" w:hAnsiTheme="majorBidi" w:cstheme="majorBidi"/>
          <w:lang w:eastAsia="en-GB"/>
        </w:rPr>
        <w:t>analysing</w:t>
      </w:r>
      <w:r w:rsidRPr="2430E17A">
        <w:rPr>
          <w:rFonts w:asciiTheme="majorBidi" w:eastAsia="Times New Roman" w:hAnsiTheme="majorBidi" w:cstheme="majorBidi"/>
          <w:lang w:eastAsia="en-GB"/>
        </w:rPr>
        <w:t xml:space="preserve"> RNA samples, the </w:t>
      </w:r>
      <w:proofErr w:type="spellStart"/>
      <w:r w:rsidRPr="2430E17A">
        <w:rPr>
          <w:rFonts w:asciiTheme="majorBidi" w:eastAsia="Times New Roman" w:hAnsiTheme="majorBidi" w:cstheme="majorBidi"/>
          <w:lang w:eastAsia="en-GB"/>
        </w:rPr>
        <w:t>ScreenTape</w:t>
      </w:r>
      <w:proofErr w:type="spellEnd"/>
      <w:r w:rsidRPr="2430E17A">
        <w:rPr>
          <w:rFonts w:asciiTheme="majorBidi" w:eastAsia="Times New Roman" w:hAnsiTheme="majorBidi" w:cstheme="majorBidi"/>
          <w:lang w:eastAsia="en-GB"/>
        </w:rPr>
        <w:t xml:space="preserve"> device has 16 lanes so that each sample is </w:t>
      </w:r>
      <w:r w:rsidR="00D943AE" w:rsidRPr="2430E17A">
        <w:rPr>
          <w:rFonts w:asciiTheme="majorBidi" w:eastAsia="Times New Roman" w:hAnsiTheme="majorBidi" w:cstheme="majorBidi"/>
          <w:lang w:eastAsia="en-GB"/>
        </w:rPr>
        <w:t>analysed</w:t>
      </w:r>
      <w:r w:rsidRPr="2430E17A">
        <w:rPr>
          <w:rFonts w:asciiTheme="majorBidi" w:eastAsia="Times New Roman" w:hAnsiTheme="majorBidi" w:cstheme="majorBidi"/>
          <w:lang w:eastAsia="en-GB"/>
        </w:rPr>
        <w:t xml:space="preserve"> in an individual lane, eliminating contamination. The integrated electrodes apply a current across the screen tape device. The gel through which the samples are </w:t>
      </w:r>
      <w:r w:rsidR="00D943AE" w:rsidRPr="2430E17A">
        <w:rPr>
          <w:rFonts w:asciiTheme="majorBidi" w:eastAsia="Times New Roman" w:hAnsiTheme="majorBidi" w:cstheme="majorBidi"/>
          <w:lang w:eastAsia="en-GB"/>
        </w:rPr>
        <w:t>analysed</w:t>
      </w:r>
      <w:r w:rsidRPr="2430E17A">
        <w:rPr>
          <w:rFonts w:asciiTheme="majorBidi" w:eastAsia="Times New Roman" w:hAnsiTheme="majorBidi" w:cstheme="majorBidi"/>
          <w:lang w:eastAsia="en-GB"/>
        </w:rPr>
        <w:t xml:space="preserve"> is contained within individual columns in the Tape. The </w:t>
      </w:r>
      <w:proofErr w:type="spellStart"/>
      <w:r w:rsidRPr="2430E17A">
        <w:rPr>
          <w:rFonts w:asciiTheme="majorBidi" w:eastAsia="Times New Roman" w:hAnsiTheme="majorBidi" w:cstheme="majorBidi"/>
          <w:lang w:eastAsia="en-GB"/>
        </w:rPr>
        <w:t>TapeStation</w:t>
      </w:r>
      <w:proofErr w:type="spellEnd"/>
      <w:r w:rsidRPr="2430E17A">
        <w:rPr>
          <w:rFonts w:asciiTheme="majorBidi" w:eastAsia="Times New Roman" w:hAnsiTheme="majorBidi" w:cstheme="majorBidi"/>
          <w:lang w:eastAsia="en-GB"/>
        </w:rPr>
        <w:t xml:space="preserve"> software automatically determines size, quantity, purity, </w:t>
      </w:r>
      <w:r w:rsidR="7D117EB3" w:rsidRPr="2430E17A">
        <w:rPr>
          <w:rFonts w:asciiTheme="majorBidi" w:eastAsia="Times New Roman" w:hAnsiTheme="majorBidi" w:cstheme="majorBidi"/>
          <w:lang w:eastAsia="en-GB"/>
        </w:rPr>
        <w:t xml:space="preserve">and </w:t>
      </w:r>
      <w:r w:rsidRPr="2430E17A">
        <w:rPr>
          <w:rFonts w:asciiTheme="majorBidi" w:eastAsia="Times New Roman" w:hAnsiTheme="majorBidi" w:cstheme="majorBidi"/>
          <w:lang w:eastAsia="en-GB"/>
        </w:rPr>
        <w:t xml:space="preserve">RNA integrity number (RIN) </w:t>
      </w:r>
      <w:r w:rsidR="1FC81A67" w:rsidRPr="2430E17A">
        <w:rPr>
          <w:rFonts w:asciiTheme="majorBidi" w:eastAsia="Times New Roman" w:hAnsiTheme="majorBidi" w:cstheme="majorBidi"/>
          <w:lang w:eastAsia="en-GB"/>
        </w:rPr>
        <w:t>thereby</w:t>
      </w:r>
      <w:r w:rsidRPr="2430E17A">
        <w:rPr>
          <w:rFonts w:asciiTheme="majorBidi" w:eastAsia="Times New Roman" w:hAnsiTheme="majorBidi" w:cstheme="majorBidi"/>
          <w:lang w:eastAsia="en-GB"/>
        </w:rPr>
        <w:t xml:space="preserve"> reducing errors. Samples were </w:t>
      </w:r>
      <w:r w:rsidR="00D943AE" w:rsidRPr="2430E17A">
        <w:rPr>
          <w:rFonts w:asciiTheme="majorBidi" w:eastAsia="Times New Roman" w:hAnsiTheme="majorBidi" w:cstheme="majorBidi"/>
          <w:lang w:eastAsia="en-GB"/>
        </w:rPr>
        <w:t>analysed</w:t>
      </w:r>
      <w:r w:rsidRPr="2430E17A">
        <w:rPr>
          <w:rFonts w:asciiTheme="majorBidi" w:eastAsia="Times New Roman" w:hAnsiTheme="majorBidi" w:cstheme="majorBidi"/>
          <w:lang w:eastAsia="en-GB"/>
        </w:rPr>
        <w:t xml:space="preserve"> relative </w:t>
      </w:r>
      <w:r w:rsidR="00A90BF2" w:rsidRPr="2430E17A">
        <w:rPr>
          <w:rFonts w:asciiTheme="majorBidi" w:eastAsia="Times New Roman" w:hAnsiTheme="majorBidi" w:cstheme="majorBidi"/>
          <w:lang w:eastAsia="en-GB"/>
        </w:rPr>
        <w:t xml:space="preserve">to the assay </w:t>
      </w:r>
      <w:r w:rsidRPr="2430E17A">
        <w:rPr>
          <w:rFonts w:asciiTheme="majorBidi" w:eastAsia="Times New Roman" w:hAnsiTheme="majorBidi" w:cstheme="majorBidi"/>
          <w:lang w:eastAsia="en-GB"/>
        </w:rPr>
        <w:t>specific ladder.</w:t>
      </w:r>
    </w:p>
    <w:p w14:paraId="02AA63B0" w14:textId="286E867B" w:rsidR="008847FF" w:rsidRDefault="008847FF"/>
    <w:p w14:paraId="6337DF55" w14:textId="283FA590" w:rsidR="00686D9D" w:rsidRDefault="00686D9D" w:rsidP="00686D9D">
      <w:pPr>
        <w:autoSpaceDE w:val="0"/>
        <w:autoSpaceDN w:val="0"/>
        <w:adjustRightInd w:val="0"/>
        <w:spacing w:line="276" w:lineRule="auto"/>
        <w:jc w:val="both"/>
        <w:rPr>
          <w:rFonts w:ascii="Times New Roman" w:eastAsia="Times New Roman" w:hAnsi="Times New Roman" w:cs="Times New Roman"/>
          <w:b/>
          <w:bCs/>
          <w:lang w:eastAsia="en-GB"/>
        </w:rPr>
      </w:pPr>
      <w:r w:rsidRPr="00F42BAF">
        <w:rPr>
          <w:rFonts w:ascii="Times New Roman" w:eastAsia="Times New Roman" w:hAnsi="Times New Roman" w:cs="Times New Roman"/>
          <w:b/>
          <w:bCs/>
          <w:lang w:eastAsia="en-GB"/>
        </w:rPr>
        <w:t>Supplementary Data S</w:t>
      </w:r>
      <w:r w:rsidR="00EE6339">
        <w:rPr>
          <w:rFonts w:ascii="Times New Roman" w:eastAsia="Times New Roman" w:hAnsi="Times New Roman" w:cs="Times New Roman"/>
          <w:b/>
          <w:bCs/>
          <w:lang w:eastAsia="en-GB"/>
        </w:rPr>
        <w:t>4</w:t>
      </w:r>
    </w:p>
    <w:p w14:paraId="53544EAE" w14:textId="0F4E39DC" w:rsidR="007644AF" w:rsidRPr="007644AF" w:rsidRDefault="007644AF" w:rsidP="00EF46B8">
      <w:pPr>
        <w:pStyle w:val="NormalWeb"/>
        <w:jc w:val="both"/>
        <w:rPr>
          <w:rFonts w:ascii="TimesNewRomanPSMT" w:hAnsi="TimesNewRomanPSMT" w:cs="TimesNewRomanPSMT"/>
        </w:rPr>
      </w:pPr>
      <w:r w:rsidRPr="007644AF">
        <w:rPr>
          <w:rFonts w:ascii="TimesNewRomanPSMT" w:hAnsi="TimesNewRomanPSMT" w:cs="TimesNewRomanPSMT"/>
          <w:b/>
          <w:bCs/>
        </w:rPr>
        <w:t>Upstream regulators as effectors following PNLA treatment</w:t>
      </w:r>
    </w:p>
    <w:p w14:paraId="5C861CA0" w14:textId="43C0B7B4" w:rsidR="0009530A" w:rsidRPr="006277D6" w:rsidRDefault="0009530A" w:rsidP="00EF46B8">
      <w:pPr>
        <w:pStyle w:val="NormalWeb"/>
        <w:jc w:val="both"/>
        <w:rPr>
          <w:rFonts w:ascii="TimesNewRomanPSMT" w:hAnsi="TimesNewRomanPSMT" w:cs="TimesNewRomanPSMT"/>
          <w:sz w:val="22"/>
          <w:szCs w:val="22"/>
        </w:rPr>
      </w:pPr>
      <w:r w:rsidRPr="006277D6">
        <w:rPr>
          <w:rFonts w:ascii="TimesNewRomanPSMT" w:hAnsi="TimesNewRomanPSMT" w:cs="TimesNewRomanPSMT"/>
          <w:sz w:val="22"/>
          <w:szCs w:val="22"/>
        </w:rPr>
        <w:t>IPA also provides a prediction of the likely upstream regulators responsible for the expression changes observed in the experimental dataset (</w:t>
      </w:r>
      <w:r w:rsidRPr="006277D6">
        <w:rPr>
          <w:rFonts w:ascii="TimesNewRomanPS" w:hAnsi="TimesNewRomanPS"/>
          <w:b/>
          <w:bCs/>
          <w:sz w:val="22"/>
          <w:szCs w:val="22"/>
        </w:rPr>
        <w:t>Supplementary Table S4/</w:t>
      </w:r>
      <w:r w:rsidRPr="006277D6">
        <w:rPr>
          <w:rFonts w:ascii="TimesNewRomanPSMT" w:hAnsi="TimesNewRomanPSMT" w:cs="TimesNewRomanPSMT"/>
          <w:b/>
          <w:bCs/>
          <w:sz w:val="22"/>
          <w:szCs w:val="22"/>
        </w:rPr>
        <w:t>Supplementary</w:t>
      </w:r>
      <w:r w:rsidRPr="006277D6">
        <w:rPr>
          <w:rFonts w:ascii="TimesNewRomanPSMT" w:hAnsi="TimesNewRomanPSMT" w:cs="TimesNewRomanPSMT"/>
          <w:sz w:val="22"/>
          <w:szCs w:val="22"/>
        </w:rPr>
        <w:t xml:space="preserve"> </w:t>
      </w:r>
      <w:r w:rsidRPr="006277D6">
        <w:rPr>
          <w:rFonts w:ascii="TimesNewRomanPS" w:hAnsi="TimesNewRomanPS"/>
          <w:b/>
          <w:bCs/>
          <w:sz w:val="22"/>
          <w:szCs w:val="22"/>
        </w:rPr>
        <w:t xml:space="preserve">Figures S5). </w:t>
      </w:r>
      <w:r w:rsidRPr="006277D6">
        <w:rPr>
          <w:rFonts w:ascii="TimesNewRomanPSMT" w:hAnsi="TimesNewRomanPSMT" w:cs="TimesNewRomanPSMT"/>
          <w:sz w:val="22"/>
          <w:szCs w:val="22"/>
        </w:rPr>
        <w:t xml:space="preserve">The activation z-score is used to indicate the likely activation state of the upstream regulator (predicted upregulated molecules have a positive z-score, predicted downregulated molecules have a negative z-score). The p-value of overlap is a measure of the significance of network-regulated gene enrichment within the dataset. </w:t>
      </w:r>
      <w:r w:rsidR="00EF46B8">
        <w:rPr>
          <w:rFonts w:ascii="TimesNewRomanPSMT" w:hAnsi="TimesNewRomanPSMT" w:cs="TimesNewRomanPSMT"/>
          <w:sz w:val="22"/>
          <w:szCs w:val="22"/>
        </w:rPr>
        <w:t xml:space="preserve">DAP3, </w:t>
      </w:r>
      <w:r w:rsidRPr="006277D6">
        <w:rPr>
          <w:rFonts w:ascii="TimesNewRomanPSMT" w:hAnsi="TimesNewRomanPSMT" w:cs="TimesNewRomanPSMT"/>
          <w:sz w:val="22"/>
          <w:szCs w:val="22"/>
        </w:rPr>
        <w:t>SIRT3, PPARs, EPA, LIF and STAT3</w:t>
      </w:r>
      <w:r>
        <w:rPr>
          <w:rFonts w:ascii="TimesNewRomanPSMT" w:hAnsi="TimesNewRomanPSMT" w:cs="TimesNewRomanPSMT"/>
          <w:sz w:val="22"/>
          <w:szCs w:val="22"/>
        </w:rPr>
        <w:t xml:space="preserve"> has been discussed in the main manuscript.</w:t>
      </w:r>
    </w:p>
    <w:p w14:paraId="7A669DB4" w14:textId="77777777" w:rsidR="0009530A" w:rsidRPr="006277D6" w:rsidRDefault="0009530A" w:rsidP="0009530A">
      <w:pPr>
        <w:pStyle w:val="NormalWeb"/>
        <w:jc w:val="both"/>
      </w:pPr>
      <w:r w:rsidRPr="006277D6">
        <w:rPr>
          <w:rFonts w:ascii="TimesNewRomanPS" w:hAnsi="TimesNewRomanPS"/>
          <w:b/>
          <w:bCs/>
          <w:sz w:val="22"/>
          <w:szCs w:val="22"/>
        </w:rPr>
        <w:t xml:space="preserve">GSKJ4 </w:t>
      </w:r>
      <w:r w:rsidRPr="006277D6">
        <w:rPr>
          <w:rFonts w:ascii="TimesNewRomanPSMT" w:hAnsi="TimesNewRomanPSMT" w:cs="TimesNewRomanPSMT"/>
          <w:sz w:val="22"/>
          <w:szCs w:val="22"/>
        </w:rPr>
        <w:t>is the 3</w:t>
      </w:r>
      <w:proofErr w:type="spellStart"/>
      <w:r w:rsidRPr="006277D6">
        <w:rPr>
          <w:rFonts w:ascii="TimesNewRomanPSMT" w:hAnsi="TimesNewRomanPSMT" w:cs="TimesNewRomanPSMT"/>
          <w:position w:val="8"/>
          <w:sz w:val="14"/>
          <w:szCs w:val="14"/>
        </w:rPr>
        <w:t>rd</w:t>
      </w:r>
      <w:proofErr w:type="spellEnd"/>
      <w:r w:rsidRPr="006277D6">
        <w:rPr>
          <w:rFonts w:ascii="TimesNewRomanPSMT" w:hAnsi="TimesNewRomanPSMT" w:cs="TimesNewRomanPSMT"/>
          <w:position w:val="8"/>
          <w:sz w:val="14"/>
          <w:szCs w:val="14"/>
        </w:rPr>
        <w:t xml:space="preserve"> </w:t>
      </w:r>
      <w:r w:rsidRPr="006277D6">
        <w:rPr>
          <w:rFonts w:ascii="TimesNewRomanPSMT" w:hAnsi="TimesNewRomanPSMT" w:cs="TimesNewRomanPSMT"/>
          <w:sz w:val="22"/>
          <w:szCs w:val="22"/>
        </w:rPr>
        <w:t xml:space="preserve">most significantly affected regulator. </w:t>
      </w:r>
      <w:r w:rsidRPr="006277D6">
        <w:rPr>
          <w:rFonts w:ascii="TimesNewRomanPSMT" w:hAnsi="TimesNewRomanPSMT" w:cs="TimesNewRomanPSMT"/>
          <w:sz w:val="22"/>
          <w:szCs w:val="22"/>
          <w:shd w:val="clear" w:color="auto" w:fill="FFFFFF"/>
        </w:rPr>
        <w:t>GSK-J4 inhibits LPS-induced TNF-α production in human primary macrophages with an IC</w:t>
      </w:r>
      <w:r w:rsidRPr="006277D6">
        <w:rPr>
          <w:rFonts w:ascii="TimesNewRomanPSMT" w:hAnsi="TimesNewRomanPSMT" w:cs="TimesNewRomanPSMT"/>
          <w:position w:val="-2"/>
          <w:sz w:val="14"/>
          <w:szCs w:val="14"/>
        </w:rPr>
        <w:t xml:space="preserve">50 </w:t>
      </w:r>
      <w:r w:rsidRPr="006277D6">
        <w:rPr>
          <w:rFonts w:ascii="TimesNewRomanPSMT" w:hAnsi="TimesNewRomanPSMT" w:cs="TimesNewRomanPSMT"/>
          <w:sz w:val="22"/>
          <w:szCs w:val="22"/>
          <w:shd w:val="clear" w:color="auto" w:fill="FFFFFF"/>
        </w:rPr>
        <w:t xml:space="preserve">(the molar concentration required to reduce production by 50%) at 9 </w:t>
      </w:r>
      <w:proofErr w:type="spellStart"/>
      <w:r w:rsidRPr="006277D6">
        <w:rPr>
          <w:rFonts w:ascii="TimesNewRomanPSMT" w:hAnsi="TimesNewRomanPSMT" w:cs="TimesNewRomanPSMT"/>
          <w:sz w:val="22"/>
          <w:szCs w:val="22"/>
          <w:shd w:val="clear" w:color="auto" w:fill="FFFFFF"/>
        </w:rPr>
        <w:t>μM</w:t>
      </w:r>
      <w:proofErr w:type="spellEnd"/>
      <w:r w:rsidRPr="006277D6">
        <w:rPr>
          <w:rFonts w:ascii="TimesNewRomanPSMT" w:hAnsi="TimesNewRomanPSMT" w:cs="TimesNewRomanPSMT"/>
          <w:sz w:val="22"/>
          <w:szCs w:val="22"/>
          <w:shd w:val="clear" w:color="auto" w:fill="FFFFFF"/>
        </w:rPr>
        <w:t xml:space="preserve"> (</w:t>
      </w:r>
      <w:proofErr w:type="spellStart"/>
      <w:r w:rsidRPr="006277D6">
        <w:rPr>
          <w:rFonts w:ascii="TimesNewRomanPSMT" w:hAnsi="TimesNewRomanPSMT" w:cs="TimesNewRomanPSMT"/>
          <w:sz w:val="22"/>
          <w:szCs w:val="22"/>
          <w:shd w:val="clear" w:color="auto" w:fill="FFFFFF"/>
        </w:rPr>
        <w:t>Donas</w:t>
      </w:r>
      <w:proofErr w:type="spellEnd"/>
      <w:r w:rsidRPr="006277D6">
        <w:rPr>
          <w:rFonts w:ascii="TimesNewRomanPSMT" w:hAnsi="TimesNewRomanPSMT" w:cs="TimesNewRomanPSMT"/>
          <w:sz w:val="22"/>
          <w:szCs w:val="22"/>
          <w:shd w:val="clear" w:color="auto" w:fill="FFFFFF"/>
        </w:rPr>
        <w:t xml:space="preserve"> </w:t>
      </w:r>
      <w:r w:rsidRPr="006277D6">
        <w:rPr>
          <w:rFonts w:ascii="TimesNewRomanPS" w:hAnsi="TimesNewRomanPS"/>
          <w:i/>
          <w:iCs/>
          <w:sz w:val="22"/>
          <w:szCs w:val="22"/>
          <w:shd w:val="clear" w:color="auto" w:fill="FFFFFF"/>
        </w:rPr>
        <w:t>et al</w:t>
      </w:r>
      <w:r w:rsidRPr="006277D6">
        <w:rPr>
          <w:rFonts w:ascii="TimesNewRomanPSMT" w:hAnsi="TimesNewRomanPSMT" w:cs="TimesNewRomanPSMT"/>
          <w:sz w:val="22"/>
          <w:szCs w:val="22"/>
          <w:shd w:val="clear" w:color="auto" w:fill="FFFFFF"/>
        </w:rPr>
        <w:t xml:space="preserve">. 2016; </w:t>
      </w:r>
      <w:proofErr w:type="spellStart"/>
      <w:r w:rsidRPr="006277D6">
        <w:rPr>
          <w:rFonts w:ascii="TimesNewRomanPSMT" w:hAnsi="TimesNewRomanPSMT" w:cs="TimesNewRomanPSMT"/>
          <w:sz w:val="22"/>
          <w:szCs w:val="22"/>
          <w:shd w:val="clear" w:color="auto" w:fill="FFFFFF"/>
        </w:rPr>
        <w:t>Kruidenier</w:t>
      </w:r>
      <w:proofErr w:type="spellEnd"/>
      <w:r w:rsidRPr="006277D6">
        <w:rPr>
          <w:rFonts w:ascii="TimesNewRomanPSMT" w:hAnsi="TimesNewRomanPSMT" w:cs="TimesNewRomanPSMT"/>
          <w:sz w:val="22"/>
          <w:szCs w:val="22"/>
          <w:shd w:val="clear" w:color="auto" w:fill="FFFFFF"/>
        </w:rPr>
        <w:t xml:space="preserve"> </w:t>
      </w:r>
      <w:r w:rsidRPr="006277D6">
        <w:rPr>
          <w:rFonts w:ascii="TimesNewRomanPS" w:hAnsi="TimesNewRomanPS"/>
          <w:i/>
          <w:iCs/>
          <w:sz w:val="22"/>
          <w:szCs w:val="22"/>
          <w:shd w:val="clear" w:color="auto" w:fill="FFFFFF"/>
        </w:rPr>
        <w:t xml:space="preserve">et al. </w:t>
      </w:r>
      <w:r w:rsidRPr="006277D6">
        <w:rPr>
          <w:rFonts w:ascii="TimesNewRomanPSMT" w:hAnsi="TimesNewRomanPSMT" w:cs="TimesNewRomanPSMT"/>
          <w:sz w:val="22"/>
          <w:szCs w:val="22"/>
          <w:shd w:val="clear" w:color="auto" w:fill="FFFFFF"/>
        </w:rPr>
        <w:t xml:space="preserve">2012). GSK-J4 induces endoplasmic reticulum stress-related </w:t>
      </w:r>
      <w:r w:rsidRPr="006277D6">
        <w:rPr>
          <w:rFonts w:ascii="TimesNewRomanPSMT" w:hAnsi="TimesNewRomanPSMT" w:cs="TimesNewRomanPSMT"/>
          <w:sz w:val="22"/>
          <w:szCs w:val="22"/>
        </w:rPr>
        <w:t xml:space="preserve">apoptosis (Yapp </w:t>
      </w:r>
      <w:r w:rsidRPr="006277D6">
        <w:rPr>
          <w:rFonts w:ascii="TimesNewRomanPS" w:hAnsi="TimesNewRomanPS"/>
          <w:i/>
          <w:iCs/>
          <w:sz w:val="22"/>
          <w:szCs w:val="22"/>
        </w:rPr>
        <w:t xml:space="preserve">et al. </w:t>
      </w:r>
      <w:r w:rsidRPr="006277D6">
        <w:rPr>
          <w:rFonts w:ascii="TimesNewRomanPSMT" w:hAnsi="TimesNewRomanPSMT" w:cs="TimesNewRomanPSMT"/>
          <w:sz w:val="22"/>
          <w:szCs w:val="22"/>
        </w:rPr>
        <w:t xml:space="preserve">2016). </w:t>
      </w:r>
    </w:p>
    <w:p w14:paraId="4DBCEB4A" w14:textId="2BD2CD94" w:rsidR="0009530A" w:rsidRPr="006277D6" w:rsidRDefault="0009530A" w:rsidP="0009530A">
      <w:pPr>
        <w:pStyle w:val="NormalWeb"/>
        <w:jc w:val="both"/>
      </w:pPr>
      <w:r w:rsidRPr="006277D6">
        <w:rPr>
          <w:rFonts w:ascii="TimesNewRomanPS" w:hAnsi="TimesNewRomanPS"/>
          <w:b/>
          <w:bCs/>
          <w:sz w:val="22"/>
          <w:szCs w:val="22"/>
          <w:shd w:val="clear" w:color="auto" w:fill="FFFFFF"/>
        </w:rPr>
        <w:t xml:space="preserve">Let 7 </w:t>
      </w:r>
      <w:r w:rsidRPr="006277D6">
        <w:rPr>
          <w:rFonts w:ascii="TimesNewRomanPSMT" w:hAnsi="TimesNewRomanPSMT" w:cs="TimesNewRomanPSMT"/>
          <w:sz w:val="22"/>
          <w:szCs w:val="22"/>
          <w:shd w:val="clear" w:color="auto" w:fill="FFFFFF"/>
        </w:rPr>
        <w:t>is a family of miRNA was predicted to be activated by PNLA as an upstream regulator. (</w:t>
      </w:r>
      <w:r w:rsidRPr="006277D6">
        <w:rPr>
          <w:rFonts w:ascii="TimesNewRomanPS" w:hAnsi="TimesNewRomanPS"/>
          <w:b/>
          <w:bCs/>
          <w:sz w:val="22"/>
          <w:szCs w:val="22"/>
          <w:shd w:val="clear" w:color="auto" w:fill="FFFFFF"/>
        </w:rPr>
        <w:t xml:space="preserve">Figure 6.21). </w:t>
      </w:r>
      <w:r w:rsidRPr="006277D6">
        <w:rPr>
          <w:rFonts w:ascii="TimesNewRomanPSMT" w:hAnsi="TimesNewRomanPSMT" w:cs="TimesNewRomanPSMT"/>
          <w:sz w:val="22"/>
          <w:szCs w:val="22"/>
          <w:shd w:val="clear" w:color="auto" w:fill="FFFFFF"/>
        </w:rPr>
        <w:t>shows let-7 networks with molecules and diseases. Certain let-7 family members such as let- 7a and let-7e are associated with early inflammatory and pre-apoptotic pathways, while others such as let-</w:t>
      </w:r>
      <w:r w:rsidRPr="00D40CDF">
        <w:rPr>
          <w:rFonts w:ascii="TimesNewRomanPSMT" w:hAnsi="TimesNewRomanPSMT" w:cs="TimesNewRomanPSMT"/>
          <w:sz w:val="22"/>
          <w:szCs w:val="22"/>
          <w:shd w:val="clear" w:color="auto" w:fill="FFFFFF"/>
        </w:rPr>
        <w:t>7i and let-7f are involved in later phases of transcription and downstream elements of apoptosis. Such regulatory elements of let 7 miRNAs and the timeline of expression of these miRNAs has subsequent impact on cytokine and chemokine release.</w:t>
      </w:r>
      <w:r w:rsidRPr="006277D6">
        <w:rPr>
          <w:rFonts w:ascii="TimesNewRomanPSMT" w:hAnsi="TimesNewRomanPSMT" w:cs="TimesNewRomanPSMT"/>
          <w:sz w:val="22"/>
          <w:szCs w:val="22"/>
          <w:shd w:val="clear" w:color="auto" w:fill="FFFFFF"/>
        </w:rPr>
        <w:t xml:space="preserve"> Recent bioinformatic predictions have shown several genes, </w:t>
      </w:r>
      <w:r w:rsidRPr="006277D6">
        <w:rPr>
          <w:rFonts w:ascii="TimesNewRomanPSMT" w:hAnsi="TimesNewRomanPSMT" w:cs="TimesNewRomanPSMT"/>
          <w:sz w:val="22"/>
          <w:szCs w:val="22"/>
          <w:shd w:val="clear" w:color="auto" w:fill="FFFFFF"/>
        </w:rPr>
        <w:lastRenderedPageBreak/>
        <w:t xml:space="preserve">such as FOXP1, AKT2, and PPARGC1A to be targets of different let-7s (let- 7a/7d/7e/7f) </w:t>
      </w:r>
      <w:r w:rsidRPr="006277D6">
        <w:rPr>
          <w:rFonts w:ascii="TimesNewRomanPSMT" w:hAnsi="TimesNewRomanPSMT" w:cs="TimesNewRomanPSMT"/>
          <w:sz w:val="22"/>
          <w:szCs w:val="22"/>
        </w:rPr>
        <w:t xml:space="preserve">(Bernstein </w:t>
      </w:r>
      <w:r w:rsidRPr="006277D6">
        <w:rPr>
          <w:rFonts w:ascii="TimesNewRomanPS" w:hAnsi="TimesNewRomanPS"/>
          <w:i/>
          <w:iCs/>
          <w:sz w:val="22"/>
          <w:szCs w:val="22"/>
        </w:rPr>
        <w:t xml:space="preserve">et al. </w:t>
      </w:r>
      <w:r w:rsidRPr="006277D6">
        <w:rPr>
          <w:rFonts w:ascii="TimesNewRomanPSMT" w:hAnsi="TimesNewRomanPSMT" w:cs="TimesNewRomanPSMT"/>
          <w:sz w:val="22"/>
          <w:szCs w:val="22"/>
        </w:rPr>
        <w:t>2021)</w:t>
      </w:r>
      <w:r w:rsidRPr="006277D6">
        <w:rPr>
          <w:rFonts w:ascii="TimesNewRomanPSMT" w:hAnsi="TimesNewRomanPSMT" w:cs="TimesNewRomanPSMT"/>
          <w:color w:val="474747"/>
          <w:sz w:val="22"/>
          <w:szCs w:val="22"/>
        </w:rPr>
        <w:t xml:space="preserve">. </w:t>
      </w:r>
    </w:p>
    <w:p w14:paraId="639B5B1C" w14:textId="77777777" w:rsidR="0009530A" w:rsidRPr="006277D6" w:rsidRDefault="0009530A" w:rsidP="0009530A">
      <w:pPr>
        <w:pStyle w:val="NormalWeb"/>
        <w:jc w:val="both"/>
      </w:pPr>
      <w:r w:rsidRPr="00D40CDF">
        <w:rPr>
          <w:rFonts w:ascii="TimesNewRomanPSMT" w:hAnsi="TimesNewRomanPSMT" w:cs="TimesNewRomanPSMT"/>
          <w:sz w:val="22"/>
          <w:szCs w:val="22"/>
          <w:shd w:val="clear" w:color="auto" w:fill="FFFFFF"/>
        </w:rPr>
        <w:t xml:space="preserve">Several factors control the expression of let 7 via regulatory loops. NF-κB reduces let-7 levels. While let-7 can inhibit IL-6 expression that can activate NF-κB and complete a positive feedback </w:t>
      </w:r>
      <w:r w:rsidRPr="00D40CDF">
        <w:rPr>
          <w:rFonts w:ascii="TimesNewRomanPSMT" w:hAnsi="TimesNewRomanPSMT" w:cs="TimesNewRomanPSMT"/>
          <w:sz w:val="22"/>
          <w:szCs w:val="22"/>
        </w:rPr>
        <w:t xml:space="preserve">loop (Hunter and Jones 2015; Jones 2011). </w:t>
      </w:r>
      <w:r w:rsidRPr="00D40CDF">
        <w:rPr>
          <w:rFonts w:ascii="TimesNewRomanPSMT" w:hAnsi="TimesNewRomanPSMT" w:cs="TimesNewRomanPSMT"/>
          <w:sz w:val="22"/>
          <w:szCs w:val="22"/>
          <w:shd w:val="clear" w:color="auto" w:fill="FFFFFF"/>
        </w:rPr>
        <w:t>In CIA, disease severity was markedly ameliorated after treatment of let-7g-5p mimics. Interestingly, STAT3 was found to be a target of let-7a and JAK-STAT3 pathway is regulated by miRNA let-7 (</w:t>
      </w:r>
      <w:proofErr w:type="spellStart"/>
      <w:r w:rsidRPr="00D40CDF">
        <w:rPr>
          <w:rFonts w:ascii="TimesNewRomanPSMT" w:hAnsi="TimesNewRomanPSMT" w:cs="TimesNewRomanPSMT"/>
          <w:sz w:val="22"/>
          <w:szCs w:val="22"/>
          <w:shd w:val="clear" w:color="auto" w:fill="FFFFFF"/>
        </w:rPr>
        <w:t>Thammaiah</w:t>
      </w:r>
      <w:proofErr w:type="spellEnd"/>
      <w:r w:rsidRPr="00D40CDF">
        <w:rPr>
          <w:rFonts w:ascii="TimesNewRomanPSMT" w:hAnsi="TimesNewRomanPSMT" w:cs="TimesNewRomanPSMT"/>
          <w:sz w:val="22"/>
          <w:szCs w:val="22"/>
          <w:shd w:val="clear" w:color="auto" w:fill="FFFFFF"/>
        </w:rPr>
        <w:t xml:space="preserve"> and Jayaram 2016). We speculate that let-7 may regulate the activity of monocytes by targeting JAK-STAT3 signalling pathway.</w:t>
      </w:r>
      <w:r w:rsidRPr="006277D6">
        <w:rPr>
          <w:rFonts w:ascii="TimesNewRomanPSMT" w:hAnsi="TimesNewRomanPSMT" w:cs="TimesNewRomanPSMT"/>
          <w:sz w:val="22"/>
          <w:szCs w:val="22"/>
          <w:shd w:val="clear" w:color="auto" w:fill="FFFFFF"/>
        </w:rPr>
        <w:t xml:space="preserve"> </w:t>
      </w:r>
    </w:p>
    <w:p w14:paraId="46779982" w14:textId="122B91FF" w:rsidR="0009530A" w:rsidRDefault="0009530A" w:rsidP="0009530A">
      <w:pPr>
        <w:pStyle w:val="NormalWeb"/>
        <w:jc w:val="both"/>
        <w:rPr>
          <w:rFonts w:ascii="TimesNewRomanPSMT" w:hAnsi="TimesNewRomanPSMT" w:cs="TimesNewRomanPSMT"/>
          <w:sz w:val="22"/>
          <w:szCs w:val="22"/>
        </w:rPr>
      </w:pPr>
      <w:r w:rsidRPr="006277D6">
        <w:rPr>
          <w:rFonts w:ascii="TimesNewRomanPS" w:hAnsi="TimesNewRomanPS"/>
          <w:b/>
          <w:bCs/>
          <w:sz w:val="22"/>
          <w:szCs w:val="22"/>
        </w:rPr>
        <w:t>CHUK</w:t>
      </w:r>
      <w:r w:rsidRPr="006277D6">
        <w:rPr>
          <w:rFonts w:ascii="TimesNewRomanPSMT" w:hAnsi="TimesNewRomanPSMT" w:cs="TimesNewRomanPSMT"/>
          <w:sz w:val="22"/>
          <w:szCs w:val="22"/>
        </w:rPr>
        <w:t>, a serine kinase that is an inhibitor of NF-</w:t>
      </w:r>
      <w:r w:rsidRPr="006277D6">
        <w:rPr>
          <w:rFonts w:ascii="SymbolMT" w:hAnsi="SymbolMT"/>
          <w:sz w:val="22"/>
          <w:szCs w:val="22"/>
        </w:rPr>
        <w:sym w:font="Symbol" w:char="F06B"/>
      </w:r>
      <w:r w:rsidRPr="006277D6">
        <w:rPr>
          <w:rFonts w:ascii="TimesNewRomanPSMT" w:hAnsi="TimesNewRomanPSMT" w:cs="TimesNewRomanPSMT"/>
          <w:sz w:val="22"/>
          <w:szCs w:val="22"/>
        </w:rPr>
        <w:t>B kinase subunit alpha (IKK-α). CHUK is predicted to be inhibited by PNLA. CHUK plays a key role in the negative feedback of NF-</w:t>
      </w:r>
      <w:r w:rsidRPr="006277D6">
        <w:rPr>
          <w:rFonts w:ascii="SymbolMT" w:hAnsi="SymbolMT"/>
          <w:sz w:val="22"/>
          <w:szCs w:val="22"/>
        </w:rPr>
        <w:sym w:font="Symbol" w:char="F06B"/>
      </w:r>
      <w:r w:rsidRPr="006277D6">
        <w:rPr>
          <w:rFonts w:ascii="TimesNewRomanPSMT" w:hAnsi="TimesNewRomanPSMT" w:cs="TimesNewRomanPSMT"/>
          <w:sz w:val="22"/>
          <w:szCs w:val="22"/>
        </w:rPr>
        <w:t>B canonical signalling to limit inflam</w:t>
      </w:r>
      <w:r>
        <w:rPr>
          <w:rFonts w:ascii="TimesNewRomanPSMT" w:hAnsi="TimesNewRomanPSMT" w:cs="TimesNewRomanPSMT"/>
          <w:sz w:val="22"/>
          <w:szCs w:val="22"/>
        </w:rPr>
        <w:t>matory gene activation.</w:t>
      </w:r>
    </w:p>
    <w:p w14:paraId="2B5CA4E1" w14:textId="77777777" w:rsidR="00EE6339" w:rsidRPr="00990AFF" w:rsidRDefault="00EE6339" w:rsidP="00EE6339">
      <w:pPr>
        <w:spacing w:line="360" w:lineRule="auto"/>
        <w:rPr>
          <w:rFonts w:asciiTheme="majorBidi" w:hAnsiTheme="majorBidi" w:cstheme="majorBidi"/>
          <w:b/>
          <w:bCs/>
        </w:rPr>
      </w:pPr>
      <w:r w:rsidRPr="00990AFF">
        <w:rPr>
          <w:rFonts w:asciiTheme="majorBidi" w:hAnsiTheme="majorBidi" w:cstheme="majorBidi"/>
          <w:b/>
          <w:bCs/>
        </w:rPr>
        <w:t>Supplementary</w:t>
      </w:r>
      <w:r>
        <w:rPr>
          <w:rFonts w:asciiTheme="majorBidi" w:hAnsiTheme="majorBidi" w:cstheme="majorBidi"/>
          <w:b/>
          <w:bCs/>
        </w:rPr>
        <w:t xml:space="preserve"> data S5</w:t>
      </w:r>
    </w:p>
    <w:p w14:paraId="1C2E0450" w14:textId="77777777" w:rsidR="00EE6339" w:rsidRPr="00990AFF" w:rsidRDefault="00EE6339" w:rsidP="00EE6339">
      <w:pPr>
        <w:spacing w:line="360" w:lineRule="auto"/>
        <w:rPr>
          <w:rFonts w:asciiTheme="majorBidi" w:eastAsiaTheme="majorEastAsia" w:hAnsiTheme="majorBidi" w:cstheme="majorBidi"/>
          <w:b/>
          <w:bCs/>
        </w:rPr>
      </w:pPr>
      <w:r w:rsidRPr="00990AFF">
        <w:rPr>
          <w:rFonts w:asciiTheme="majorBidi" w:eastAsiaTheme="majorEastAsia" w:hAnsiTheme="majorBidi" w:cstheme="majorBidi"/>
          <w:b/>
          <w:bCs/>
        </w:rPr>
        <w:t>CD14</w:t>
      </w:r>
      <w:r w:rsidRPr="00990AFF">
        <w:rPr>
          <w:rFonts w:asciiTheme="majorBidi" w:eastAsiaTheme="majorEastAsia" w:hAnsiTheme="majorBidi" w:cstheme="majorBidi"/>
          <w:b/>
          <w:bCs/>
          <w:vertAlign w:val="superscript"/>
        </w:rPr>
        <w:t>+</w:t>
      </w:r>
      <w:r w:rsidRPr="00990AFF">
        <w:rPr>
          <w:rFonts w:asciiTheme="majorBidi" w:eastAsiaTheme="majorEastAsia" w:hAnsiTheme="majorBidi" w:cstheme="majorBidi"/>
          <w:b/>
          <w:bCs/>
        </w:rPr>
        <w:t xml:space="preserve"> monocyte percentages were reduced following PNLA treatment</w:t>
      </w:r>
    </w:p>
    <w:p w14:paraId="2C6829DC" w14:textId="77777777" w:rsidR="00EE6339" w:rsidRPr="00990AFF" w:rsidRDefault="00EE6339" w:rsidP="00EE6339">
      <w:pPr>
        <w:spacing w:line="360" w:lineRule="auto"/>
        <w:jc w:val="both"/>
        <w:rPr>
          <w:rFonts w:asciiTheme="majorBidi" w:eastAsiaTheme="majorEastAsia" w:hAnsiTheme="majorBidi" w:cstheme="majorBidi"/>
          <w:color w:val="1F3763" w:themeColor="accent1" w:themeShade="7F"/>
        </w:rPr>
      </w:pPr>
      <w:r w:rsidRPr="00990AFF">
        <w:rPr>
          <w:rFonts w:asciiTheme="majorBidi" w:hAnsiTheme="majorBidi" w:cstheme="majorBidi"/>
        </w:rPr>
        <w:t xml:space="preserve">The levels of activated monocytic cells can be used as an indirect marker of an individual’s inflammatory status. </w:t>
      </w:r>
      <w:r w:rsidRPr="00990AFF">
        <w:rPr>
          <w:rFonts w:asciiTheme="majorBidi" w:hAnsiTheme="majorBidi" w:cstheme="majorBidi"/>
          <w:bCs/>
        </w:rPr>
        <w:t>LPS significantly downregulated CD16 expression such that the monocyte subset could not be identified.</w:t>
      </w:r>
      <w:r w:rsidRPr="00990AFF">
        <w:rPr>
          <w:rFonts w:asciiTheme="majorBidi" w:hAnsiTheme="majorBidi" w:cstheme="majorBidi"/>
        </w:rPr>
        <w:t xml:space="preserve"> Hence, analyses focussed on CD14</w:t>
      </w:r>
      <w:r w:rsidRPr="00990AFF">
        <w:rPr>
          <w:rFonts w:asciiTheme="majorBidi" w:hAnsiTheme="majorBidi" w:cstheme="majorBidi"/>
          <w:b/>
          <w:bCs/>
          <w:vertAlign w:val="superscript"/>
        </w:rPr>
        <w:t>+</w:t>
      </w:r>
      <w:r w:rsidRPr="00990AFF">
        <w:rPr>
          <w:rFonts w:asciiTheme="majorBidi" w:hAnsiTheme="majorBidi" w:cstheme="majorBidi"/>
        </w:rPr>
        <w:t xml:space="preserve"> monocytes. </w:t>
      </w:r>
    </w:p>
    <w:p w14:paraId="331AAAA0" w14:textId="3747C0A8" w:rsidR="00EE6339" w:rsidRPr="00E6639C" w:rsidRDefault="00EE6339" w:rsidP="00EE6339">
      <w:pPr>
        <w:spacing w:line="360" w:lineRule="auto"/>
        <w:jc w:val="both"/>
        <w:rPr>
          <w:rFonts w:asciiTheme="majorBidi" w:hAnsiTheme="majorBidi" w:cstheme="majorBidi"/>
        </w:rPr>
      </w:pPr>
      <w:r w:rsidRPr="00990AFF">
        <w:rPr>
          <w:rFonts w:asciiTheme="majorBidi" w:hAnsiTheme="majorBidi" w:cstheme="majorBidi"/>
        </w:rPr>
        <w:t>PNLA reduced the percentage of activated CD14</w:t>
      </w:r>
      <w:r w:rsidRPr="00990AFF">
        <w:rPr>
          <w:rFonts w:asciiTheme="majorBidi" w:hAnsiTheme="majorBidi" w:cstheme="majorBidi"/>
          <w:vertAlign w:val="superscript"/>
        </w:rPr>
        <w:t>+</w:t>
      </w:r>
      <w:r w:rsidRPr="00990AFF">
        <w:rPr>
          <w:rFonts w:asciiTheme="majorBidi" w:hAnsiTheme="majorBidi" w:cstheme="majorBidi"/>
        </w:rPr>
        <w:t xml:space="preserve"> monocytes relative to the percentage of monocytes that were LPS stimulated </w:t>
      </w:r>
      <w:r w:rsidRPr="00990AFF">
        <w:rPr>
          <w:rFonts w:asciiTheme="majorBidi" w:hAnsiTheme="majorBidi" w:cstheme="majorBidi"/>
          <w:b/>
          <w:bCs/>
        </w:rPr>
        <w:t>(Figure 1E)</w:t>
      </w:r>
      <w:r w:rsidRPr="00990AFF">
        <w:rPr>
          <w:rFonts w:asciiTheme="majorBidi" w:hAnsiTheme="majorBidi" w:cstheme="majorBidi"/>
        </w:rPr>
        <w:t>. The number of white blood cells within the BM can be an indication of the inflammatory status of an individual, wild type mice treated with n-3 PUFA were found to have the proportion of white blood cells within their BM reduced in contrast to the mice treated with the vehicle control (Joe 2018). Circulating monocytes numbers are increased in active RA but fall in patients who respond to TNF-blockade. Reduction in monocytes count predicts sustained remission in RA patients treated with anti-TNF therapy (</w:t>
      </w:r>
      <w:proofErr w:type="spellStart"/>
      <w:r w:rsidRPr="00990AFF">
        <w:rPr>
          <w:rFonts w:asciiTheme="majorBidi" w:hAnsiTheme="majorBidi" w:cstheme="majorBidi"/>
        </w:rPr>
        <w:t>Shipa</w:t>
      </w:r>
      <w:proofErr w:type="spellEnd"/>
      <w:r w:rsidRPr="00990AFF">
        <w:rPr>
          <w:rFonts w:asciiTheme="majorBidi" w:hAnsiTheme="majorBidi" w:cstheme="majorBidi"/>
        </w:rPr>
        <w:t xml:space="preserve"> </w:t>
      </w:r>
      <w:r w:rsidRPr="00990AFF">
        <w:rPr>
          <w:rFonts w:asciiTheme="majorBidi" w:hAnsiTheme="majorBidi" w:cstheme="majorBidi"/>
          <w:i/>
          <w:iCs/>
        </w:rPr>
        <w:t>et al</w:t>
      </w:r>
      <w:r w:rsidRPr="00990AFF">
        <w:rPr>
          <w:rFonts w:asciiTheme="majorBidi" w:hAnsiTheme="majorBidi" w:cstheme="majorBidi"/>
        </w:rPr>
        <w:t xml:space="preserve">. 2021). </w:t>
      </w:r>
      <w:proofErr w:type="spellStart"/>
      <w:r w:rsidRPr="00990AFF">
        <w:rPr>
          <w:rFonts w:asciiTheme="majorBidi" w:hAnsiTheme="majorBidi" w:cstheme="majorBidi"/>
        </w:rPr>
        <w:t>Kawanaka</w:t>
      </w:r>
      <w:proofErr w:type="spellEnd"/>
      <w:r w:rsidRPr="00990AFF">
        <w:rPr>
          <w:rFonts w:asciiTheme="majorBidi" w:hAnsiTheme="majorBidi" w:cstheme="majorBidi"/>
        </w:rPr>
        <w:t xml:space="preserve"> et al also found that patients with active RA showed higher frequencies of CD14CD16</w:t>
      </w:r>
      <w:r w:rsidRPr="00990AFF">
        <w:rPr>
          <w:rFonts w:asciiTheme="majorBidi" w:hAnsiTheme="majorBidi" w:cstheme="majorBidi"/>
          <w:b/>
          <w:bCs/>
        </w:rPr>
        <w:t xml:space="preserve"> </w:t>
      </w:r>
      <w:r w:rsidRPr="00990AFF">
        <w:rPr>
          <w:rFonts w:asciiTheme="majorBidi" w:hAnsiTheme="majorBidi" w:cstheme="majorBidi"/>
        </w:rPr>
        <w:t>blood monocytes, with the frequency of these cells decreasing in patients that respond well to therapy (</w:t>
      </w:r>
      <w:proofErr w:type="spellStart"/>
      <w:r w:rsidRPr="00990AFF">
        <w:rPr>
          <w:rFonts w:asciiTheme="majorBidi" w:hAnsiTheme="majorBidi" w:cstheme="majorBidi"/>
        </w:rPr>
        <w:t>Kawanaka</w:t>
      </w:r>
      <w:proofErr w:type="spellEnd"/>
      <w:r w:rsidRPr="00990AFF">
        <w:rPr>
          <w:rFonts w:asciiTheme="majorBidi" w:hAnsiTheme="majorBidi" w:cstheme="majorBidi"/>
        </w:rPr>
        <w:t xml:space="preserve"> </w:t>
      </w:r>
      <w:r w:rsidRPr="00990AFF">
        <w:rPr>
          <w:rFonts w:asciiTheme="majorBidi" w:hAnsiTheme="majorBidi" w:cstheme="majorBidi"/>
          <w:i/>
          <w:iCs/>
        </w:rPr>
        <w:t xml:space="preserve">et al. </w:t>
      </w:r>
      <w:r w:rsidRPr="00990AFF">
        <w:rPr>
          <w:rFonts w:asciiTheme="majorBidi" w:hAnsiTheme="majorBidi" w:cstheme="majorBidi"/>
        </w:rPr>
        <w:t xml:space="preserve">2002). Chara et al in 2015 showed that the increased level of total circulating monocytes; classical and intermediate monocytes in treatment-naive RA patients predicted sub-optimal or non-response to MTX treatment. Further to increase in the number of monocytes in RA, in atherosclerosis the correlation of elevated monocyte counts and higher risk for cardiac events has been confirmed in many reports (Zhuang </w:t>
      </w:r>
      <w:r w:rsidRPr="00990AFF">
        <w:rPr>
          <w:rFonts w:asciiTheme="majorBidi" w:hAnsiTheme="majorBidi" w:cstheme="majorBidi"/>
          <w:i/>
          <w:iCs/>
        </w:rPr>
        <w:t xml:space="preserve">et al. </w:t>
      </w:r>
      <w:r w:rsidRPr="00990AFF">
        <w:rPr>
          <w:rFonts w:asciiTheme="majorBidi" w:hAnsiTheme="majorBidi" w:cstheme="majorBidi"/>
        </w:rPr>
        <w:t>2017). Additionally, other studies demonstrated that elevated intermediate monocyte counts play a pivotal role in the growth and stability of already existing atherosclerotic plaques or cardiac attacks (</w:t>
      </w:r>
      <w:proofErr w:type="spellStart"/>
      <w:r w:rsidRPr="00990AFF">
        <w:rPr>
          <w:rFonts w:asciiTheme="majorBidi" w:hAnsiTheme="majorBidi" w:cstheme="majorBidi"/>
        </w:rPr>
        <w:t>Cappellari</w:t>
      </w:r>
      <w:proofErr w:type="spellEnd"/>
      <w:r w:rsidRPr="00990AFF">
        <w:rPr>
          <w:rFonts w:asciiTheme="majorBidi" w:hAnsiTheme="majorBidi" w:cstheme="majorBidi"/>
        </w:rPr>
        <w:t xml:space="preserve"> </w:t>
      </w:r>
      <w:r w:rsidRPr="00990AFF">
        <w:rPr>
          <w:rFonts w:asciiTheme="majorBidi" w:hAnsiTheme="majorBidi" w:cstheme="majorBidi"/>
          <w:i/>
          <w:iCs/>
        </w:rPr>
        <w:t xml:space="preserve">et al </w:t>
      </w:r>
      <w:r w:rsidRPr="00990AFF">
        <w:rPr>
          <w:rFonts w:asciiTheme="majorBidi" w:hAnsiTheme="majorBidi" w:cstheme="majorBidi"/>
        </w:rPr>
        <w:t xml:space="preserve">2017; Ozaki </w:t>
      </w:r>
      <w:r w:rsidRPr="00990AFF">
        <w:rPr>
          <w:rFonts w:asciiTheme="majorBidi" w:hAnsiTheme="majorBidi" w:cstheme="majorBidi"/>
          <w:i/>
          <w:iCs/>
        </w:rPr>
        <w:t>et al</w:t>
      </w:r>
      <w:r w:rsidRPr="00990AFF">
        <w:rPr>
          <w:rFonts w:asciiTheme="majorBidi" w:hAnsiTheme="majorBidi" w:cstheme="majorBidi"/>
        </w:rPr>
        <w:t>. 2017).</w:t>
      </w:r>
    </w:p>
    <w:p w14:paraId="2C8CA9D9" w14:textId="21107D77" w:rsidR="00EE6339" w:rsidRDefault="00EE6339" w:rsidP="0009530A">
      <w:pPr>
        <w:pStyle w:val="NormalWeb"/>
        <w:jc w:val="both"/>
        <w:rPr>
          <w:rFonts w:ascii="TimesNewRomanPSMT" w:hAnsi="TimesNewRomanPSMT" w:cs="TimesNewRomanPSMT"/>
          <w:sz w:val="22"/>
          <w:szCs w:val="22"/>
        </w:rPr>
      </w:pPr>
    </w:p>
    <w:p w14:paraId="10AA00B2" w14:textId="77777777" w:rsidR="00EE6339" w:rsidRDefault="00EE6339" w:rsidP="0009530A">
      <w:pPr>
        <w:pStyle w:val="NormalWeb"/>
        <w:jc w:val="both"/>
        <w:rPr>
          <w:rFonts w:ascii="TimesNewRomanPSMT" w:hAnsi="TimesNewRomanPSMT" w:cs="TimesNewRomanPSMT"/>
          <w:sz w:val="22"/>
          <w:szCs w:val="22"/>
        </w:rPr>
      </w:pPr>
    </w:p>
    <w:p w14:paraId="3EEFB05A" w14:textId="77777777" w:rsidR="00790447" w:rsidRDefault="00790447" w:rsidP="0009530A">
      <w:pPr>
        <w:jc w:val="both"/>
        <w:rPr>
          <w:rFonts w:asciiTheme="majorBidi" w:hAnsiTheme="majorBidi" w:cstheme="majorBidi"/>
          <w:b/>
          <w:bCs/>
        </w:rPr>
      </w:pPr>
    </w:p>
    <w:p w14:paraId="0BBA45E5" w14:textId="77777777" w:rsidR="00790447" w:rsidRDefault="00790447" w:rsidP="0009530A">
      <w:pPr>
        <w:jc w:val="both"/>
        <w:rPr>
          <w:rFonts w:asciiTheme="majorBidi" w:hAnsiTheme="majorBidi" w:cstheme="majorBidi"/>
          <w:b/>
          <w:bCs/>
        </w:rPr>
      </w:pPr>
    </w:p>
    <w:p w14:paraId="7E45FAD0" w14:textId="0C4D4770" w:rsidR="0009530A" w:rsidRPr="007305CB" w:rsidRDefault="0009530A" w:rsidP="0009530A">
      <w:pPr>
        <w:jc w:val="both"/>
        <w:rPr>
          <w:rFonts w:asciiTheme="majorBidi" w:hAnsiTheme="majorBidi" w:cstheme="majorBidi"/>
          <w:b/>
          <w:bCs/>
        </w:rPr>
      </w:pPr>
      <w:r w:rsidRPr="007305CB">
        <w:rPr>
          <w:rFonts w:asciiTheme="majorBidi" w:hAnsiTheme="majorBidi" w:cstheme="majorBidi"/>
          <w:b/>
          <w:bCs/>
        </w:rPr>
        <w:t>References</w:t>
      </w:r>
    </w:p>
    <w:p w14:paraId="5DB3FD17" w14:textId="77777777" w:rsidR="0009530A" w:rsidRPr="007305CB" w:rsidRDefault="0009530A" w:rsidP="0009530A">
      <w:pPr>
        <w:pStyle w:val="NormalWeb"/>
        <w:jc w:val="both"/>
        <w:rPr>
          <w:rFonts w:asciiTheme="majorBidi" w:hAnsiTheme="majorBidi" w:cstheme="majorBidi"/>
          <w:sz w:val="20"/>
          <w:szCs w:val="20"/>
        </w:rPr>
      </w:pPr>
      <w:proofErr w:type="spellStart"/>
      <w:r w:rsidRPr="007305CB">
        <w:rPr>
          <w:rFonts w:asciiTheme="majorBidi" w:hAnsiTheme="majorBidi" w:cstheme="majorBidi"/>
          <w:sz w:val="20"/>
          <w:szCs w:val="20"/>
        </w:rPr>
        <w:t>Donas</w:t>
      </w:r>
      <w:proofErr w:type="spellEnd"/>
      <w:r w:rsidRPr="007305CB">
        <w:rPr>
          <w:rFonts w:asciiTheme="majorBidi" w:hAnsiTheme="majorBidi" w:cstheme="majorBidi"/>
          <w:sz w:val="20"/>
          <w:szCs w:val="20"/>
        </w:rPr>
        <w:t xml:space="preserve"> C, et al. (2016) The histone demethylase inhibitor GSK-J4 limits inflammation through the induction of a tolerogenic phenotype on DCs. J </w:t>
      </w:r>
      <w:proofErr w:type="spellStart"/>
      <w:r w:rsidRPr="007305CB">
        <w:rPr>
          <w:rFonts w:asciiTheme="majorBidi" w:hAnsiTheme="majorBidi" w:cstheme="majorBidi"/>
          <w:sz w:val="20"/>
          <w:szCs w:val="20"/>
        </w:rPr>
        <w:t>Autoimmun</w:t>
      </w:r>
      <w:proofErr w:type="spellEnd"/>
      <w:r w:rsidRPr="007305CB">
        <w:rPr>
          <w:rFonts w:asciiTheme="majorBidi" w:hAnsiTheme="majorBidi" w:cstheme="majorBidi"/>
          <w:sz w:val="20"/>
          <w:szCs w:val="20"/>
        </w:rPr>
        <w:t>;</w:t>
      </w:r>
      <w:r w:rsidRPr="007305CB">
        <w:rPr>
          <w:rFonts w:asciiTheme="majorBidi" w:hAnsiTheme="majorBidi" w:cstheme="majorBidi"/>
          <w:b/>
          <w:bCs/>
          <w:sz w:val="20"/>
          <w:szCs w:val="20"/>
        </w:rPr>
        <w:t xml:space="preserve"> 75:105</w:t>
      </w:r>
      <w:r w:rsidRPr="007305CB">
        <w:rPr>
          <w:rFonts w:asciiTheme="majorBidi" w:hAnsiTheme="majorBidi" w:cstheme="majorBidi"/>
          <w:sz w:val="20"/>
          <w:szCs w:val="20"/>
        </w:rPr>
        <w:t xml:space="preserve">-117. </w:t>
      </w:r>
    </w:p>
    <w:p w14:paraId="5D013B30" w14:textId="77777777" w:rsidR="0009530A" w:rsidRPr="007305CB" w:rsidRDefault="0009530A" w:rsidP="0009530A">
      <w:pPr>
        <w:pStyle w:val="NormalWeb"/>
        <w:jc w:val="both"/>
        <w:rPr>
          <w:rFonts w:asciiTheme="majorBidi" w:hAnsiTheme="majorBidi" w:cstheme="majorBidi"/>
          <w:sz w:val="20"/>
          <w:szCs w:val="20"/>
        </w:rPr>
      </w:pPr>
      <w:proofErr w:type="spellStart"/>
      <w:r w:rsidRPr="007305CB">
        <w:rPr>
          <w:rFonts w:asciiTheme="majorBidi" w:hAnsiTheme="majorBidi" w:cstheme="majorBidi"/>
          <w:sz w:val="20"/>
          <w:szCs w:val="20"/>
        </w:rPr>
        <w:t>Kruidenier</w:t>
      </w:r>
      <w:proofErr w:type="spellEnd"/>
      <w:r w:rsidRPr="007305CB">
        <w:rPr>
          <w:rFonts w:asciiTheme="majorBidi" w:hAnsiTheme="majorBidi" w:cstheme="majorBidi"/>
          <w:sz w:val="20"/>
          <w:szCs w:val="20"/>
        </w:rPr>
        <w:t xml:space="preserve"> L, et al. (2012). A selective </w:t>
      </w:r>
      <w:proofErr w:type="spellStart"/>
      <w:r w:rsidRPr="007305CB">
        <w:rPr>
          <w:rFonts w:asciiTheme="majorBidi" w:hAnsiTheme="majorBidi" w:cstheme="majorBidi"/>
          <w:sz w:val="20"/>
          <w:szCs w:val="20"/>
        </w:rPr>
        <w:t>jumonji</w:t>
      </w:r>
      <w:proofErr w:type="spellEnd"/>
      <w:r w:rsidRPr="007305CB">
        <w:rPr>
          <w:rFonts w:asciiTheme="majorBidi" w:hAnsiTheme="majorBidi" w:cstheme="majorBidi"/>
          <w:sz w:val="20"/>
          <w:szCs w:val="20"/>
        </w:rPr>
        <w:t xml:space="preserve"> H3K27 demethylase inhibitor modulates the proinflammatory macrophage response. Nature;</w:t>
      </w:r>
      <w:r w:rsidRPr="007305CB">
        <w:rPr>
          <w:rFonts w:asciiTheme="majorBidi" w:hAnsiTheme="majorBidi" w:cstheme="majorBidi"/>
          <w:b/>
          <w:bCs/>
          <w:sz w:val="20"/>
          <w:szCs w:val="20"/>
        </w:rPr>
        <w:t>488</w:t>
      </w:r>
      <w:r w:rsidRPr="007305CB">
        <w:rPr>
          <w:rFonts w:asciiTheme="majorBidi" w:hAnsiTheme="majorBidi" w:cstheme="majorBidi"/>
          <w:sz w:val="20"/>
          <w:szCs w:val="20"/>
        </w:rPr>
        <w:t xml:space="preserve">(7411):404-8. </w:t>
      </w:r>
    </w:p>
    <w:p w14:paraId="1348867E" w14:textId="77777777" w:rsidR="0009530A" w:rsidRPr="007305CB" w:rsidRDefault="0009530A" w:rsidP="0009530A">
      <w:pPr>
        <w:pStyle w:val="NormalWeb"/>
        <w:jc w:val="both"/>
        <w:rPr>
          <w:rFonts w:asciiTheme="majorBidi" w:hAnsiTheme="majorBidi" w:cstheme="majorBidi"/>
          <w:sz w:val="20"/>
          <w:szCs w:val="20"/>
        </w:rPr>
      </w:pPr>
      <w:r w:rsidRPr="007305CB">
        <w:rPr>
          <w:rFonts w:asciiTheme="majorBidi" w:hAnsiTheme="majorBidi" w:cstheme="majorBidi"/>
          <w:sz w:val="20"/>
          <w:szCs w:val="20"/>
        </w:rPr>
        <w:t xml:space="preserve">Yapp, C., </w:t>
      </w:r>
      <w:proofErr w:type="spellStart"/>
      <w:r w:rsidRPr="007305CB">
        <w:rPr>
          <w:rFonts w:asciiTheme="majorBidi" w:hAnsiTheme="majorBidi" w:cstheme="majorBidi"/>
          <w:sz w:val="20"/>
          <w:szCs w:val="20"/>
        </w:rPr>
        <w:t>Carr</w:t>
      </w:r>
      <w:proofErr w:type="spellEnd"/>
      <w:r w:rsidRPr="007305CB">
        <w:rPr>
          <w:rFonts w:asciiTheme="majorBidi" w:hAnsiTheme="majorBidi" w:cstheme="majorBidi"/>
          <w:sz w:val="20"/>
          <w:szCs w:val="20"/>
        </w:rPr>
        <w:t xml:space="preserve">, A.J., Price, A., </w:t>
      </w:r>
      <w:proofErr w:type="spellStart"/>
      <w:r w:rsidRPr="007305CB">
        <w:rPr>
          <w:rFonts w:asciiTheme="majorBidi" w:hAnsiTheme="majorBidi" w:cstheme="majorBidi"/>
          <w:sz w:val="20"/>
          <w:szCs w:val="20"/>
        </w:rPr>
        <w:t>Oppermann</w:t>
      </w:r>
      <w:proofErr w:type="spellEnd"/>
      <w:r w:rsidRPr="007305CB">
        <w:rPr>
          <w:rFonts w:asciiTheme="majorBidi" w:hAnsiTheme="majorBidi" w:cstheme="majorBidi"/>
          <w:sz w:val="20"/>
          <w:szCs w:val="20"/>
        </w:rPr>
        <w:t xml:space="preserve">, U. and Snelling, S.J., (2016). H3K27me3 demethylases regulate in vitro chondrogenesis and chondrocyte activity in osteoarthritis. Arthritis research &amp; therapy, </w:t>
      </w:r>
      <w:r w:rsidRPr="007305CB">
        <w:rPr>
          <w:rFonts w:asciiTheme="majorBidi" w:hAnsiTheme="majorBidi" w:cstheme="majorBidi"/>
          <w:b/>
          <w:bCs/>
          <w:sz w:val="20"/>
          <w:szCs w:val="20"/>
        </w:rPr>
        <w:t>18</w:t>
      </w:r>
      <w:r w:rsidRPr="007305CB">
        <w:rPr>
          <w:rFonts w:asciiTheme="majorBidi" w:hAnsiTheme="majorBidi" w:cstheme="majorBidi"/>
          <w:sz w:val="20"/>
          <w:szCs w:val="20"/>
        </w:rPr>
        <w:t xml:space="preserve">(1), pp.1-10 </w:t>
      </w:r>
    </w:p>
    <w:p w14:paraId="605C5262" w14:textId="77777777" w:rsidR="0009530A" w:rsidRPr="007305CB" w:rsidRDefault="0009530A" w:rsidP="0009530A">
      <w:pPr>
        <w:pStyle w:val="NormalWeb"/>
        <w:jc w:val="both"/>
        <w:rPr>
          <w:rFonts w:asciiTheme="majorBidi" w:hAnsiTheme="majorBidi" w:cstheme="majorBidi"/>
          <w:sz w:val="20"/>
          <w:szCs w:val="20"/>
        </w:rPr>
      </w:pPr>
      <w:r w:rsidRPr="007305CB">
        <w:rPr>
          <w:rFonts w:asciiTheme="majorBidi" w:hAnsiTheme="majorBidi" w:cstheme="majorBidi"/>
          <w:sz w:val="20"/>
          <w:szCs w:val="20"/>
        </w:rPr>
        <w:t xml:space="preserve">Bernstein, D.L., Jiang, X. and Rom, S. 2021. let-7 microRNAs: Their Role in Cerebral and Cardiovascular Diseases, Inflammation, Cancer, and Their Regulation. </w:t>
      </w:r>
      <w:r w:rsidRPr="007305CB">
        <w:rPr>
          <w:rFonts w:asciiTheme="majorBidi" w:hAnsiTheme="majorBidi" w:cstheme="majorBidi"/>
          <w:i/>
          <w:iCs/>
          <w:sz w:val="20"/>
          <w:szCs w:val="20"/>
        </w:rPr>
        <w:t xml:space="preserve">Biomedicines </w:t>
      </w:r>
      <w:r w:rsidRPr="007305CB">
        <w:rPr>
          <w:rFonts w:asciiTheme="majorBidi" w:hAnsiTheme="majorBidi" w:cstheme="majorBidi"/>
          <w:b/>
          <w:bCs/>
          <w:sz w:val="20"/>
          <w:szCs w:val="20"/>
        </w:rPr>
        <w:t>9</w:t>
      </w:r>
      <w:r w:rsidRPr="007305CB">
        <w:rPr>
          <w:rFonts w:asciiTheme="majorBidi" w:hAnsiTheme="majorBidi" w:cstheme="majorBidi"/>
          <w:sz w:val="20"/>
          <w:szCs w:val="20"/>
        </w:rPr>
        <w:t xml:space="preserve">(6), p. 606. </w:t>
      </w:r>
    </w:p>
    <w:p w14:paraId="50D165CC" w14:textId="77777777" w:rsidR="0009530A" w:rsidRPr="007305CB" w:rsidRDefault="0009530A" w:rsidP="0009530A">
      <w:pPr>
        <w:pStyle w:val="NormalWeb"/>
        <w:rPr>
          <w:rFonts w:asciiTheme="majorBidi" w:hAnsiTheme="majorBidi" w:cstheme="majorBidi"/>
          <w:sz w:val="20"/>
          <w:szCs w:val="20"/>
        </w:rPr>
      </w:pPr>
      <w:r w:rsidRPr="007305CB">
        <w:rPr>
          <w:rFonts w:asciiTheme="majorBidi" w:hAnsiTheme="majorBidi" w:cstheme="majorBidi"/>
          <w:sz w:val="20"/>
          <w:szCs w:val="20"/>
        </w:rPr>
        <w:t xml:space="preserve">Hunter, C. and Jones, S. (2015). IL-6 as a Keystone Cytokine in Health and Disease. </w:t>
      </w:r>
      <w:r w:rsidRPr="007305CB">
        <w:rPr>
          <w:rFonts w:asciiTheme="majorBidi" w:hAnsiTheme="majorBidi" w:cstheme="majorBidi"/>
          <w:i/>
          <w:iCs/>
          <w:sz w:val="20"/>
          <w:szCs w:val="20"/>
        </w:rPr>
        <w:t>Nat Immunol</w:t>
      </w:r>
      <w:r w:rsidRPr="007305CB">
        <w:rPr>
          <w:rFonts w:asciiTheme="majorBidi" w:hAnsiTheme="majorBidi" w:cstheme="majorBidi"/>
          <w:b/>
          <w:bCs/>
          <w:sz w:val="20"/>
          <w:szCs w:val="20"/>
        </w:rPr>
        <w:t>16</w:t>
      </w:r>
      <w:r w:rsidRPr="007305CB">
        <w:rPr>
          <w:rFonts w:asciiTheme="majorBidi" w:hAnsiTheme="majorBidi" w:cstheme="majorBidi"/>
          <w:sz w:val="20"/>
          <w:szCs w:val="20"/>
        </w:rPr>
        <w:t xml:space="preserve">:448–57 </w:t>
      </w:r>
    </w:p>
    <w:p w14:paraId="0C3B280B" w14:textId="77777777" w:rsidR="0009530A" w:rsidRPr="007305CB" w:rsidRDefault="0009530A" w:rsidP="0009530A">
      <w:pPr>
        <w:pStyle w:val="NormalWeb"/>
        <w:rPr>
          <w:rFonts w:asciiTheme="majorBidi" w:hAnsiTheme="majorBidi" w:cstheme="majorBidi"/>
          <w:sz w:val="20"/>
          <w:szCs w:val="20"/>
        </w:rPr>
      </w:pPr>
      <w:r w:rsidRPr="007305CB">
        <w:rPr>
          <w:rFonts w:asciiTheme="majorBidi" w:hAnsiTheme="majorBidi" w:cstheme="majorBidi"/>
          <w:sz w:val="20"/>
          <w:szCs w:val="20"/>
        </w:rPr>
        <w:t xml:space="preserve">Jones, S.A., Takeuchi, T., </w:t>
      </w:r>
      <w:proofErr w:type="spellStart"/>
      <w:r w:rsidRPr="007305CB">
        <w:rPr>
          <w:rFonts w:asciiTheme="majorBidi" w:hAnsiTheme="majorBidi" w:cstheme="majorBidi"/>
          <w:sz w:val="20"/>
          <w:szCs w:val="20"/>
        </w:rPr>
        <w:t>Aletaha</w:t>
      </w:r>
      <w:proofErr w:type="spellEnd"/>
      <w:r w:rsidRPr="007305CB">
        <w:rPr>
          <w:rFonts w:asciiTheme="majorBidi" w:hAnsiTheme="majorBidi" w:cstheme="majorBidi"/>
          <w:sz w:val="20"/>
          <w:szCs w:val="20"/>
        </w:rPr>
        <w:t xml:space="preserve">, D., Smolen, J., Choy, E.H. and McInnes, I. (2018). Interleukin 6: The biology behind the therapy. </w:t>
      </w:r>
      <w:r w:rsidRPr="007305CB">
        <w:rPr>
          <w:rFonts w:asciiTheme="majorBidi" w:hAnsiTheme="majorBidi" w:cstheme="majorBidi"/>
          <w:i/>
          <w:iCs/>
          <w:sz w:val="20"/>
          <w:szCs w:val="20"/>
        </w:rPr>
        <w:t xml:space="preserve">Considerations in Medicine </w:t>
      </w:r>
      <w:r w:rsidRPr="007305CB">
        <w:rPr>
          <w:rFonts w:asciiTheme="majorBidi" w:hAnsiTheme="majorBidi" w:cstheme="majorBidi"/>
          <w:b/>
          <w:bCs/>
          <w:sz w:val="20"/>
          <w:szCs w:val="20"/>
        </w:rPr>
        <w:t>2</w:t>
      </w:r>
      <w:r w:rsidRPr="007305CB">
        <w:rPr>
          <w:rFonts w:asciiTheme="majorBidi" w:hAnsiTheme="majorBidi" w:cstheme="majorBidi"/>
          <w:sz w:val="20"/>
          <w:szCs w:val="20"/>
        </w:rPr>
        <w:t xml:space="preserve">(1):2. </w:t>
      </w:r>
    </w:p>
    <w:p w14:paraId="547BD4CF" w14:textId="77777777" w:rsidR="0009530A" w:rsidRPr="007305CB" w:rsidRDefault="0009530A" w:rsidP="0009530A">
      <w:pPr>
        <w:spacing w:after="240"/>
        <w:jc w:val="both"/>
        <w:rPr>
          <w:rFonts w:asciiTheme="majorBidi" w:hAnsiTheme="majorBidi" w:cstheme="majorBidi"/>
          <w:sz w:val="20"/>
          <w:szCs w:val="20"/>
          <w:lang w:val="en-US"/>
        </w:rPr>
      </w:pPr>
      <w:proofErr w:type="spellStart"/>
      <w:r w:rsidRPr="007305CB">
        <w:rPr>
          <w:rFonts w:asciiTheme="majorBidi" w:hAnsiTheme="majorBidi" w:cstheme="majorBidi"/>
          <w:sz w:val="20"/>
          <w:szCs w:val="20"/>
          <w:lang w:val="en-US"/>
        </w:rPr>
        <w:t>Thammaiah</w:t>
      </w:r>
      <w:proofErr w:type="spellEnd"/>
      <w:r w:rsidRPr="007305CB">
        <w:rPr>
          <w:rFonts w:asciiTheme="majorBidi" w:hAnsiTheme="majorBidi" w:cstheme="majorBidi"/>
          <w:sz w:val="20"/>
          <w:szCs w:val="20"/>
          <w:lang w:val="en-US"/>
        </w:rPr>
        <w:t xml:space="preserve">, C.K. and Jayaram, S. (2016). Role of let-7 family microRNA in breast cancer. </w:t>
      </w:r>
      <w:r w:rsidRPr="007305CB">
        <w:rPr>
          <w:rFonts w:asciiTheme="majorBidi" w:hAnsiTheme="majorBidi" w:cstheme="majorBidi"/>
          <w:i/>
          <w:iCs/>
          <w:sz w:val="20"/>
          <w:szCs w:val="20"/>
          <w:lang w:val="en-US"/>
        </w:rPr>
        <w:t>Non-coding RNA Research</w:t>
      </w:r>
      <w:r w:rsidRPr="007305CB">
        <w:rPr>
          <w:rFonts w:asciiTheme="majorBidi" w:hAnsiTheme="majorBidi" w:cstheme="majorBidi"/>
          <w:sz w:val="20"/>
          <w:szCs w:val="20"/>
          <w:lang w:val="en-US"/>
        </w:rPr>
        <w:t xml:space="preserve"> 1(1), pp. 77–82. </w:t>
      </w:r>
    </w:p>
    <w:p w14:paraId="6A5A025A" w14:textId="68C3AF1E" w:rsidR="0009530A" w:rsidRDefault="0009530A" w:rsidP="0009530A">
      <w:pPr>
        <w:pStyle w:val="NormalWeb"/>
        <w:jc w:val="both"/>
        <w:rPr>
          <w:rFonts w:asciiTheme="majorBidi" w:hAnsiTheme="majorBidi" w:cstheme="majorBidi"/>
          <w:sz w:val="20"/>
          <w:szCs w:val="20"/>
        </w:rPr>
      </w:pPr>
      <w:r w:rsidRPr="007305CB">
        <w:rPr>
          <w:rFonts w:asciiTheme="majorBidi" w:hAnsiTheme="majorBidi" w:cstheme="majorBidi"/>
          <w:sz w:val="20"/>
          <w:szCs w:val="20"/>
        </w:rPr>
        <w:t xml:space="preserve">Brennan, E. et al. (2017). Protective Effect of let-7 miRNA Family in Regulating Inflammation in Diabetes- Associated Atherosclerosis. </w:t>
      </w:r>
      <w:r w:rsidRPr="007305CB">
        <w:rPr>
          <w:rFonts w:asciiTheme="majorBidi" w:hAnsiTheme="majorBidi" w:cstheme="majorBidi"/>
          <w:i/>
          <w:iCs/>
          <w:sz w:val="20"/>
          <w:szCs w:val="20"/>
        </w:rPr>
        <w:t xml:space="preserve">Diabetes </w:t>
      </w:r>
      <w:r w:rsidRPr="007305CB">
        <w:rPr>
          <w:rFonts w:asciiTheme="majorBidi" w:hAnsiTheme="majorBidi" w:cstheme="majorBidi"/>
          <w:b/>
          <w:bCs/>
          <w:sz w:val="20"/>
          <w:szCs w:val="20"/>
        </w:rPr>
        <w:t>66</w:t>
      </w:r>
      <w:r w:rsidRPr="007305CB">
        <w:rPr>
          <w:rFonts w:asciiTheme="majorBidi" w:hAnsiTheme="majorBidi" w:cstheme="majorBidi"/>
          <w:sz w:val="20"/>
          <w:szCs w:val="20"/>
        </w:rPr>
        <w:t xml:space="preserve">(8), p. 2266. </w:t>
      </w:r>
    </w:p>
    <w:p w14:paraId="6B7C111F" w14:textId="3A9D1552" w:rsidR="00790447" w:rsidRPr="00790447" w:rsidRDefault="00EE6339" w:rsidP="00790447">
      <w:pPr>
        <w:pStyle w:val="NormalWeb"/>
        <w:jc w:val="both"/>
        <w:rPr>
          <w:rFonts w:asciiTheme="majorBidi" w:hAnsiTheme="majorBidi" w:cstheme="majorBidi"/>
          <w:sz w:val="20"/>
          <w:szCs w:val="20"/>
        </w:rPr>
      </w:pPr>
      <w:proofErr w:type="spellStart"/>
      <w:r w:rsidRPr="00EE6339">
        <w:rPr>
          <w:rFonts w:asciiTheme="majorBidi" w:hAnsiTheme="majorBidi" w:cstheme="majorBidi"/>
          <w:sz w:val="20"/>
          <w:szCs w:val="20"/>
        </w:rPr>
        <w:t>Shipa</w:t>
      </w:r>
      <w:proofErr w:type="spellEnd"/>
      <w:r w:rsidRPr="00EE6339">
        <w:rPr>
          <w:rFonts w:asciiTheme="majorBidi" w:hAnsiTheme="majorBidi" w:cstheme="majorBidi"/>
          <w:sz w:val="20"/>
          <w:szCs w:val="20"/>
        </w:rPr>
        <w:t xml:space="preserve">, M.R.A., </w:t>
      </w:r>
      <w:proofErr w:type="spellStart"/>
      <w:r w:rsidRPr="00EE6339">
        <w:rPr>
          <w:rFonts w:asciiTheme="majorBidi" w:hAnsiTheme="majorBidi" w:cstheme="majorBidi"/>
          <w:sz w:val="20"/>
          <w:szCs w:val="20"/>
        </w:rPr>
        <w:t>Amarnani</w:t>
      </w:r>
      <w:proofErr w:type="spellEnd"/>
      <w:r w:rsidRPr="00EE6339">
        <w:rPr>
          <w:rFonts w:asciiTheme="majorBidi" w:hAnsiTheme="majorBidi" w:cstheme="majorBidi"/>
          <w:sz w:val="20"/>
          <w:szCs w:val="20"/>
        </w:rPr>
        <w:t xml:space="preserve">, R., Yeoh, S.-A., </w:t>
      </w:r>
      <w:proofErr w:type="spellStart"/>
      <w:r w:rsidRPr="00EE6339">
        <w:rPr>
          <w:rFonts w:asciiTheme="majorBidi" w:hAnsiTheme="majorBidi" w:cstheme="majorBidi"/>
          <w:sz w:val="20"/>
          <w:szCs w:val="20"/>
        </w:rPr>
        <w:t>Mainuddin</w:t>
      </w:r>
      <w:proofErr w:type="spellEnd"/>
      <w:r w:rsidRPr="00EE6339">
        <w:rPr>
          <w:rFonts w:asciiTheme="majorBidi" w:hAnsiTheme="majorBidi" w:cstheme="majorBidi"/>
          <w:sz w:val="20"/>
          <w:szCs w:val="20"/>
        </w:rPr>
        <w:t>, M.D. and Ehrenstein, M.R. (2021). Early reduction in circulating monocyte count predicts maintenance of remission in patients with rheumatoid arthritis treated with anti-TNF therapy. Annals of the Rheumatic Diseases, p. annrheumdis-220642.</w:t>
      </w:r>
    </w:p>
    <w:p w14:paraId="44EB8E4B" w14:textId="6A183FFF" w:rsidR="00790447" w:rsidRDefault="00790447" w:rsidP="00790447">
      <w:pPr>
        <w:pStyle w:val="NormalWeb"/>
        <w:jc w:val="both"/>
        <w:rPr>
          <w:rFonts w:asciiTheme="majorBidi" w:hAnsiTheme="majorBidi" w:cstheme="majorBidi"/>
          <w:sz w:val="20"/>
          <w:szCs w:val="20"/>
        </w:rPr>
      </w:pPr>
      <w:proofErr w:type="spellStart"/>
      <w:r w:rsidRPr="00790447">
        <w:rPr>
          <w:rFonts w:asciiTheme="majorBidi" w:hAnsiTheme="majorBidi" w:cstheme="majorBidi"/>
          <w:sz w:val="20"/>
          <w:szCs w:val="20"/>
        </w:rPr>
        <w:t>Kawanaka</w:t>
      </w:r>
      <w:proofErr w:type="spellEnd"/>
      <w:r w:rsidRPr="00790447">
        <w:rPr>
          <w:rFonts w:asciiTheme="majorBidi" w:hAnsiTheme="majorBidi" w:cstheme="majorBidi"/>
          <w:sz w:val="20"/>
          <w:szCs w:val="20"/>
        </w:rPr>
        <w:t xml:space="preserve">, N., Yamamura, M., </w:t>
      </w:r>
      <w:proofErr w:type="spellStart"/>
      <w:r w:rsidRPr="00790447">
        <w:rPr>
          <w:rFonts w:asciiTheme="majorBidi" w:hAnsiTheme="majorBidi" w:cstheme="majorBidi"/>
          <w:sz w:val="20"/>
          <w:szCs w:val="20"/>
        </w:rPr>
        <w:t>Aita</w:t>
      </w:r>
      <w:proofErr w:type="spellEnd"/>
      <w:r w:rsidRPr="00790447">
        <w:rPr>
          <w:rFonts w:asciiTheme="majorBidi" w:hAnsiTheme="majorBidi" w:cstheme="majorBidi"/>
          <w:sz w:val="20"/>
          <w:szCs w:val="20"/>
        </w:rPr>
        <w:t xml:space="preserve">, T., Morita, Y., Okamoto, A., Kawashima, M., </w:t>
      </w:r>
      <w:proofErr w:type="spellStart"/>
      <w:r w:rsidRPr="00790447">
        <w:rPr>
          <w:rFonts w:asciiTheme="majorBidi" w:hAnsiTheme="majorBidi" w:cstheme="majorBidi"/>
          <w:sz w:val="20"/>
          <w:szCs w:val="20"/>
        </w:rPr>
        <w:t>Iwahashi</w:t>
      </w:r>
      <w:proofErr w:type="spellEnd"/>
      <w:r w:rsidRPr="00790447">
        <w:rPr>
          <w:rFonts w:asciiTheme="majorBidi" w:hAnsiTheme="majorBidi" w:cstheme="majorBidi"/>
          <w:sz w:val="20"/>
          <w:szCs w:val="20"/>
        </w:rPr>
        <w:t xml:space="preserve">, M., Ueno, A., </w:t>
      </w:r>
      <w:proofErr w:type="spellStart"/>
      <w:r w:rsidRPr="00790447">
        <w:rPr>
          <w:rFonts w:asciiTheme="majorBidi" w:hAnsiTheme="majorBidi" w:cstheme="majorBidi"/>
          <w:sz w:val="20"/>
          <w:szCs w:val="20"/>
        </w:rPr>
        <w:t>Ohmoto</w:t>
      </w:r>
      <w:proofErr w:type="spellEnd"/>
      <w:r w:rsidRPr="00790447">
        <w:rPr>
          <w:rFonts w:asciiTheme="majorBidi" w:hAnsiTheme="majorBidi" w:cstheme="majorBidi"/>
          <w:sz w:val="20"/>
          <w:szCs w:val="20"/>
        </w:rPr>
        <w:t>, Y. and Makino, H., (2002). CD14+, CD16+ blood monocytes and joint inflammation in rheumatoid arthritis. Arthritis &amp; Rheumatism, 46(10), pp.2578-2586.</w:t>
      </w:r>
    </w:p>
    <w:p w14:paraId="668D462C" w14:textId="60DE64D7" w:rsidR="006C0204" w:rsidRPr="006C0204" w:rsidRDefault="00790447" w:rsidP="006C0204">
      <w:pPr>
        <w:pStyle w:val="NormalWeb"/>
        <w:jc w:val="both"/>
        <w:rPr>
          <w:rFonts w:asciiTheme="majorBidi" w:hAnsiTheme="majorBidi" w:cstheme="majorBidi"/>
          <w:sz w:val="20"/>
          <w:szCs w:val="20"/>
        </w:rPr>
      </w:pPr>
      <w:r w:rsidRPr="00790447">
        <w:rPr>
          <w:rFonts w:asciiTheme="majorBidi" w:hAnsiTheme="majorBidi" w:cstheme="majorBidi"/>
          <w:sz w:val="20"/>
          <w:szCs w:val="20"/>
        </w:rPr>
        <w:t>Zhuang, J., Han, Y., Xu, D., Zhu, G., Singh, S., Chen, L., Zhu, M., Chen, W., Xu, Y. and Li, X., (2017). Comparison of circulating dendritic cell and monocyte subsets at different stages of atherosclerosis: insights from optical coherence tomography. BMC cardiovascular disorders, 17(1), pp.1-10.</w:t>
      </w:r>
    </w:p>
    <w:p w14:paraId="39020038" w14:textId="2470284A" w:rsidR="006C0204" w:rsidRDefault="006C0204" w:rsidP="006C0204">
      <w:pPr>
        <w:pStyle w:val="NormalWeb"/>
        <w:jc w:val="both"/>
        <w:rPr>
          <w:rFonts w:asciiTheme="majorBidi" w:hAnsiTheme="majorBidi" w:cstheme="majorBidi"/>
          <w:sz w:val="20"/>
          <w:szCs w:val="20"/>
        </w:rPr>
      </w:pPr>
      <w:proofErr w:type="spellStart"/>
      <w:r w:rsidRPr="006C0204">
        <w:rPr>
          <w:rFonts w:asciiTheme="majorBidi" w:hAnsiTheme="majorBidi" w:cstheme="majorBidi"/>
          <w:sz w:val="20"/>
          <w:szCs w:val="20"/>
        </w:rPr>
        <w:t>Cappellari</w:t>
      </w:r>
      <w:proofErr w:type="spellEnd"/>
      <w:r w:rsidRPr="006C0204">
        <w:rPr>
          <w:rFonts w:asciiTheme="majorBidi" w:hAnsiTheme="majorBidi" w:cstheme="majorBidi"/>
          <w:sz w:val="20"/>
          <w:szCs w:val="20"/>
        </w:rPr>
        <w:t xml:space="preserve">, R., </w:t>
      </w:r>
      <w:proofErr w:type="spellStart"/>
      <w:r w:rsidRPr="006C0204">
        <w:rPr>
          <w:rFonts w:asciiTheme="majorBidi" w:hAnsiTheme="majorBidi" w:cstheme="majorBidi"/>
          <w:sz w:val="20"/>
          <w:szCs w:val="20"/>
        </w:rPr>
        <w:t>D'Anna</w:t>
      </w:r>
      <w:proofErr w:type="spellEnd"/>
      <w:r w:rsidRPr="006C0204">
        <w:rPr>
          <w:rFonts w:asciiTheme="majorBidi" w:hAnsiTheme="majorBidi" w:cstheme="majorBidi"/>
          <w:sz w:val="20"/>
          <w:szCs w:val="20"/>
        </w:rPr>
        <w:t xml:space="preserve">, M., </w:t>
      </w:r>
      <w:proofErr w:type="spellStart"/>
      <w:r w:rsidRPr="006C0204">
        <w:rPr>
          <w:rFonts w:asciiTheme="majorBidi" w:hAnsiTheme="majorBidi" w:cstheme="majorBidi"/>
          <w:sz w:val="20"/>
          <w:szCs w:val="20"/>
        </w:rPr>
        <w:t>Bonora</w:t>
      </w:r>
      <w:proofErr w:type="spellEnd"/>
      <w:r w:rsidRPr="006C0204">
        <w:rPr>
          <w:rFonts w:asciiTheme="majorBidi" w:hAnsiTheme="majorBidi" w:cstheme="majorBidi"/>
          <w:sz w:val="20"/>
          <w:szCs w:val="20"/>
        </w:rPr>
        <w:t xml:space="preserve">, B.M., Rigato, M., </w:t>
      </w:r>
      <w:proofErr w:type="spellStart"/>
      <w:r w:rsidRPr="006C0204">
        <w:rPr>
          <w:rFonts w:asciiTheme="majorBidi" w:hAnsiTheme="majorBidi" w:cstheme="majorBidi"/>
          <w:sz w:val="20"/>
          <w:szCs w:val="20"/>
        </w:rPr>
        <w:t>Cignarella</w:t>
      </w:r>
      <w:proofErr w:type="spellEnd"/>
      <w:r w:rsidRPr="006C0204">
        <w:rPr>
          <w:rFonts w:asciiTheme="majorBidi" w:hAnsiTheme="majorBidi" w:cstheme="majorBidi"/>
          <w:sz w:val="20"/>
          <w:szCs w:val="20"/>
        </w:rPr>
        <w:t xml:space="preserve">, A., </w:t>
      </w:r>
      <w:proofErr w:type="spellStart"/>
      <w:r w:rsidRPr="006C0204">
        <w:rPr>
          <w:rFonts w:asciiTheme="majorBidi" w:hAnsiTheme="majorBidi" w:cstheme="majorBidi"/>
          <w:sz w:val="20"/>
          <w:szCs w:val="20"/>
        </w:rPr>
        <w:t>Avogaro</w:t>
      </w:r>
      <w:proofErr w:type="spellEnd"/>
      <w:r w:rsidRPr="006C0204">
        <w:rPr>
          <w:rFonts w:asciiTheme="majorBidi" w:hAnsiTheme="majorBidi" w:cstheme="majorBidi"/>
          <w:sz w:val="20"/>
          <w:szCs w:val="20"/>
        </w:rPr>
        <w:t xml:space="preserve">, A. and </w:t>
      </w:r>
      <w:proofErr w:type="spellStart"/>
      <w:r w:rsidRPr="006C0204">
        <w:rPr>
          <w:rFonts w:asciiTheme="majorBidi" w:hAnsiTheme="majorBidi" w:cstheme="majorBidi"/>
          <w:sz w:val="20"/>
          <w:szCs w:val="20"/>
        </w:rPr>
        <w:t>Fadini</w:t>
      </w:r>
      <w:proofErr w:type="spellEnd"/>
      <w:r w:rsidRPr="006C0204">
        <w:rPr>
          <w:rFonts w:asciiTheme="majorBidi" w:hAnsiTheme="majorBidi" w:cstheme="majorBidi"/>
          <w:sz w:val="20"/>
          <w:szCs w:val="20"/>
        </w:rPr>
        <w:t>, G.P., 2017. Shift of monocyte subsets along their continuum predicts cardiovascular outcomes. Atherosclerosis, 266, pp.95-102.</w:t>
      </w:r>
    </w:p>
    <w:p w14:paraId="7DC664DD" w14:textId="07F12207" w:rsidR="006C0204" w:rsidRPr="007305CB" w:rsidRDefault="006C0204" w:rsidP="006C0204">
      <w:pPr>
        <w:pStyle w:val="NormalWeb"/>
        <w:jc w:val="both"/>
        <w:rPr>
          <w:rFonts w:asciiTheme="majorBidi" w:hAnsiTheme="majorBidi" w:cstheme="majorBidi"/>
          <w:sz w:val="20"/>
          <w:szCs w:val="20"/>
        </w:rPr>
      </w:pPr>
      <w:r w:rsidRPr="006C0204">
        <w:rPr>
          <w:rFonts w:asciiTheme="majorBidi" w:hAnsiTheme="majorBidi" w:cstheme="majorBidi"/>
          <w:sz w:val="20"/>
          <w:szCs w:val="20"/>
        </w:rPr>
        <w:t xml:space="preserve">Ozaki, Y., </w:t>
      </w:r>
      <w:proofErr w:type="spellStart"/>
      <w:r w:rsidRPr="006C0204">
        <w:rPr>
          <w:rFonts w:asciiTheme="majorBidi" w:hAnsiTheme="majorBidi" w:cstheme="majorBidi"/>
          <w:sz w:val="20"/>
          <w:szCs w:val="20"/>
        </w:rPr>
        <w:t>Imanishi</w:t>
      </w:r>
      <w:proofErr w:type="spellEnd"/>
      <w:r w:rsidRPr="006C0204">
        <w:rPr>
          <w:rFonts w:asciiTheme="majorBidi" w:hAnsiTheme="majorBidi" w:cstheme="majorBidi"/>
          <w:sz w:val="20"/>
          <w:szCs w:val="20"/>
        </w:rPr>
        <w:t xml:space="preserve">, T., Hosokawa, S., </w:t>
      </w:r>
      <w:proofErr w:type="spellStart"/>
      <w:r w:rsidRPr="006C0204">
        <w:rPr>
          <w:rFonts w:asciiTheme="majorBidi" w:hAnsiTheme="majorBidi" w:cstheme="majorBidi"/>
          <w:sz w:val="20"/>
          <w:szCs w:val="20"/>
        </w:rPr>
        <w:t>Nishiguchi</w:t>
      </w:r>
      <w:proofErr w:type="spellEnd"/>
      <w:r w:rsidRPr="006C0204">
        <w:rPr>
          <w:rFonts w:asciiTheme="majorBidi" w:hAnsiTheme="majorBidi" w:cstheme="majorBidi"/>
          <w:sz w:val="20"/>
          <w:szCs w:val="20"/>
        </w:rPr>
        <w:t xml:space="preserve">, T., </w:t>
      </w:r>
      <w:proofErr w:type="spellStart"/>
      <w:r w:rsidRPr="006C0204">
        <w:rPr>
          <w:rFonts w:asciiTheme="majorBidi" w:hAnsiTheme="majorBidi" w:cstheme="majorBidi"/>
          <w:sz w:val="20"/>
          <w:szCs w:val="20"/>
        </w:rPr>
        <w:t>Taruya</w:t>
      </w:r>
      <w:proofErr w:type="spellEnd"/>
      <w:r w:rsidRPr="006C0204">
        <w:rPr>
          <w:rFonts w:asciiTheme="majorBidi" w:hAnsiTheme="majorBidi" w:cstheme="majorBidi"/>
          <w:sz w:val="20"/>
          <w:szCs w:val="20"/>
        </w:rPr>
        <w:t xml:space="preserve">, A., </w:t>
      </w:r>
      <w:proofErr w:type="spellStart"/>
      <w:r w:rsidRPr="006C0204">
        <w:rPr>
          <w:rFonts w:asciiTheme="majorBidi" w:hAnsiTheme="majorBidi" w:cstheme="majorBidi"/>
          <w:sz w:val="20"/>
          <w:szCs w:val="20"/>
        </w:rPr>
        <w:t>Tanimoto</w:t>
      </w:r>
      <w:proofErr w:type="spellEnd"/>
      <w:r w:rsidRPr="006C0204">
        <w:rPr>
          <w:rFonts w:asciiTheme="majorBidi" w:hAnsiTheme="majorBidi" w:cstheme="majorBidi"/>
          <w:sz w:val="20"/>
          <w:szCs w:val="20"/>
        </w:rPr>
        <w:t xml:space="preserve">, T., </w:t>
      </w:r>
      <w:proofErr w:type="spellStart"/>
      <w:r w:rsidRPr="006C0204">
        <w:rPr>
          <w:rFonts w:asciiTheme="majorBidi" w:hAnsiTheme="majorBidi" w:cstheme="majorBidi"/>
          <w:sz w:val="20"/>
          <w:szCs w:val="20"/>
        </w:rPr>
        <w:t>Kuroi</w:t>
      </w:r>
      <w:proofErr w:type="spellEnd"/>
      <w:r w:rsidRPr="006C0204">
        <w:rPr>
          <w:rFonts w:asciiTheme="majorBidi" w:hAnsiTheme="majorBidi" w:cstheme="majorBidi"/>
          <w:sz w:val="20"/>
          <w:szCs w:val="20"/>
        </w:rPr>
        <w:t xml:space="preserve">, A., </w:t>
      </w:r>
      <w:proofErr w:type="spellStart"/>
      <w:r w:rsidRPr="006C0204">
        <w:rPr>
          <w:rFonts w:asciiTheme="majorBidi" w:hAnsiTheme="majorBidi" w:cstheme="majorBidi"/>
          <w:sz w:val="20"/>
          <w:szCs w:val="20"/>
        </w:rPr>
        <w:t>Yamano</w:t>
      </w:r>
      <w:proofErr w:type="spellEnd"/>
      <w:r w:rsidRPr="006C0204">
        <w:rPr>
          <w:rFonts w:asciiTheme="majorBidi" w:hAnsiTheme="majorBidi" w:cstheme="majorBidi"/>
          <w:sz w:val="20"/>
          <w:szCs w:val="20"/>
        </w:rPr>
        <w:t xml:space="preserve">, T., Matsuo, Y., </w:t>
      </w:r>
      <w:proofErr w:type="spellStart"/>
      <w:r w:rsidRPr="006C0204">
        <w:rPr>
          <w:rFonts w:asciiTheme="majorBidi" w:hAnsiTheme="majorBidi" w:cstheme="majorBidi"/>
          <w:sz w:val="20"/>
          <w:szCs w:val="20"/>
        </w:rPr>
        <w:t>Ino</w:t>
      </w:r>
      <w:proofErr w:type="spellEnd"/>
      <w:r w:rsidRPr="006C0204">
        <w:rPr>
          <w:rFonts w:asciiTheme="majorBidi" w:hAnsiTheme="majorBidi" w:cstheme="majorBidi"/>
          <w:sz w:val="20"/>
          <w:szCs w:val="20"/>
        </w:rPr>
        <w:t xml:space="preserve">, Y. and </w:t>
      </w:r>
      <w:proofErr w:type="spellStart"/>
      <w:r w:rsidRPr="006C0204">
        <w:rPr>
          <w:rFonts w:asciiTheme="majorBidi" w:hAnsiTheme="majorBidi" w:cstheme="majorBidi"/>
          <w:sz w:val="20"/>
          <w:szCs w:val="20"/>
        </w:rPr>
        <w:t>Kitabata</w:t>
      </w:r>
      <w:proofErr w:type="spellEnd"/>
      <w:r w:rsidRPr="006C0204">
        <w:rPr>
          <w:rFonts w:asciiTheme="majorBidi" w:hAnsiTheme="majorBidi" w:cstheme="majorBidi"/>
          <w:sz w:val="20"/>
          <w:szCs w:val="20"/>
        </w:rPr>
        <w:t>, H., (2017). Association of toll-like receptor 4 on human monocyte subsets and vulnerability characteristics of coronary plaque as assessed by 64-slice multidetector computed tomography. Circulation Journal, pp.CJ-16.</w:t>
      </w:r>
    </w:p>
    <w:sectPr w:rsidR="006C0204" w:rsidRPr="007305CB">
      <w:headerReference w:type="even" r:id="rId7"/>
      <w:headerReference w:type="default" r:id="rId8"/>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E912173" w14:textId="77777777" w:rsidR="002C5B3A" w:rsidRDefault="002C5B3A" w:rsidP="00A37190">
      <w:r>
        <w:separator/>
      </w:r>
    </w:p>
  </w:endnote>
  <w:endnote w:type="continuationSeparator" w:id="0">
    <w:p w14:paraId="1DD3E7DA" w14:textId="77777777" w:rsidR="002C5B3A" w:rsidRDefault="002C5B3A" w:rsidP="00A3719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Times New Roman (Headings CS)">
    <w:altName w:val="Times New Roman"/>
    <w:panose1 w:val="020B0604020202020204"/>
    <w:charset w:val="00"/>
    <w:family w:val="roman"/>
    <w:notTrueType/>
    <w:pitch w:val="default"/>
  </w:font>
  <w:font w:name="TimesNewRomanPSMT">
    <w:altName w:val="Times New Roman"/>
    <w:panose1 w:val="020B0604020202020204"/>
    <w:charset w:val="00"/>
    <w:family w:val="roman"/>
    <w:pitch w:val="variable"/>
    <w:sig w:usb0="E0002AEF" w:usb1="C0007841" w:usb2="00000009" w:usb3="00000000" w:csb0="000001FF" w:csb1="00000000"/>
  </w:font>
  <w:font w:name="TimesNewRomanPS">
    <w:altName w:val="Times New Roman"/>
    <w:panose1 w:val="020B0604020202020204"/>
    <w:charset w:val="00"/>
    <w:family w:val="roman"/>
    <w:notTrueType/>
    <w:pitch w:val="default"/>
  </w:font>
  <w:font w:name="SymbolMT">
    <w:altName w:val="Cambria"/>
    <w:panose1 w:val="020B0604020202020204"/>
    <w:charset w:val="00"/>
    <w:family w:val="roman"/>
    <w:notTrueType/>
    <w:pitch w:val="default"/>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9F83ED9" w14:textId="77777777" w:rsidR="002C5B3A" w:rsidRDefault="002C5B3A" w:rsidP="00A37190">
      <w:r>
        <w:separator/>
      </w:r>
    </w:p>
  </w:footnote>
  <w:footnote w:type="continuationSeparator" w:id="0">
    <w:p w14:paraId="1DC0E026" w14:textId="77777777" w:rsidR="002C5B3A" w:rsidRDefault="002C5B3A" w:rsidP="00A3719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1278685090"/>
      <w:docPartObj>
        <w:docPartGallery w:val="Page Numbers (Top of Page)"/>
        <w:docPartUnique/>
      </w:docPartObj>
    </w:sdtPr>
    <w:sdtEndPr>
      <w:rPr>
        <w:rStyle w:val="PageNumber"/>
      </w:rPr>
    </w:sdtEndPr>
    <w:sdtContent>
      <w:p w14:paraId="6D028CE2" w14:textId="57B20AA8" w:rsidR="00A37190" w:rsidRDefault="00A37190" w:rsidP="00DB03E0">
        <w:pPr>
          <w:pStyle w:val="Head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23AE33B6" w14:textId="77777777" w:rsidR="00A37190" w:rsidRDefault="00A37190" w:rsidP="00A37190">
    <w:pPr>
      <w:pStyle w:val="Header"/>
      <w:ind w:right="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304203953"/>
      <w:docPartObj>
        <w:docPartGallery w:val="Page Numbers (Top of Page)"/>
        <w:docPartUnique/>
      </w:docPartObj>
    </w:sdtPr>
    <w:sdtEndPr>
      <w:rPr>
        <w:rStyle w:val="PageNumber"/>
      </w:rPr>
    </w:sdtEndPr>
    <w:sdtContent>
      <w:p w14:paraId="45DAC762" w14:textId="79E6ECE0" w:rsidR="00A37190" w:rsidRDefault="00A37190" w:rsidP="00DB03E0">
        <w:pPr>
          <w:pStyle w:val="Head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sdtContent>
  </w:sdt>
  <w:p w14:paraId="7C00CD8E" w14:textId="77777777" w:rsidR="00A37190" w:rsidRDefault="00A37190" w:rsidP="00A37190">
    <w:pPr>
      <w:pStyle w:val="Header"/>
      <w:ind w:right="36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3015AB9"/>
    <w:multiLevelType w:val="multilevel"/>
    <w:tmpl w:val="5B3EB0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7857661F"/>
    <w:multiLevelType w:val="hybridMultilevel"/>
    <w:tmpl w:val="5078A440"/>
    <w:lvl w:ilvl="0" w:tplc="1E86784A">
      <w:start w:val="1"/>
      <w:numFmt w:val="decimal"/>
      <w:lvlText w:val="%1."/>
      <w:lvlJc w:val="left"/>
      <w:pPr>
        <w:ind w:left="960" w:hanging="9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5"/>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42BAF"/>
    <w:rsid w:val="00034321"/>
    <w:rsid w:val="00080AB3"/>
    <w:rsid w:val="0009530A"/>
    <w:rsid w:val="00173F5C"/>
    <w:rsid w:val="00186476"/>
    <w:rsid w:val="002179CB"/>
    <w:rsid w:val="00226D0E"/>
    <w:rsid w:val="0024174A"/>
    <w:rsid w:val="00245100"/>
    <w:rsid w:val="002C5B3A"/>
    <w:rsid w:val="00314315"/>
    <w:rsid w:val="003879C3"/>
    <w:rsid w:val="00390E30"/>
    <w:rsid w:val="003A5D07"/>
    <w:rsid w:val="003F6192"/>
    <w:rsid w:val="0040497D"/>
    <w:rsid w:val="004062B1"/>
    <w:rsid w:val="004C0A6E"/>
    <w:rsid w:val="00513EE9"/>
    <w:rsid w:val="005207CE"/>
    <w:rsid w:val="0052180C"/>
    <w:rsid w:val="00567A2A"/>
    <w:rsid w:val="005A6FC9"/>
    <w:rsid w:val="00623905"/>
    <w:rsid w:val="00660179"/>
    <w:rsid w:val="00686D9D"/>
    <w:rsid w:val="006C0204"/>
    <w:rsid w:val="007305CB"/>
    <w:rsid w:val="007644AF"/>
    <w:rsid w:val="00790447"/>
    <w:rsid w:val="008071C0"/>
    <w:rsid w:val="00854E33"/>
    <w:rsid w:val="008847FF"/>
    <w:rsid w:val="0089721B"/>
    <w:rsid w:val="008B2C57"/>
    <w:rsid w:val="00926FF2"/>
    <w:rsid w:val="00997FB8"/>
    <w:rsid w:val="009D4695"/>
    <w:rsid w:val="009F2225"/>
    <w:rsid w:val="00A00FE6"/>
    <w:rsid w:val="00A05EF1"/>
    <w:rsid w:val="00A33AC2"/>
    <w:rsid w:val="00A37190"/>
    <w:rsid w:val="00A573C7"/>
    <w:rsid w:val="00A71257"/>
    <w:rsid w:val="00A90BF2"/>
    <w:rsid w:val="00BF46A8"/>
    <w:rsid w:val="00C51D39"/>
    <w:rsid w:val="00C80000"/>
    <w:rsid w:val="00CE4FAD"/>
    <w:rsid w:val="00D07966"/>
    <w:rsid w:val="00D30E67"/>
    <w:rsid w:val="00D40CDF"/>
    <w:rsid w:val="00D943AE"/>
    <w:rsid w:val="00DB5361"/>
    <w:rsid w:val="00DC30DB"/>
    <w:rsid w:val="00E054B0"/>
    <w:rsid w:val="00E07D38"/>
    <w:rsid w:val="00E33400"/>
    <w:rsid w:val="00E6639C"/>
    <w:rsid w:val="00E80E48"/>
    <w:rsid w:val="00E918D2"/>
    <w:rsid w:val="00EE6339"/>
    <w:rsid w:val="00EF46B8"/>
    <w:rsid w:val="00F42BAF"/>
    <w:rsid w:val="00F61F50"/>
    <w:rsid w:val="00F62DB7"/>
    <w:rsid w:val="00FB5AED"/>
    <w:rsid w:val="022B3DD4"/>
    <w:rsid w:val="06B3E25B"/>
    <w:rsid w:val="096A17F8"/>
    <w:rsid w:val="0B0D2CE9"/>
    <w:rsid w:val="15BC4F8D"/>
    <w:rsid w:val="1A3FB89A"/>
    <w:rsid w:val="1A9442FA"/>
    <w:rsid w:val="1C8CD0AD"/>
    <w:rsid w:val="1FC81A67"/>
    <w:rsid w:val="202D5BDB"/>
    <w:rsid w:val="20FF0234"/>
    <w:rsid w:val="2430E17A"/>
    <w:rsid w:val="2F814323"/>
    <w:rsid w:val="2FFA09A1"/>
    <w:rsid w:val="311D1384"/>
    <w:rsid w:val="378C5508"/>
    <w:rsid w:val="378D5BBF"/>
    <w:rsid w:val="498358BA"/>
    <w:rsid w:val="49DF3543"/>
    <w:rsid w:val="4B3B2BCE"/>
    <w:rsid w:val="4BB4B42A"/>
    <w:rsid w:val="4BF29276"/>
    <w:rsid w:val="4E53827F"/>
    <w:rsid w:val="4FB67EF4"/>
    <w:rsid w:val="506EFCF0"/>
    <w:rsid w:val="520ACD51"/>
    <w:rsid w:val="54CB1F7A"/>
    <w:rsid w:val="587A0ED5"/>
    <w:rsid w:val="59D48B42"/>
    <w:rsid w:val="658222D1"/>
    <w:rsid w:val="6A675D27"/>
    <w:rsid w:val="703F8355"/>
    <w:rsid w:val="77307FF5"/>
    <w:rsid w:val="77FA762F"/>
    <w:rsid w:val="7D117EB3"/>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2D1AF46"/>
  <w15:chartTrackingRefBased/>
  <w15:docId w15:val="{86A53124-44FE-4A4C-9951-327C69B901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qFormat="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2">
    <w:name w:val="heading 2"/>
    <w:basedOn w:val="Normal"/>
    <w:next w:val="Normal"/>
    <w:link w:val="Heading2Char"/>
    <w:uiPriority w:val="9"/>
    <w:unhideWhenUsed/>
    <w:qFormat/>
    <w:rsid w:val="00A00FE6"/>
    <w:pPr>
      <w:keepNext/>
      <w:keepLines/>
      <w:spacing w:before="4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autoRedefine/>
    <w:uiPriority w:val="9"/>
    <w:unhideWhenUsed/>
    <w:qFormat/>
    <w:rsid w:val="00FB5AED"/>
    <w:pPr>
      <w:keepNext/>
      <w:keepLines/>
      <w:spacing w:before="40"/>
      <w:outlineLvl w:val="2"/>
    </w:pPr>
    <w:rPr>
      <w:rFonts w:asciiTheme="majorBidi" w:eastAsiaTheme="majorEastAsia" w:hAnsiTheme="majorBidi" w:cstheme="majorBidi"/>
      <w:color w:val="1F3763" w:themeColor="accent1" w:themeShade="7F"/>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sid w:val="00FB5AED"/>
    <w:rPr>
      <w:rFonts w:asciiTheme="majorBidi" w:eastAsiaTheme="majorEastAsia" w:hAnsiTheme="majorBidi" w:cstheme="majorBidi"/>
      <w:color w:val="1F3763" w:themeColor="accent1" w:themeShade="7F"/>
      <w:sz w:val="22"/>
    </w:rPr>
  </w:style>
  <w:style w:type="paragraph" w:styleId="TableofFigures">
    <w:name w:val="table of figures"/>
    <w:basedOn w:val="Normal"/>
    <w:next w:val="Normal"/>
    <w:autoRedefine/>
    <w:uiPriority w:val="99"/>
    <w:unhideWhenUsed/>
    <w:qFormat/>
    <w:rsid w:val="005207CE"/>
    <w:rPr>
      <w:rFonts w:ascii="Times New Roman" w:eastAsia="Times New Roman" w:hAnsi="Times New Roman" w:cs="Times New Roman"/>
      <w:b/>
      <w:sz w:val="20"/>
      <w:lang w:eastAsia="en-GB"/>
    </w:rPr>
  </w:style>
  <w:style w:type="paragraph" w:styleId="Bibliography">
    <w:name w:val="Bibliography"/>
    <w:basedOn w:val="Normal"/>
    <w:next w:val="Normal"/>
    <w:uiPriority w:val="37"/>
    <w:unhideWhenUsed/>
    <w:rsid w:val="00173F5C"/>
    <w:pPr>
      <w:tabs>
        <w:tab w:val="left" w:pos="380"/>
      </w:tabs>
      <w:spacing w:after="240"/>
      <w:ind w:left="384" w:hanging="384"/>
    </w:pPr>
  </w:style>
  <w:style w:type="character" w:customStyle="1" w:styleId="Heading2Char">
    <w:name w:val="Heading 2 Char"/>
    <w:basedOn w:val="DefaultParagraphFont"/>
    <w:link w:val="Heading2"/>
    <w:uiPriority w:val="9"/>
    <w:rsid w:val="00A00FE6"/>
    <w:rPr>
      <w:rFonts w:asciiTheme="majorHAnsi" w:eastAsiaTheme="majorEastAsia" w:hAnsiTheme="majorHAnsi" w:cstheme="majorBidi"/>
      <w:color w:val="2F5496" w:themeColor="accent1" w:themeShade="BF"/>
      <w:sz w:val="26"/>
      <w:szCs w:val="26"/>
      <w:lang w:val="en-GB"/>
    </w:rPr>
  </w:style>
  <w:style w:type="paragraph" w:styleId="ListParagraph">
    <w:name w:val="List Paragraph"/>
    <w:basedOn w:val="Normal"/>
    <w:uiPriority w:val="34"/>
    <w:qFormat/>
    <w:rsid w:val="00A00FE6"/>
    <w:pPr>
      <w:ind w:left="720"/>
      <w:contextualSpacing/>
    </w:pPr>
  </w:style>
  <w:style w:type="paragraph" w:styleId="Caption">
    <w:name w:val="caption"/>
    <w:basedOn w:val="Normal"/>
    <w:next w:val="Normal"/>
    <w:uiPriority w:val="35"/>
    <w:unhideWhenUsed/>
    <w:qFormat/>
    <w:rsid w:val="003879C3"/>
    <w:rPr>
      <w:rFonts w:ascii="Times New Roman" w:eastAsia="Times New Roman" w:hAnsi="Times New Roman" w:cs="Times New Roman"/>
      <w:b/>
      <w:iCs/>
      <w:color w:val="000000" w:themeColor="text1"/>
      <w:sz w:val="20"/>
      <w:szCs w:val="18"/>
      <w:lang w:eastAsia="en-GB"/>
    </w:rPr>
  </w:style>
  <w:style w:type="character" w:styleId="CommentReference">
    <w:name w:val="annotation reference"/>
    <w:basedOn w:val="DefaultParagraphFont"/>
    <w:uiPriority w:val="99"/>
    <w:semiHidden/>
    <w:unhideWhenUsed/>
    <w:rsid w:val="00D07966"/>
    <w:rPr>
      <w:sz w:val="16"/>
      <w:szCs w:val="16"/>
    </w:rPr>
  </w:style>
  <w:style w:type="paragraph" w:styleId="CommentText">
    <w:name w:val="annotation text"/>
    <w:basedOn w:val="Normal"/>
    <w:link w:val="CommentTextChar"/>
    <w:uiPriority w:val="99"/>
    <w:semiHidden/>
    <w:unhideWhenUsed/>
    <w:rsid w:val="00D07966"/>
    <w:rPr>
      <w:sz w:val="20"/>
      <w:szCs w:val="20"/>
    </w:rPr>
  </w:style>
  <w:style w:type="character" w:customStyle="1" w:styleId="CommentTextChar">
    <w:name w:val="Comment Text Char"/>
    <w:basedOn w:val="DefaultParagraphFont"/>
    <w:link w:val="CommentText"/>
    <w:uiPriority w:val="99"/>
    <w:semiHidden/>
    <w:rsid w:val="00D07966"/>
    <w:rPr>
      <w:sz w:val="20"/>
      <w:szCs w:val="20"/>
    </w:rPr>
  </w:style>
  <w:style w:type="paragraph" w:styleId="CommentSubject">
    <w:name w:val="annotation subject"/>
    <w:basedOn w:val="CommentText"/>
    <w:next w:val="CommentText"/>
    <w:link w:val="CommentSubjectChar"/>
    <w:uiPriority w:val="99"/>
    <w:semiHidden/>
    <w:unhideWhenUsed/>
    <w:rsid w:val="00D07966"/>
    <w:rPr>
      <w:b/>
      <w:bCs/>
    </w:rPr>
  </w:style>
  <w:style w:type="character" w:customStyle="1" w:styleId="CommentSubjectChar">
    <w:name w:val="Comment Subject Char"/>
    <w:basedOn w:val="CommentTextChar"/>
    <w:link w:val="CommentSubject"/>
    <w:uiPriority w:val="99"/>
    <w:semiHidden/>
    <w:rsid w:val="00D07966"/>
    <w:rPr>
      <w:b/>
      <w:bCs/>
      <w:sz w:val="20"/>
      <w:szCs w:val="20"/>
    </w:rPr>
  </w:style>
  <w:style w:type="character" w:customStyle="1" w:styleId="normaltextrun">
    <w:name w:val="normaltextrun"/>
    <w:basedOn w:val="DefaultParagraphFont"/>
    <w:rsid w:val="00A05EF1"/>
  </w:style>
  <w:style w:type="character" w:customStyle="1" w:styleId="spellingerrorsuperscript">
    <w:name w:val="spellingerrorsuperscript"/>
    <w:basedOn w:val="DefaultParagraphFont"/>
    <w:rsid w:val="00A05EF1"/>
  </w:style>
  <w:style w:type="character" w:customStyle="1" w:styleId="eop">
    <w:name w:val="eop"/>
    <w:basedOn w:val="DefaultParagraphFont"/>
    <w:rsid w:val="00A05EF1"/>
  </w:style>
  <w:style w:type="paragraph" w:styleId="Header">
    <w:name w:val="header"/>
    <w:basedOn w:val="Normal"/>
    <w:link w:val="HeaderChar"/>
    <w:uiPriority w:val="99"/>
    <w:unhideWhenUsed/>
    <w:rsid w:val="00A37190"/>
    <w:pPr>
      <w:tabs>
        <w:tab w:val="center" w:pos="4513"/>
        <w:tab w:val="right" w:pos="9026"/>
      </w:tabs>
    </w:pPr>
  </w:style>
  <w:style w:type="character" w:customStyle="1" w:styleId="HeaderChar">
    <w:name w:val="Header Char"/>
    <w:basedOn w:val="DefaultParagraphFont"/>
    <w:link w:val="Header"/>
    <w:uiPriority w:val="99"/>
    <w:rsid w:val="00A37190"/>
  </w:style>
  <w:style w:type="character" w:styleId="PageNumber">
    <w:name w:val="page number"/>
    <w:basedOn w:val="DefaultParagraphFont"/>
    <w:uiPriority w:val="99"/>
    <w:semiHidden/>
    <w:unhideWhenUsed/>
    <w:rsid w:val="00A37190"/>
  </w:style>
  <w:style w:type="paragraph" w:styleId="NormalWeb">
    <w:name w:val="Normal (Web)"/>
    <w:basedOn w:val="Normal"/>
    <w:uiPriority w:val="99"/>
    <w:unhideWhenUsed/>
    <w:rsid w:val="0009530A"/>
    <w:pPr>
      <w:spacing w:before="100" w:beforeAutospacing="1" w:after="100" w:afterAutospacing="1"/>
    </w:pPr>
    <w:rPr>
      <w:rFonts w:ascii="Times New Roman" w:eastAsia="Times New Roman" w:hAnsi="Times New Roman" w:cs="Times New Roman"/>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5595099">
      <w:bodyDiv w:val="1"/>
      <w:marLeft w:val="0"/>
      <w:marRight w:val="0"/>
      <w:marTop w:val="0"/>
      <w:marBottom w:val="0"/>
      <w:divBdr>
        <w:top w:val="none" w:sz="0" w:space="0" w:color="auto"/>
        <w:left w:val="none" w:sz="0" w:space="0" w:color="auto"/>
        <w:bottom w:val="none" w:sz="0" w:space="0" w:color="auto"/>
        <w:right w:val="none" w:sz="0" w:space="0" w:color="auto"/>
      </w:divBdr>
    </w:div>
    <w:div w:id="215240548">
      <w:bodyDiv w:val="1"/>
      <w:marLeft w:val="0"/>
      <w:marRight w:val="0"/>
      <w:marTop w:val="0"/>
      <w:marBottom w:val="0"/>
      <w:divBdr>
        <w:top w:val="none" w:sz="0" w:space="0" w:color="auto"/>
        <w:left w:val="none" w:sz="0" w:space="0" w:color="auto"/>
        <w:bottom w:val="none" w:sz="0" w:space="0" w:color="auto"/>
        <w:right w:val="none" w:sz="0" w:space="0" w:color="auto"/>
      </w:divBdr>
    </w:div>
    <w:div w:id="1127700462">
      <w:bodyDiv w:val="1"/>
      <w:marLeft w:val="0"/>
      <w:marRight w:val="0"/>
      <w:marTop w:val="0"/>
      <w:marBottom w:val="0"/>
      <w:divBdr>
        <w:top w:val="none" w:sz="0" w:space="0" w:color="auto"/>
        <w:left w:val="none" w:sz="0" w:space="0" w:color="auto"/>
        <w:bottom w:val="none" w:sz="0" w:space="0" w:color="auto"/>
        <w:right w:val="none" w:sz="0" w:space="0" w:color="auto"/>
      </w:divBdr>
    </w:div>
    <w:div w:id="1574468637">
      <w:bodyDiv w:val="1"/>
      <w:marLeft w:val="0"/>
      <w:marRight w:val="0"/>
      <w:marTop w:val="0"/>
      <w:marBottom w:val="0"/>
      <w:divBdr>
        <w:top w:val="none" w:sz="0" w:space="0" w:color="auto"/>
        <w:left w:val="none" w:sz="0" w:space="0" w:color="auto"/>
        <w:bottom w:val="none" w:sz="0" w:space="0" w:color="auto"/>
        <w:right w:val="none" w:sz="0" w:space="0" w:color="auto"/>
      </w:divBdr>
    </w:div>
    <w:div w:id="1801604214">
      <w:bodyDiv w:val="1"/>
      <w:marLeft w:val="0"/>
      <w:marRight w:val="0"/>
      <w:marTop w:val="0"/>
      <w:marBottom w:val="0"/>
      <w:divBdr>
        <w:top w:val="none" w:sz="0" w:space="0" w:color="auto"/>
        <w:left w:val="none" w:sz="0" w:space="0" w:color="auto"/>
        <w:bottom w:val="none" w:sz="0" w:space="0" w:color="auto"/>
        <w:right w:val="none" w:sz="0" w:space="0" w:color="auto"/>
      </w:divBdr>
    </w:div>
    <w:div w:id="2023169351">
      <w:bodyDiv w:val="1"/>
      <w:marLeft w:val="0"/>
      <w:marRight w:val="0"/>
      <w:marTop w:val="0"/>
      <w:marBottom w:val="0"/>
      <w:divBdr>
        <w:top w:val="none" w:sz="0" w:space="0" w:color="auto"/>
        <w:left w:val="none" w:sz="0" w:space="0" w:color="auto"/>
        <w:bottom w:val="none" w:sz="0" w:space="0" w:color="auto"/>
        <w:right w:val="none" w:sz="0" w:space="0" w:color="auto"/>
      </w:divBdr>
    </w:div>
    <w:div w:id="21313186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10</TotalTime>
  <Pages>5</Pages>
  <Words>2352</Words>
  <Characters>13409</Characters>
  <Application>Microsoft Office Word</Application>
  <DocSecurity>0</DocSecurity>
  <Lines>111</Lines>
  <Paragraphs>31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15730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Rabaa Takala</dc:creator>
  <cp:keywords/>
  <dc:description/>
  <cp:lastModifiedBy>Rabaa Takala</cp:lastModifiedBy>
  <cp:revision>4</cp:revision>
  <dcterms:created xsi:type="dcterms:W3CDTF">2022-02-23T11:58:00Z</dcterms:created>
  <dcterms:modified xsi:type="dcterms:W3CDTF">2022-02-23T12:43:00Z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ZOTERO_PREF_1">
    <vt:lpwstr>&lt;data data-version="3" zotero-version="5.0.96.3"&gt;&lt;session id="Cwu8rqF8"/&gt;&lt;style id="http://www.zotero.org/styles/vancouver" locale="en-GB" hasBibliography="1" bibliographyStyleHasBeenSet="1"/&gt;&lt;prefs&gt;&lt;pref name="fieldType" value="Field"/&gt;&lt;/prefs&gt;&lt;/data&gt;</vt:lpwstr>
  </property>
</Properties>
</file>