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865F1"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t>Supplementary Table 1. Datasets included in the study.</w:t>
      </w:r>
      <w:r w:rsidRPr="006B2F31">
        <w:rPr>
          <w:rFonts w:ascii="Helvetica" w:hAnsi="Helvetica"/>
          <w:color w:val="000000" w:themeColor="text1"/>
          <w:sz w:val="22"/>
          <w:szCs w:val="22"/>
        </w:rPr>
        <w:t xml:space="preserve"> P, postnatal day; MI, myocardial infarction; cHF, heart failure caused by ischaemic cardiomyopathy; dHF, heart failure caused by dilated cardiomyopathy; ECs, endothelial cells; LV, left ventricle; LA, left atrium. </w:t>
      </w:r>
    </w:p>
    <w:p w14:paraId="310BB91A" w14:textId="77777777" w:rsidR="00BF5828" w:rsidRPr="006B2F31" w:rsidRDefault="00BF5828" w:rsidP="00BF5828">
      <w:pPr>
        <w:spacing w:line="360" w:lineRule="auto"/>
        <w:jc w:val="both"/>
        <w:rPr>
          <w:rFonts w:ascii="Helvetica" w:hAnsi="Helvetica"/>
          <w:color w:val="000000" w:themeColor="text1"/>
          <w:sz w:val="22"/>
          <w:szCs w:val="22"/>
        </w:rPr>
      </w:pPr>
    </w:p>
    <w:tbl>
      <w:tblPr>
        <w:tblStyle w:val="TableGrid"/>
        <w:tblW w:w="0" w:type="auto"/>
        <w:tblLayout w:type="fixed"/>
        <w:tblLook w:val="04A0" w:firstRow="1" w:lastRow="0" w:firstColumn="1" w:lastColumn="0" w:noHBand="0" w:noVBand="1"/>
      </w:tblPr>
      <w:tblGrid>
        <w:gridCol w:w="928"/>
        <w:gridCol w:w="1417"/>
        <w:gridCol w:w="1903"/>
        <w:gridCol w:w="1701"/>
        <w:gridCol w:w="1984"/>
        <w:gridCol w:w="1418"/>
        <w:gridCol w:w="4394"/>
      </w:tblGrid>
      <w:tr w:rsidR="00BF5828" w:rsidRPr="006B2F31" w14:paraId="7C24383A" w14:textId="77777777" w:rsidTr="00085A7E">
        <w:tc>
          <w:tcPr>
            <w:tcW w:w="928" w:type="dxa"/>
            <w:tcBorders>
              <w:top w:val="single" w:sz="4" w:space="0" w:color="auto"/>
              <w:left w:val="single" w:sz="4" w:space="0" w:color="auto"/>
              <w:bottom w:val="single" w:sz="4" w:space="0" w:color="auto"/>
            </w:tcBorders>
            <w:vAlign w:val="center"/>
          </w:tcPr>
          <w:p w14:paraId="29C8D929"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Species</w:t>
            </w:r>
          </w:p>
        </w:tc>
        <w:tc>
          <w:tcPr>
            <w:tcW w:w="1417" w:type="dxa"/>
            <w:tcBorders>
              <w:top w:val="single" w:sz="4" w:space="0" w:color="auto"/>
              <w:bottom w:val="single" w:sz="4" w:space="0" w:color="auto"/>
            </w:tcBorders>
            <w:vAlign w:val="center"/>
          </w:tcPr>
          <w:p w14:paraId="193FD503"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 xml:space="preserve">Repository </w:t>
            </w:r>
          </w:p>
        </w:tc>
        <w:tc>
          <w:tcPr>
            <w:tcW w:w="1903" w:type="dxa"/>
            <w:tcBorders>
              <w:top w:val="single" w:sz="4" w:space="0" w:color="auto"/>
              <w:bottom w:val="single" w:sz="4" w:space="0" w:color="auto"/>
            </w:tcBorders>
            <w:vAlign w:val="center"/>
          </w:tcPr>
          <w:p w14:paraId="40DB82C5"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Repository accession number</w:t>
            </w:r>
          </w:p>
        </w:tc>
        <w:tc>
          <w:tcPr>
            <w:tcW w:w="1701" w:type="dxa"/>
            <w:tcBorders>
              <w:top w:val="single" w:sz="4" w:space="0" w:color="auto"/>
              <w:bottom w:val="single" w:sz="4" w:space="0" w:color="auto"/>
            </w:tcBorders>
            <w:vAlign w:val="center"/>
          </w:tcPr>
          <w:p w14:paraId="40349FA0"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Injury/Disease status</w:t>
            </w:r>
          </w:p>
        </w:tc>
        <w:tc>
          <w:tcPr>
            <w:tcW w:w="1984" w:type="dxa"/>
            <w:tcBorders>
              <w:top w:val="single" w:sz="4" w:space="0" w:color="auto"/>
              <w:bottom w:val="single" w:sz="4" w:space="0" w:color="auto"/>
            </w:tcBorders>
            <w:vAlign w:val="center"/>
          </w:tcPr>
          <w:p w14:paraId="3DDC91B8"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Age</w:t>
            </w:r>
          </w:p>
        </w:tc>
        <w:tc>
          <w:tcPr>
            <w:tcW w:w="1418" w:type="dxa"/>
            <w:tcBorders>
              <w:top w:val="single" w:sz="4" w:space="0" w:color="auto"/>
              <w:bottom w:val="single" w:sz="4" w:space="0" w:color="auto"/>
            </w:tcBorders>
            <w:vAlign w:val="center"/>
          </w:tcPr>
          <w:p w14:paraId="51CF1C74"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Number of ECs post-filtering</w:t>
            </w:r>
          </w:p>
        </w:tc>
        <w:tc>
          <w:tcPr>
            <w:tcW w:w="4394" w:type="dxa"/>
            <w:tcBorders>
              <w:top w:val="single" w:sz="4" w:space="0" w:color="auto"/>
              <w:bottom w:val="single" w:sz="4" w:space="0" w:color="auto"/>
              <w:right w:val="single" w:sz="4" w:space="0" w:color="auto"/>
            </w:tcBorders>
            <w:vAlign w:val="center"/>
          </w:tcPr>
          <w:p w14:paraId="11837B77"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References</w:t>
            </w:r>
          </w:p>
        </w:tc>
      </w:tr>
      <w:tr w:rsidR="00BF5828" w:rsidRPr="006B2F31" w14:paraId="1312E4B7" w14:textId="77777777" w:rsidTr="00085A7E">
        <w:tc>
          <w:tcPr>
            <w:tcW w:w="928" w:type="dxa"/>
            <w:vMerge w:val="restart"/>
            <w:tcBorders>
              <w:top w:val="single" w:sz="4" w:space="0" w:color="auto"/>
            </w:tcBorders>
            <w:vAlign w:val="center"/>
          </w:tcPr>
          <w:p w14:paraId="148E0B86"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Mouse</w:t>
            </w:r>
          </w:p>
          <w:p w14:paraId="285CD04C" w14:textId="77777777" w:rsidR="00BF5828" w:rsidRPr="006B2F31" w:rsidRDefault="00BF5828" w:rsidP="00085A7E">
            <w:pPr>
              <w:spacing w:line="360" w:lineRule="auto"/>
              <w:jc w:val="both"/>
              <w:rPr>
                <w:rFonts w:ascii="Helvetica" w:hAnsi="Helvetica"/>
                <w:color w:val="000000" w:themeColor="text1"/>
                <w:sz w:val="20"/>
                <w:szCs w:val="20"/>
              </w:rPr>
            </w:pPr>
          </w:p>
        </w:tc>
        <w:tc>
          <w:tcPr>
            <w:tcW w:w="1417" w:type="dxa"/>
            <w:tcBorders>
              <w:top w:val="single" w:sz="4" w:space="0" w:color="auto"/>
            </w:tcBorders>
            <w:vAlign w:val="center"/>
          </w:tcPr>
          <w:p w14:paraId="0BAFCB6E"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GEO</w:t>
            </w:r>
          </w:p>
        </w:tc>
        <w:tc>
          <w:tcPr>
            <w:tcW w:w="1903" w:type="dxa"/>
            <w:tcBorders>
              <w:top w:val="single" w:sz="4" w:space="0" w:color="auto"/>
            </w:tcBorders>
            <w:vAlign w:val="center"/>
          </w:tcPr>
          <w:p w14:paraId="721BE9F0"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GSE117893</w:t>
            </w:r>
          </w:p>
        </w:tc>
        <w:tc>
          <w:tcPr>
            <w:tcW w:w="1701" w:type="dxa"/>
            <w:tcBorders>
              <w:top w:val="single" w:sz="4" w:space="0" w:color="auto"/>
            </w:tcBorders>
            <w:vAlign w:val="center"/>
          </w:tcPr>
          <w:p w14:paraId="33EA981F"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21 days post-MI</w:t>
            </w:r>
          </w:p>
        </w:tc>
        <w:tc>
          <w:tcPr>
            <w:tcW w:w="1984" w:type="dxa"/>
            <w:tcBorders>
              <w:top w:val="single" w:sz="4" w:space="0" w:color="auto"/>
            </w:tcBorders>
            <w:vAlign w:val="center"/>
          </w:tcPr>
          <w:p w14:paraId="49DAA185"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Neonatal (P2)</w:t>
            </w:r>
          </w:p>
        </w:tc>
        <w:tc>
          <w:tcPr>
            <w:tcW w:w="1418" w:type="dxa"/>
            <w:tcBorders>
              <w:top w:val="single" w:sz="4" w:space="0" w:color="auto"/>
            </w:tcBorders>
            <w:vAlign w:val="center"/>
          </w:tcPr>
          <w:p w14:paraId="6373575C"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270</w:t>
            </w:r>
          </w:p>
        </w:tc>
        <w:tc>
          <w:tcPr>
            <w:tcW w:w="4394" w:type="dxa"/>
            <w:tcBorders>
              <w:top w:val="single" w:sz="4" w:space="0" w:color="auto"/>
            </w:tcBorders>
            <w:vAlign w:val="center"/>
          </w:tcPr>
          <w:p w14:paraId="5AEB61C7"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Li et al., Development 2018</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rPr>
              <w:instrText>ADDIN CSL_CITATION {"citationItems":[{"id":"ITEM-1","itemData":{"DOI":"10.1242/DEV.168609","ISSN":"0950-1991","abstract":"Loss of the paired-like homeodomain transcription factor 2 (Pitx2) in cardiomyocytes predisposes mice to atrial fibrillation and compromises neonatal regenerative capacity. In addition, Pitx2 gain-of-function protects mature cardiomyocytes from ischemic injury and promotes heart repair. Here, we characterized the longterm myocardial phenotype following myocardial infarction (MI) in Pitx2 conditional-knockout (Pitx2 CKO) mice. We found adipose-like tissue in Pitx2 CKO hearts 60 days after MI induced surgically at postnatal day 2 but not at day 8. Molecular and cellular analyses showed the onset of adipogenic signaling in mutant hearts after MI. Lineage tracing experiments showed a non-cardiomyocyte origin of the de novo adipose-like tissue. Interestingly, we found that Pitx2 promotes mitochondrial function through its gene regulatory network, and that the knockdown of a key mitochondrial Pitx2 target gene, Cox7c, also leads to the accumulation of myocardial fat tissue. Single-nuclei RNA-seq revealed that Pitx2-deficient hearts were oxidatively stressed. Our findings reveal a role for Pitx2 in maintaining proper cardiac cellular composition during heart regeneration via the maintenance of proper mitochondrial structure and function.","author":[{"dropping-particle":"","family":"Li","given":"Lele","non-dropping-particle":"","parse-names":false,"suffix":""},{"dropping-particle":"","family":"Tao","given":"Ge","non-dropping-particle":"","parse-names":false,"suffix":""},{"dropping-particle":"","family":"Hill","given":"Matthew C.","non-dropping-particle":"","parse-names":false,"suffix":""},{"dropping-particle":"","family":"Zhang","given":"Min","non-dropping-particle":"","parse-names":false,"suffix":""},{"dropping-particle":"","family":"Morikawa","given":"Yuka","non-dropping-particle":"","parse-names":false,"suffix":""},{"dropping-particle":"","family":"Martin","given":"James F.","non-dropping-particle":"","parse-names":false,"suffix":""}],"container-title":"Development","id":"ITEM-1","issue":"18","issued":{"date-parts":[["2018","9","15"]]},"publisher":"The Company of Biologists","title":"Pitx2 maintains mitochondrial function during regeneration to prevent myocardial fat deposition","type":"article-journal","volume":"145"},"uris":["http://www.mendeley.com/documents/?uuid=9d96eb76-9318-3bb6-b784-c9803533a2c9"]}],"mendeley":{"formattedCitation":"&lt;sup&gt;53&lt;/sup&gt;","plainTextFormattedCitation":"53","previouslyFormattedCitation":"&lt;sup&gt;51&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5B7CC8">
              <w:rPr>
                <w:rFonts w:ascii="Helvetica" w:hAnsi="Helvetica"/>
                <w:noProof/>
                <w:color w:val="000000" w:themeColor="text1"/>
                <w:sz w:val="20"/>
                <w:szCs w:val="20"/>
                <w:vertAlign w:val="superscript"/>
              </w:rPr>
              <w:t>53</w:t>
            </w:r>
            <w:r w:rsidRPr="006B2F31">
              <w:rPr>
                <w:rFonts w:ascii="Helvetica" w:hAnsi="Helvetica"/>
                <w:color w:val="000000" w:themeColor="text1"/>
                <w:sz w:val="20"/>
                <w:szCs w:val="20"/>
              </w:rPr>
              <w:fldChar w:fldCharType="end"/>
            </w:r>
          </w:p>
        </w:tc>
      </w:tr>
      <w:tr w:rsidR="00BF5828" w:rsidRPr="006B2F31" w14:paraId="78FA444E" w14:textId="77777777" w:rsidTr="00085A7E">
        <w:tc>
          <w:tcPr>
            <w:tcW w:w="928" w:type="dxa"/>
            <w:vMerge/>
            <w:vAlign w:val="center"/>
          </w:tcPr>
          <w:p w14:paraId="56DCF6A7" w14:textId="77777777" w:rsidR="00BF5828" w:rsidRPr="006B2F31" w:rsidRDefault="00BF5828" w:rsidP="00085A7E">
            <w:pPr>
              <w:spacing w:line="360" w:lineRule="auto"/>
              <w:jc w:val="both"/>
              <w:rPr>
                <w:rFonts w:ascii="Helvetica" w:hAnsi="Helvetica"/>
                <w:color w:val="000000" w:themeColor="text1"/>
                <w:sz w:val="20"/>
                <w:szCs w:val="20"/>
              </w:rPr>
            </w:pPr>
          </w:p>
        </w:tc>
        <w:tc>
          <w:tcPr>
            <w:tcW w:w="1417" w:type="dxa"/>
            <w:vMerge w:val="restart"/>
            <w:vAlign w:val="center"/>
          </w:tcPr>
          <w:p w14:paraId="75EF4B04"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GEO</w:t>
            </w:r>
          </w:p>
        </w:tc>
        <w:tc>
          <w:tcPr>
            <w:tcW w:w="1903" w:type="dxa"/>
            <w:vMerge w:val="restart"/>
            <w:vAlign w:val="center"/>
          </w:tcPr>
          <w:p w14:paraId="781DDD4C"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GSE118545</w:t>
            </w:r>
          </w:p>
        </w:tc>
        <w:tc>
          <w:tcPr>
            <w:tcW w:w="1701" w:type="dxa"/>
            <w:vMerge w:val="restart"/>
            <w:vAlign w:val="center"/>
          </w:tcPr>
          <w:p w14:paraId="2CBFAEC3"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Healthy</w:t>
            </w:r>
          </w:p>
        </w:tc>
        <w:tc>
          <w:tcPr>
            <w:tcW w:w="1984" w:type="dxa"/>
            <w:vAlign w:val="center"/>
          </w:tcPr>
          <w:p w14:paraId="50A035F2"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Neonatal (P6)</w:t>
            </w:r>
          </w:p>
        </w:tc>
        <w:tc>
          <w:tcPr>
            <w:tcW w:w="1418" w:type="dxa"/>
            <w:vAlign w:val="center"/>
          </w:tcPr>
          <w:p w14:paraId="2D426D37"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1510</w:t>
            </w:r>
          </w:p>
        </w:tc>
        <w:tc>
          <w:tcPr>
            <w:tcW w:w="4394" w:type="dxa"/>
            <w:vMerge w:val="restart"/>
            <w:vAlign w:val="center"/>
          </w:tcPr>
          <w:p w14:paraId="6864AAD3"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rPr>
              <w:t>Hu et al, Genes &amp; Development 2018</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rPr>
              <w:instrText>ADDIN CSL_CITATION {"citationItems":[{"id":"ITEM-1","itemData":{"DOI":"10.1101/GAD.316802.118","PMID":"30254108","abstract":"A fundamental challenge in understanding cardiac biology and disease is that the remarkable heterogeneity in cell type composition and functional states have not been well characterized at single-cell resolution in maturing and diseased mammalian hearts. Massively parallel single-nucleus RNA sequencing (snRNA-seq) has emerged as a powerful tool to address these questions by interrogating the transcriptome of tens of thousands of nuclei isolated from fresh or frozen tissues. snRNA-seq overcomes the technical challenge of isolating intact single cells from complex tissues, including the maturing mammalian hearts; reduces biased recovery of easily dissociated cell types; and minimizes aberrant gene expression during the whole-cell dissociation. Here we applied sNucDrop-seq, a droplet microfluidics-based massively parallel snRNA-seq method, to investigate the transcriptional landscape of postnatal maturing mouse hearts in both healthy and disease states. By profiling the transcriptome of nearly 20,000 nuclei, we identified major and rare cardiac cell types and revealed significant heterogeneity of cardiomyocytes, fibroblasts, and endothelial cells in postnatal developing hearts. When applied to a mouse model of pediatric mitochondrial cardiomyopathy, we uncovered profound cell type-specific modifications of the cardiac transcriptional landscape at single-nucleus resolution, including changes of subtype composition, maturation states, and functional remodeling of each cell type. Furthermore, we employed sNucDrop-seq to decipher the cardiac cell type-specific gene regulatory network (GRN) of GDF15, a heart-derived hormone and clinically important diagnostic biomarker of heart disease. Together, our results present a rich resource for studying cardiac biology and provide new insights into heart disease using an approach broadly applicable to many fields of biomedicine.","author":[{"dropping-particle":"","family":"Hu","given":"Peng","non-dropping-particle":"","parse-names":false,"suffix":""},{"dropping-particle":"","family":"Liu","given":"Jian","non-dropping-particle":"","parse-names":false,"suffix":""},{"dropping-particle":"","family":"Zhao","given":"Juanjuan","non-dropping-particle":"","parse-names":false,"suffix":""},{"dropping-particle":"","family":"Wilkins","given":"Benjamin J.","non-dropping-particle":"","parse-names":false,"suffix":""},{"dropping-particle":"","family":"Lupino","given":"Katherine","non-dropping-particle":"","parse-names":false,"suffix":""},{"dropping-particle":"","family":"Wu","given":"Hao","non-dropping-particle":"","parse-names":false,"suffix":""},{"dropping-particle":"","family":"Pei","given":"Liming","non-dropping-particle":"","parse-names":false,"suffix":""}],"container-title":"Genes &amp; Development","id":"ITEM-1","issue":"19-20","issued":{"date-parts":[["2018"]]},"page":"1344","publisher":"Cold Spring Harbor Laboratory Press","title":"Single-nucleus transcriptomic survey of cell diversity and functional maturation in postnatal mammalian hearts","type":"article-journal","volume":"32"},"uris":["http://www.mendeley.com/documents/?uuid=4fb2932d-cb12-37e6-909c-6b0a0dc089ab"]}],"mendeley":{"formattedCitation":"&lt;sup&gt;54&lt;/sup&gt;","plainTextFormattedCitation":"54","previouslyFormattedCitation":"&lt;sup&gt;52&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5B7CC8">
              <w:rPr>
                <w:rFonts w:ascii="Helvetica" w:hAnsi="Helvetica"/>
                <w:noProof/>
                <w:color w:val="000000" w:themeColor="text1"/>
                <w:sz w:val="20"/>
                <w:szCs w:val="20"/>
                <w:vertAlign w:val="superscript"/>
                <w:lang w:eastAsia="zh-CN"/>
              </w:rPr>
              <w:t>54</w:t>
            </w:r>
            <w:r w:rsidRPr="006B2F31">
              <w:rPr>
                <w:rFonts w:ascii="Helvetica" w:hAnsi="Helvetica"/>
                <w:color w:val="000000" w:themeColor="text1"/>
                <w:sz w:val="20"/>
                <w:szCs w:val="20"/>
              </w:rPr>
              <w:fldChar w:fldCharType="end"/>
            </w:r>
          </w:p>
        </w:tc>
      </w:tr>
      <w:tr w:rsidR="00BF5828" w:rsidRPr="006B2F31" w14:paraId="32824548" w14:textId="77777777" w:rsidTr="00085A7E">
        <w:tc>
          <w:tcPr>
            <w:tcW w:w="928" w:type="dxa"/>
            <w:vMerge/>
            <w:vAlign w:val="center"/>
          </w:tcPr>
          <w:p w14:paraId="341B5481"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7" w:type="dxa"/>
            <w:vMerge/>
            <w:vAlign w:val="center"/>
          </w:tcPr>
          <w:p w14:paraId="1785AF8F"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903" w:type="dxa"/>
            <w:vMerge/>
            <w:vAlign w:val="center"/>
          </w:tcPr>
          <w:p w14:paraId="7EACBA7E"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701" w:type="dxa"/>
            <w:vMerge/>
            <w:vAlign w:val="center"/>
          </w:tcPr>
          <w:p w14:paraId="437B60CB"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984" w:type="dxa"/>
            <w:vAlign w:val="center"/>
          </w:tcPr>
          <w:p w14:paraId="6F3D30AC"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Neonatal (P10)</w:t>
            </w:r>
          </w:p>
        </w:tc>
        <w:tc>
          <w:tcPr>
            <w:tcW w:w="1418" w:type="dxa"/>
            <w:vAlign w:val="center"/>
          </w:tcPr>
          <w:p w14:paraId="19812A07"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1211</w:t>
            </w:r>
          </w:p>
        </w:tc>
        <w:tc>
          <w:tcPr>
            <w:tcW w:w="4394" w:type="dxa"/>
            <w:vMerge/>
            <w:vAlign w:val="center"/>
          </w:tcPr>
          <w:p w14:paraId="0B36059E"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r>
      <w:tr w:rsidR="00BF5828" w:rsidRPr="006B2F31" w14:paraId="2F764058" w14:textId="77777777" w:rsidTr="00085A7E">
        <w:trPr>
          <w:trHeight w:val="490"/>
        </w:trPr>
        <w:tc>
          <w:tcPr>
            <w:tcW w:w="928" w:type="dxa"/>
            <w:vMerge/>
            <w:vAlign w:val="center"/>
          </w:tcPr>
          <w:p w14:paraId="4AA8AE8D"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7" w:type="dxa"/>
            <w:vAlign w:val="center"/>
          </w:tcPr>
          <w:p w14:paraId="443D376E"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ArrayExpress</w:t>
            </w:r>
          </w:p>
        </w:tc>
        <w:tc>
          <w:tcPr>
            <w:tcW w:w="1903" w:type="dxa"/>
            <w:vAlign w:val="center"/>
          </w:tcPr>
          <w:p w14:paraId="7B84597D"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E-MTAB-7376</w:t>
            </w:r>
          </w:p>
        </w:tc>
        <w:tc>
          <w:tcPr>
            <w:tcW w:w="1701" w:type="dxa"/>
            <w:vAlign w:val="center"/>
          </w:tcPr>
          <w:p w14:paraId="1F6A0B25"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3 days post-MI</w:t>
            </w:r>
          </w:p>
        </w:tc>
        <w:tc>
          <w:tcPr>
            <w:tcW w:w="1984" w:type="dxa"/>
            <w:vAlign w:val="center"/>
          </w:tcPr>
          <w:p w14:paraId="423A524C"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Adult</w:t>
            </w:r>
          </w:p>
        </w:tc>
        <w:tc>
          <w:tcPr>
            <w:tcW w:w="1418" w:type="dxa"/>
            <w:vAlign w:val="center"/>
          </w:tcPr>
          <w:p w14:paraId="52740EDE"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519</w:t>
            </w:r>
          </w:p>
        </w:tc>
        <w:tc>
          <w:tcPr>
            <w:tcW w:w="4394" w:type="dxa"/>
            <w:vAlign w:val="center"/>
          </w:tcPr>
          <w:p w14:paraId="496B2BA5"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lang w:eastAsia="zh-CN"/>
              </w:rPr>
              <w:t>Farbehi et al., eLife 2019</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lang w:eastAsia="zh-CN"/>
              </w:rPr>
              <w:instrText>ADDIN CSL_CITATION {"citationItems":[{"id":"ITEM-1","itemData":{"DOI":"10.7554/ELIFE.43882","abstract":"Besides cardiomyocytes (CM), the heart contains numerous interstitial cell types which play key roles in heart repair, regeneration and disease, including fibroblast, vascular and immune cells. However, a comprehensive understanding of this interactive cell community is lacking. We performed single-cell RNA-sequencing of the total non-CM fraction and enriched (Pdgfra-GFP+) fibroblast lineage cells from murine hearts at days 3 and 7 post-sham or myocardial infarction (MI) surgery. Clustering of &gt;30,000 single cells identified &gt;30 populations representing nine cell lineages, including a previously undescribed fibroblast lineage trajectory present in both sham and MI hearts leading to a uniquely activated cell state defined in part by a strong anti-WNT transcriptome signature. We also uncovered novel myofibroblast subtypes expressing either pro- fibrotic or anti-fibrotic signatures. Our data highlight non-linear dynamics in myeloid and fibroblast lineages after cardiac injury, and provide an entry point for deeper analysis of cardiac homeostasis, inflammation, fibrosis, repair and regeneration.","author":[{"dropping-particle":"","family":"Farbehi","given":"Nona","non-dropping-particle":"","parse-names":false,"suffix":""},{"dropping-particle":"","family":"Patrick","given":"Ralph","non-dropping-particle":"","parse-names":false,"suffix":""},{"dropping-particle":"","family":"Dorison","given":"Aude","non-dropping-particle":"","parse-names":false,"suffix":""},{"dropping-particle":"","family":"Xaymardan","given":"Munira","non-dropping-particle":"","parse-names":false,"suffix":""},{"dropping-particle":"","family":"Janbandhu","given":"Vaibhao","non-dropping-particle":"","parse-names":false,"suffix":""},{"dropping-particle":"","family":"Wystub-Lis","given":"Katharina","non-dropping-particle":"","parse-names":false,"suffix":""},{"dropping-particle":"","family":"Ho","given":"Joshua W.K.","non-dropping-particle":"","parse-names":false,"suffix":""},{"dropping-particle":"","family":"Nordon","given":"Robert E.","non-dropping-particle":"","parse-names":false,"suffix":""},{"dropping-particle":"","family":"Harvey","given":"Richard P.","non-dropping-particle":"","parse-names":false,"suffix":""}],"container-title":"eLife","id":"ITEM-1","issued":{"date-parts":[["2019","3","1"]]},"publisher":"eLife Sciences Publications Ltd","title":"Single-cell expression profiling reveals dynamic flux of cardiac stromal, vascular and immune cells in health and injury","type":"article-journal","volume":"8"},"uris":["http://www.mendeley.com/documents/?uuid=04153eaa-8218-30c6-9c4b-40bd4ec63959"]}],"mendeley":{"formattedCitation":"&lt;sup&gt;19&lt;/sup&gt;","plainTextFormattedCitation":"19","previouslyFormattedCitation":"&lt;sup&gt;19&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9C6B71">
              <w:rPr>
                <w:rFonts w:ascii="Helvetica" w:hAnsi="Helvetica"/>
                <w:noProof/>
                <w:color w:val="000000" w:themeColor="text1"/>
                <w:sz w:val="20"/>
                <w:szCs w:val="20"/>
                <w:vertAlign w:val="superscript"/>
              </w:rPr>
              <w:t>19</w:t>
            </w:r>
            <w:r w:rsidRPr="006B2F31">
              <w:rPr>
                <w:rFonts w:ascii="Helvetica" w:hAnsi="Helvetica"/>
                <w:color w:val="000000" w:themeColor="text1"/>
                <w:sz w:val="20"/>
                <w:szCs w:val="20"/>
              </w:rPr>
              <w:fldChar w:fldCharType="end"/>
            </w:r>
          </w:p>
        </w:tc>
      </w:tr>
      <w:tr w:rsidR="00BF5828" w:rsidRPr="006B2F31" w14:paraId="1B6FED9D" w14:textId="77777777" w:rsidTr="00085A7E">
        <w:tc>
          <w:tcPr>
            <w:tcW w:w="928" w:type="dxa"/>
            <w:vMerge/>
            <w:vAlign w:val="center"/>
          </w:tcPr>
          <w:p w14:paraId="668F3CEB" w14:textId="77777777" w:rsidR="00BF5828" w:rsidRPr="006B2F31" w:rsidRDefault="00BF5828" w:rsidP="00085A7E">
            <w:pPr>
              <w:spacing w:line="360" w:lineRule="auto"/>
              <w:jc w:val="both"/>
              <w:rPr>
                <w:rFonts w:ascii="Helvetica" w:hAnsi="Helvetica"/>
                <w:color w:val="000000" w:themeColor="text1"/>
                <w:sz w:val="20"/>
                <w:szCs w:val="20"/>
              </w:rPr>
            </w:pPr>
          </w:p>
        </w:tc>
        <w:tc>
          <w:tcPr>
            <w:tcW w:w="1417" w:type="dxa"/>
            <w:vMerge w:val="restart"/>
            <w:vAlign w:val="center"/>
          </w:tcPr>
          <w:p w14:paraId="2020F21E"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GEO</w:t>
            </w:r>
          </w:p>
        </w:tc>
        <w:tc>
          <w:tcPr>
            <w:tcW w:w="1903" w:type="dxa"/>
            <w:vMerge w:val="restart"/>
            <w:vAlign w:val="center"/>
          </w:tcPr>
          <w:p w14:paraId="2AF52E35"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GSE132880</w:t>
            </w:r>
          </w:p>
        </w:tc>
        <w:tc>
          <w:tcPr>
            <w:tcW w:w="1701" w:type="dxa"/>
            <w:vAlign w:val="center"/>
          </w:tcPr>
          <w:p w14:paraId="1AFA81C5"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Healthy</w:t>
            </w:r>
          </w:p>
        </w:tc>
        <w:tc>
          <w:tcPr>
            <w:tcW w:w="1984" w:type="dxa"/>
            <w:vMerge w:val="restart"/>
            <w:vAlign w:val="center"/>
          </w:tcPr>
          <w:p w14:paraId="1751263B"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Adult</w:t>
            </w:r>
          </w:p>
        </w:tc>
        <w:tc>
          <w:tcPr>
            <w:tcW w:w="1418" w:type="dxa"/>
            <w:vAlign w:val="center"/>
          </w:tcPr>
          <w:p w14:paraId="1F3459BC"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2747</w:t>
            </w:r>
          </w:p>
        </w:tc>
        <w:tc>
          <w:tcPr>
            <w:tcW w:w="4394" w:type="dxa"/>
            <w:vMerge w:val="restart"/>
            <w:vAlign w:val="center"/>
          </w:tcPr>
          <w:p w14:paraId="366352E5"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rPr>
              <w:t>Li et al., EHJ 2019</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rPr>
              <w:instrText>ADDIN CSL_CITATION {"citationItems":[{"id":"ITEM-1","itemData":{"DOI":"10.1093/EURHEARTJ/EHZ305","ISSN":"0195-668X","abstract":"Aims: A better understanding of the pathways that regulate regeneration of the coronary vasculature is of fundamental importance for the advancement of strategies to treat patients with heart disease. Here, we aimed to investigate the origin and clonal dynamics of endothelial cells (ECs) associated with neovascularization in the adult mouse heart following myocardial infarction (MI). Furthermore, we sought to define murine cardiac endothelial heterogeneity and to characterize the transcriptional profiles of pro-Angiogenic resident ECs in the adult mouse heart, at single-cell resolution. Methods and results: An EC-specific multispectral lineage-Tracing mouse (Pdgfb-iCreERT2-R26R-Brainbow2.1) was used to demonstrate that structural integrity of adult cardiac endothelium following MI was maintained through clonal proliferation by resident ECs in the infarct border region, without significant contributions from bone marrow cells or endothelial-To-mesenchymal transition. Ten transcriptionally discrete heterogeneous EC states, as well as the pathways through which each endothelial state is likely to enhance neovasculogenesis and tissue regeneration following ischaemic injury were defined. Plasmalemma vesicle-Associated protein (Plvap) was selected for further study, which showed an endothelial-specific and increased expression in both the ischaemic mouse and human heart, and played a direct role in regulating human endothelial proliferation in vitro. Conclusion: We present a single-cell gene expression atlas of cardiac specific resident ECs, and the transcriptional hierarchy underpinning endogenous vascular repair following MI. These data provide a rich resource that could assist in the development of new therapeutic interventions to augment endogenous myocardial perfusion and enhance regeneration in the injured heart.","author":[{"dropping-particle":"","family":"Li","given":"Ziwen","non-dropping-particle":"","parse-names":false,"suffix":""},{"dropping-particle":"","family":"Solomonidis","given":"Emmanouil G","non-dropping-particle":"","parse-names":false,"suffix":""},{"dropping-particle":"","family":"Meloni","given":"Marco","non-dropping-particle":"","parse-names":false,"suffix":""},{"dropping-particle":"","family":"Taylor","given":"Richard S","non-dropping-particle":"","parse-names":false,"suffix":""},{"dropping-particle":"","family":"Duffin","given":"Rodger","non-dropping-particle":"","parse-names":false,"suffix":""},{"dropping-particle":"","family":"Dobie","given":"Ross","non-dropping-particle":"","parse-names":false,"suffix":""},{"dropping-particle":"","family":"Magalhaes","given":"Marlene S","non-dropping-particle":"","parse-names":false,"suffix":""},{"dropping-particle":"","family":"Henderson","given":"Beth E P","non-dropping-particle":"","parse-names":false,"suffix":""},{"dropping-particle":"","family":"Louwe","given":"Pieter A","non-dropping-particle":"","parse-names":false,"suffix":""},{"dropping-particle":"","family":"D’Amico","given":"Gabriela","non-dropping-particle":"","parse-names":false,"suffix":""},{"dropping-particle":"","family":"Hodivala-Dilke","given":"Kairbaan M","non-dropping-particle":"","parse-names":false,"suffix":""},{"dropping-particle":"","family":"Shah","given":"Ajay M","non-dropping-particle":"","parse-names":false,"suffix":""},{"dropping-particle":"","family":"Mills","given":"Nicholas L","non-dropping-particle":"","parse-names":false,"suffix":""},{"dropping-particle":"","family":"Simons","given":"Benjamin D","non-dropping-particle":"","parse-names":false,"suffix":""},{"dropping-particle":"","family":"Gray","given":"Gillian A","non-dropping-particle":"","parse-names":false,"suffix":""},{"dropping-particle":"","family":"Henderson","given":"Neil C","non-dropping-particle":"","parse-names":false,"suffix":""},{"dropping-particle":"","family":"Baker","given":"Andrew H","non-dropping-particle":"","parse-names":false,"suffix":""},{"dropping-particle":"","family":"Brittan","given":"Mairi","non-dropping-particle":"","parse-names":false,"suffix":""}],"container-title":"European Heart Journal","id":"ITEM-1","issue":"30","issued":{"date-parts":[["2019","8","7"]]},"page":"2507-2520","publisher":"Oxford Academic","title":"Single-cell transcriptome analyses reveal novel targets modulating cardiac neovascularization by resident endothelial cells following myocardial infarction","type":"article-journal","volume":"40"},"uris":["http://www.mendeley.com/documents/?uuid=05a454e6-9750-3d12-a509-1147ef2bb5ef"]}],"mendeley":{"formattedCitation":"&lt;sup&gt;15&lt;/sup&gt;","plainTextFormattedCitation":"15","previouslyFormattedCitation":"&lt;sup&gt;15&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9C6B71">
              <w:rPr>
                <w:rFonts w:ascii="Helvetica" w:hAnsi="Helvetica"/>
                <w:noProof/>
                <w:color w:val="000000" w:themeColor="text1"/>
                <w:sz w:val="20"/>
                <w:szCs w:val="20"/>
                <w:vertAlign w:val="superscript"/>
                <w:lang w:eastAsia="zh-CN"/>
              </w:rPr>
              <w:t>15</w:t>
            </w:r>
            <w:r w:rsidRPr="006B2F31">
              <w:rPr>
                <w:rFonts w:ascii="Helvetica" w:hAnsi="Helvetica"/>
                <w:color w:val="000000" w:themeColor="text1"/>
                <w:sz w:val="20"/>
                <w:szCs w:val="20"/>
              </w:rPr>
              <w:fldChar w:fldCharType="end"/>
            </w:r>
          </w:p>
        </w:tc>
      </w:tr>
      <w:tr w:rsidR="00BF5828" w:rsidRPr="006B2F31" w14:paraId="620DC078" w14:textId="77777777" w:rsidTr="00085A7E">
        <w:tc>
          <w:tcPr>
            <w:tcW w:w="928" w:type="dxa"/>
            <w:vMerge/>
            <w:vAlign w:val="center"/>
          </w:tcPr>
          <w:p w14:paraId="2FFB7262"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7" w:type="dxa"/>
            <w:vMerge/>
            <w:vAlign w:val="center"/>
          </w:tcPr>
          <w:p w14:paraId="5C5FE4FA"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903" w:type="dxa"/>
            <w:vMerge/>
            <w:vAlign w:val="center"/>
          </w:tcPr>
          <w:p w14:paraId="65E040AE"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701" w:type="dxa"/>
            <w:vAlign w:val="center"/>
          </w:tcPr>
          <w:p w14:paraId="671E48B2"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7 days post-MI</w:t>
            </w:r>
          </w:p>
        </w:tc>
        <w:tc>
          <w:tcPr>
            <w:tcW w:w="1984" w:type="dxa"/>
            <w:vMerge/>
            <w:vAlign w:val="center"/>
          </w:tcPr>
          <w:p w14:paraId="0FD7CDAD"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8" w:type="dxa"/>
            <w:vAlign w:val="center"/>
          </w:tcPr>
          <w:p w14:paraId="64FA26BC"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5168</w:t>
            </w:r>
          </w:p>
        </w:tc>
        <w:tc>
          <w:tcPr>
            <w:tcW w:w="4394" w:type="dxa"/>
            <w:vMerge/>
            <w:vAlign w:val="center"/>
          </w:tcPr>
          <w:p w14:paraId="6BACDFAC"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r>
      <w:tr w:rsidR="00BF5828" w:rsidRPr="006B2F31" w14:paraId="7E5DDA8C" w14:textId="77777777" w:rsidTr="00085A7E">
        <w:tc>
          <w:tcPr>
            <w:tcW w:w="928" w:type="dxa"/>
            <w:vMerge/>
            <w:vAlign w:val="center"/>
          </w:tcPr>
          <w:p w14:paraId="449DA684"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7" w:type="dxa"/>
            <w:vAlign w:val="center"/>
          </w:tcPr>
          <w:p w14:paraId="6F09F782"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GEO</w:t>
            </w:r>
          </w:p>
        </w:tc>
        <w:tc>
          <w:tcPr>
            <w:tcW w:w="1903" w:type="dxa"/>
            <w:vAlign w:val="center"/>
          </w:tcPr>
          <w:p w14:paraId="6C692318"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GSE136088</w:t>
            </w:r>
          </w:p>
        </w:tc>
        <w:tc>
          <w:tcPr>
            <w:tcW w:w="1701" w:type="dxa"/>
            <w:vAlign w:val="center"/>
          </w:tcPr>
          <w:p w14:paraId="18744D14"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14 days post-MI</w:t>
            </w:r>
          </w:p>
        </w:tc>
        <w:tc>
          <w:tcPr>
            <w:tcW w:w="1984" w:type="dxa"/>
            <w:vAlign w:val="center"/>
          </w:tcPr>
          <w:p w14:paraId="40BDA765"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Adult</w:t>
            </w:r>
          </w:p>
        </w:tc>
        <w:tc>
          <w:tcPr>
            <w:tcW w:w="1418" w:type="dxa"/>
            <w:vAlign w:val="center"/>
          </w:tcPr>
          <w:p w14:paraId="46CBB132"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285</w:t>
            </w:r>
          </w:p>
        </w:tc>
        <w:tc>
          <w:tcPr>
            <w:tcW w:w="4394" w:type="dxa"/>
            <w:vAlign w:val="center"/>
          </w:tcPr>
          <w:p w14:paraId="0F59AD66"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DePasquale et al., Nuclei acids research 2019</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lang w:eastAsia="zh-CN"/>
              </w:rPr>
              <w:instrText>ADDIN CSL_CITATION {"citationItems":[{"id":"ITEM-1","itemData":{"DOI":"10.1093/NAR/GKZ789","ISSN":"0305-1048","abstract":"To understand the molecular pathogenesis of human disease, precision analyses to define alterations within and between disease-associated cell populations are desperately needed. Single-cell genomics represents an ideal platform to enable the identification and comparison of normal and diseased transcriptional cell populations. We created cellHarmony, an integrated solution for the unsupervised analysis, classification, and comparison of cell types from diverse single-cell RNA-Seq datasets. cellHarmony efficiently and accurately matches single-cell transcriptomes using a community-clustering and alignment strategy to compute differences in cell-type specific gene expression over potentially dozens of cell populations. Such transcriptional differences are used to automatically identify distinct and shared gene programs among cell-types and identify impacted pathways and transcriptional regulatory networks to understand the impact of perturbations at a systems level. cellHarmony is implemented as a python package and as an integrated workflow within the software AltAnalyze. We demonstrate that cellHarmony has improved or equivalent performance to alternative label projection methods, is able to identify the likely cellular origins of malignant states, stratify patients into clinical disease subtypes from identified gene programs, resolve discrete disease networks impacting specific cell-types, and illuminate therapeutic mechanisms. Thus, this approach holds tremendous promise in revealing the molecular and cellular origins of complex disease.","author":[{"dropping-particle":"","family":"DePasquale","given":"Erica A K","non-dropping-particle":"","parse-names":false,"suffix":""},{"dropping-particle":"","family":"Schnell","given":"Daniel","non-dropping-particle":"","parse-names":false,"suffix":""},{"dropping-particle":"","family":"Dexheimer","given":"Phillip","non-dropping-particle":"","parse-names":false,"suffix":""},{"dropping-particle":"","family":"Ferchen","given":"Kyle","non-dropping-particle":"","parse-names":false,"suffix":""},{"dropping-particle":"","family":"Hay","given":"Stuart","non-dropping-particle":"","parse-names":false,"suffix":""},{"dropping-particle":"","family":"Chetal","given":"Kashish","non-dropping-particle":"","parse-names":false,"suffix":""},{"dropping-particle":"","family":"Valiente-Alandí","given":"Íñigo","non-dropping-particle":"","parse-names":false,"suffix":""},{"dropping-particle":"","family":"Blaxall","given":"Burns C","non-dropping-particle":"","parse-names":false,"suffix":""},{"dropping-particle":"","family":"Grimes","given":"H Leighton","non-dropping-particle":"","parse-names":false,"suffix":""},{"dropping-particle":"","family":"Salomonis","given":"Nathan","non-dropping-particle":"","parse-names":false,"suffix":""}],"container-title":"Nucleic Acids Research","id":"ITEM-1","issue":"21","issued":{"date-parts":[["2019","12","2"]]},"page":"e138-e138","publisher":"Oxford Academic","title":"cellHarmony: cell-level matching and holistic comparison of single-cell transcriptomes","type":"article-journal","volume":"47"},"uris":["http://www.mendeley.com/documents/?uuid=8f17b79d-2c7d-33a6-8f6b-d469764204d6"]}],"mendeley":{"formattedCitation":"&lt;sup&gt;17&lt;/sup&gt;","plainTextFormattedCitation":"17","previouslyFormattedCitation":"&lt;sup&gt;17&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9C6B71">
              <w:rPr>
                <w:rFonts w:ascii="Helvetica" w:hAnsi="Helvetica"/>
                <w:noProof/>
                <w:color w:val="000000" w:themeColor="text1"/>
                <w:sz w:val="20"/>
                <w:szCs w:val="20"/>
                <w:vertAlign w:val="superscript"/>
                <w:lang w:eastAsia="zh-CN"/>
              </w:rPr>
              <w:t>17</w:t>
            </w:r>
            <w:r w:rsidRPr="006B2F31">
              <w:rPr>
                <w:rFonts w:ascii="Helvetica" w:hAnsi="Helvetica"/>
                <w:color w:val="000000" w:themeColor="text1"/>
                <w:sz w:val="20"/>
                <w:szCs w:val="20"/>
              </w:rPr>
              <w:fldChar w:fldCharType="end"/>
            </w:r>
          </w:p>
        </w:tc>
      </w:tr>
      <w:tr w:rsidR="00BF5828" w:rsidRPr="006B2F31" w14:paraId="5992605C" w14:textId="77777777" w:rsidTr="00085A7E">
        <w:trPr>
          <w:trHeight w:val="92"/>
        </w:trPr>
        <w:tc>
          <w:tcPr>
            <w:tcW w:w="928" w:type="dxa"/>
            <w:vMerge/>
            <w:vAlign w:val="center"/>
          </w:tcPr>
          <w:p w14:paraId="71962B69"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7" w:type="dxa"/>
            <w:vMerge w:val="restart"/>
            <w:vAlign w:val="center"/>
          </w:tcPr>
          <w:p w14:paraId="290C5368"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ArrayExpress</w:t>
            </w:r>
          </w:p>
        </w:tc>
        <w:tc>
          <w:tcPr>
            <w:tcW w:w="1903" w:type="dxa"/>
            <w:vMerge w:val="restart"/>
            <w:vAlign w:val="center"/>
          </w:tcPr>
          <w:p w14:paraId="58E884C9"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E-MTAB-9816</w:t>
            </w:r>
          </w:p>
        </w:tc>
        <w:tc>
          <w:tcPr>
            <w:tcW w:w="1701" w:type="dxa"/>
            <w:vAlign w:val="center"/>
          </w:tcPr>
          <w:p w14:paraId="6B3B0236"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1 day post-MI</w:t>
            </w:r>
          </w:p>
        </w:tc>
        <w:tc>
          <w:tcPr>
            <w:tcW w:w="1984" w:type="dxa"/>
            <w:vMerge w:val="restart"/>
            <w:vAlign w:val="center"/>
          </w:tcPr>
          <w:p w14:paraId="51D0C0BC"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Adult</w:t>
            </w:r>
          </w:p>
        </w:tc>
        <w:tc>
          <w:tcPr>
            <w:tcW w:w="1418" w:type="dxa"/>
            <w:vAlign w:val="center"/>
          </w:tcPr>
          <w:p w14:paraId="507ED485"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59</w:t>
            </w:r>
          </w:p>
        </w:tc>
        <w:tc>
          <w:tcPr>
            <w:tcW w:w="4394" w:type="dxa"/>
            <w:vMerge w:val="restart"/>
            <w:vAlign w:val="center"/>
          </w:tcPr>
          <w:p w14:paraId="2CABE58F"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Tombor et al., Nature Communications 2021</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lang w:eastAsia="zh-CN"/>
              </w:rPr>
              <w:instrText>ADDIN CSL_CITATION {"citationItems":[{"id":"ITEM-1","itemData":{"DOI":"10.1038/s41467-021-20905-1","ISSN":"2041-1723","abstract":"Endothelial cells play a critical role in the adaptation of tissues to injury. Tissue ischemia induced by infarction leads to profound changes in endothelial cell functions and can induce transition to a mesenchymal state. Here we explore the kinetics and individual cellular responses of endothelial cells after myocardial infarction by using single cell RNA sequencing. This study demonstrates a time dependent switch in endothelial cell proliferation and inflammation associated with transient changes in metabolic gene signatures. Trajectory analysis reveals that the majority of endothelial cells 3 to 7 days after myocardial infarction acquire a transient state, characterized by mesenchymal gene expression, which returns to baseline 14 days after injury. Lineage tracing, using the Cdh5-CreERT2;mT/mG mice followed by single cell RNA sequencing, confirms the transient mesenchymal transition and reveals additional hypoxic and inflammatory signatures of endothelial cells during early and late states after injury. These data suggest that endothelial cells undergo a transient mes-enchymal activation concomitant with a metabolic adaptation within the first days after myocardial infarction but do not acquire a long-term mesenchymal fate. This mesenchymal activation may facilitate endothelial cell migration and clonal expansion to regenerate the vascular network. Endothelial cells play a critical role in the adaptation of tissues to injury and show a remarkable plasticity. Here the authors show, using single cell sequencing, that endothelial cells acquire a transient mesenchymal state associated with metabolic adaptation after myocardial infarction.","author":[{"dropping-particle":"","family":"Tombor","given":"Lukas S.","non-dropping-particle":"","parse-names":false,"suffix":""},{"dropping-particle":"","family":"John","given":"David","non-dropping-particle":"","parse-names":false,"suffix":""},{"dropping-particle":"","family":"Glaser","given":"Simone F.","non-dropping-particle":"","parse-names":false,"suffix":""},{"dropping-particle":"","family":"Luxán","given":"Guillermo","non-dropping-particle":"","parse-names":false,"suffix":""},{"dropping-particle":"","family":"Forte","given":"Elvira","non-dropping-particle":"","parse-names":false,"suffix":""},{"dropping-particle":"","family":"Furtado","given":"Milena","non-dropping-particle":"","parse-names":false,"suffix":""},{"dropping-particle":"","family":"Rosenthal","given":"Nadia","non-dropping-particle":"","parse-names":false,"suffix":""},{"dropping-particle":"","family":"Baumgarten","given":"Nina","non-dropping-particle":"","parse-names":false,"suffix":""},{"dropping-particle":"","family":"Schulz","given":"Marcel H.","non-dropping-particle":"","parse-names":false,"suffix":""},{"dropping-particle":"","family":"Wittig","given":"Janina","non-dropping-particle":"","parse-names":false,"suffix":""},{"dropping-particle":"","family":"Rogg","given":"Eva-Maria","non-dropping-particle":"","parse-names":false,"suffix":""},{"dropping-particle":"","family":"Manavski","given":"Yosif","non-dropping-particle":"","parse-names":false,"suffix":""},{"dropping-particle":"","family":"Fischer","given":"Ariane","non-dropping-particle":"","parse-names":false,"suffix":""},{"dropping-particle":"","family":"Muhly-Reinholz","given":"Marion","non-dropping-particle":"","parse-names":false,"suffix":""},{"dropping-particle":"","family":"Klee","given":"Kathrin","non-dropping-particle":"","parse-names":false,"suffix":""},{"dropping-particle":"","family":"Looso","given":"Mario","non-dropping-particle":"","parse-names":false,"suffix":""},{"dropping-particle":"","family":"Selignow","given":"Carmen","non-dropping-particle":"","parse-names":false,"suffix":""},{"dropping-particle":"","family":"Acker","given":"Till","non-dropping-particle":"","parse-names":false,"suffix":""},{"dropping-particle":"","family":"Bibli","given":"Sofia-Iris","non-dropping-particle":"","parse-names":false,"suffix":""},{"dropping-particle":"","family":"Fleming","given":"Ingrid","non-dropping-particle":"","parse-names":false,"suffix":""},{"dropping-particle":"","family":"Patrick","given":"Ralph","non-dropping-particle":"","parse-names":false,"suffix":""},{"dropping-particle":"","family":"Harvey","given":"Richard P.","non-dropping-particle":"","parse-names":false,"suffix":""},{"dropping-particle":"","family":"Abplanalp","given":"Wesley T.","non-dropping-particle":"","parse-names":false,"suffix":""},{"dropping-particle":"","family":"Dimmeler","given":"Stefanie","non-dropping-particle":"","parse-names":false,"suffix":""}],"container-title":"Nature Communications 2021 12:1","id":"ITEM-1","issue":"1","issued":{"date-parts":[["2021","1","29"]]},"page":"1-12","publisher":"Nature Publishing Group","title":"Single cell sequencing reveals endothelial plasticity with transient mesenchymal activation after myocardial infarction","type":"article-journal","volume":"12"},"uris":["http://www.mendeley.com/documents/?uuid=5332a0f4-279a-390f-9b28-3ab256149a42"]}],"mendeley":{"formattedCitation":"&lt;sup&gt;18&lt;/sup&gt;","plainTextFormattedCitation":"18","previouslyFormattedCitation":"&lt;sup&gt;18&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9C6B71">
              <w:rPr>
                <w:rFonts w:ascii="Helvetica" w:hAnsi="Helvetica"/>
                <w:noProof/>
                <w:color w:val="000000" w:themeColor="text1"/>
                <w:sz w:val="20"/>
                <w:szCs w:val="20"/>
                <w:vertAlign w:val="superscript"/>
                <w:lang w:eastAsia="zh-CN"/>
              </w:rPr>
              <w:t>18</w:t>
            </w:r>
            <w:r w:rsidRPr="006B2F31">
              <w:rPr>
                <w:rFonts w:ascii="Helvetica" w:hAnsi="Helvetica"/>
                <w:color w:val="000000" w:themeColor="text1"/>
                <w:sz w:val="20"/>
                <w:szCs w:val="20"/>
              </w:rPr>
              <w:fldChar w:fldCharType="end"/>
            </w:r>
          </w:p>
        </w:tc>
      </w:tr>
      <w:tr w:rsidR="00BF5828" w:rsidRPr="006B2F31" w14:paraId="5442381C" w14:textId="77777777" w:rsidTr="00085A7E">
        <w:trPr>
          <w:trHeight w:val="92"/>
        </w:trPr>
        <w:tc>
          <w:tcPr>
            <w:tcW w:w="928" w:type="dxa"/>
            <w:vMerge/>
            <w:vAlign w:val="center"/>
          </w:tcPr>
          <w:p w14:paraId="5F879937"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7" w:type="dxa"/>
            <w:vMerge/>
            <w:vAlign w:val="center"/>
          </w:tcPr>
          <w:p w14:paraId="700DAD1E"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903" w:type="dxa"/>
            <w:vMerge/>
            <w:vAlign w:val="center"/>
          </w:tcPr>
          <w:p w14:paraId="57B74571"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701" w:type="dxa"/>
            <w:vAlign w:val="center"/>
          </w:tcPr>
          <w:p w14:paraId="2CEFEF78"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3 days post-MI</w:t>
            </w:r>
          </w:p>
        </w:tc>
        <w:tc>
          <w:tcPr>
            <w:tcW w:w="1984" w:type="dxa"/>
            <w:vMerge/>
            <w:vAlign w:val="center"/>
          </w:tcPr>
          <w:p w14:paraId="0BC2AC42"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8" w:type="dxa"/>
            <w:vAlign w:val="center"/>
          </w:tcPr>
          <w:p w14:paraId="46571566"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116</w:t>
            </w:r>
          </w:p>
        </w:tc>
        <w:tc>
          <w:tcPr>
            <w:tcW w:w="4394" w:type="dxa"/>
            <w:vMerge/>
            <w:vAlign w:val="center"/>
          </w:tcPr>
          <w:p w14:paraId="15DCD774"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r>
      <w:tr w:rsidR="00BF5828" w:rsidRPr="006B2F31" w14:paraId="553A7B98" w14:textId="77777777" w:rsidTr="00085A7E">
        <w:trPr>
          <w:trHeight w:val="92"/>
        </w:trPr>
        <w:tc>
          <w:tcPr>
            <w:tcW w:w="928" w:type="dxa"/>
            <w:vMerge/>
            <w:vAlign w:val="center"/>
          </w:tcPr>
          <w:p w14:paraId="0B6F6224"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7" w:type="dxa"/>
            <w:vMerge/>
            <w:vAlign w:val="center"/>
          </w:tcPr>
          <w:p w14:paraId="4B14BBFF"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903" w:type="dxa"/>
            <w:vMerge/>
            <w:vAlign w:val="center"/>
          </w:tcPr>
          <w:p w14:paraId="757CF2F6"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701" w:type="dxa"/>
            <w:vAlign w:val="center"/>
          </w:tcPr>
          <w:p w14:paraId="5581B297"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14 days post-MI</w:t>
            </w:r>
          </w:p>
        </w:tc>
        <w:tc>
          <w:tcPr>
            <w:tcW w:w="1984" w:type="dxa"/>
            <w:vMerge/>
            <w:vAlign w:val="center"/>
          </w:tcPr>
          <w:p w14:paraId="6BAD21FF"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8" w:type="dxa"/>
            <w:vAlign w:val="center"/>
          </w:tcPr>
          <w:p w14:paraId="6BFE16FD"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169</w:t>
            </w:r>
          </w:p>
        </w:tc>
        <w:tc>
          <w:tcPr>
            <w:tcW w:w="4394" w:type="dxa"/>
            <w:vMerge/>
            <w:vAlign w:val="center"/>
          </w:tcPr>
          <w:p w14:paraId="0DC4E2B9"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r>
      <w:tr w:rsidR="00BF5828" w:rsidRPr="006B2F31" w14:paraId="5B11BEB3" w14:textId="77777777" w:rsidTr="00085A7E">
        <w:trPr>
          <w:trHeight w:val="92"/>
        </w:trPr>
        <w:tc>
          <w:tcPr>
            <w:tcW w:w="928" w:type="dxa"/>
            <w:vMerge/>
            <w:tcBorders>
              <w:bottom w:val="double" w:sz="4" w:space="0" w:color="auto"/>
            </w:tcBorders>
            <w:vAlign w:val="center"/>
          </w:tcPr>
          <w:p w14:paraId="3FA44C63"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7" w:type="dxa"/>
            <w:vMerge/>
            <w:tcBorders>
              <w:bottom w:val="double" w:sz="4" w:space="0" w:color="auto"/>
            </w:tcBorders>
            <w:vAlign w:val="center"/>
          </w:tcPr>
          <w:p w14:paraId="1D134776"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903" w:type="dxa"/>
            <w:vMerge/>
            <w:tcBorders>
              <w:bottom w:val="double" w:sz="4" w:space="0" w:color="auto"/>
            </w:tcBorders>
            <w:vAlign w:val="center"/>
          </w:tcPr>
          <w:p w14:paraId="07A93703"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701" w:type="dxa"/>
            <w:tcBorders>
              <w:bottom w:val="double" w:sz="4" w:space="0" w:color="auto"/>
            </w:tcBorders>
            <w:vAlign w:val="center"/>
          </w:tcPr>
          <w:p w14:paraId="01B029F6"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28 days post-MI</w:t>
            </w:r>
          </w:p>
        </w:tc>
        <w:tc>
          <w:tcPr>
            <w:tcW w:w="1984" w:type="dxa"/>
            <w:vMerge/>
            <w:tcBorders>
              <w:bottom w:val="double" w:sz="4" w:space="0" w:color="auto"/>
            </w:tcBorders>
            <w:vAlign w:val="center"/>
          </w:tcPr>
          <w:p w14:paraId="5E467ADD"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8" w:type="dxa"/>
            <w:tcBorders>
              <w:bottom w:val="double" w:sz="4" w:space="0" w:color="auto"/>
            </w:tcBorders>
            <w:vAlign w:val="center"/>
          </w:tcPr>
          <w:p w14:paraId="50E4487A"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177</w:t>
            </w:r>
          </w:p>
        </w:tc>
        <w:tc>
          <w:tcPr>
            <w:tcW w:w="4394" w:type="dxa"/>
            <w:vMerge/>
            <w:tcBorders>
              <w:bottom w:val="double" w:sz="4" w:space="0" w:color="auto"/>
            </w:tcBorders>
            <w:vAlign w:val="center"/>
          </w:tcPr>
          <w:p w14:paraId="60BD5925"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r>
      <w:tr w:rsidR="00BF5828" w:rsidRPr="006B2F31" w14:paraId="7EA665AD" w14:textId="77777777" w:rsidTr="00085A7E">
        <w:tc>
          <w:tcPr>
            <w:tcW w:w="928" w:type="dxa"/>
            <w:vMerge w:val="restart"/>
            <w:tcBorders>
              <w:top w:val="double" w:sz="4" w:space="0" w:color="auto"/>
            </w:tcBorders>
            <w:vAlign w:val="center"/>
          </w:tcPr>
          <w:p w14:paraId="52CDC632"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Human</w:t>
            </w:r>
          </w:p>
          <w:p w14:paraId="3B395EF4"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417" w:type="dxa"/>
            <w:tcBorders>
              <w:top w:val="double" w:sz="4" w:space="0" w:color="auto"/>
            </w:tcBorders>
            <w:vAlign w:val="center"/>
          </w:tcPr>
          <w:p w14:paraId="22FC9AF9"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lastRenderedPageBreak/>
              <w:t>GEO</w:t>
            </w:r>
          </w:p>
        </w:tc>
        <w:tc>
          <w:tcPr>
            <w:tcW w:w="1903" w:type="dxa"/>
            <w:tcBorders>
              <w:top w:val="double" w:sz="4" w:space="0" w:color="auto"/>
            </w:tcBorders>
            <w:vAlign w:val="center"/>
          </w:tcPr>
          <w:p w14:paraId="4FD1FE40"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GSE106118</w:t>
            </w:r>
          </w:p>
        </w:tc>
        <w:tc>
          <w:tcPr>
            <w:tcW w:w="1701" w:type="dxa"/>
            <w:tcBorders>
              <w:top w:val="double" w:sz="4" w:space="0" w:color="auto"/>
            </w:tcBorders>
            <w:vAlign w:val="center"/>
          </w:tcPr>
          <w:p w14:paraId="4613B524"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t>Healthy</w:t>
            </w:r>
          </w:p>
          <w:p w14:paraId="7D190263" w14:textId="77777777" w:rsidR="00BF5828" w:rsidRPr="006B2F31" w:rsidRDefault="00BF5828" w:rsidP="00085A7E">
            <w:pPr>
              <w:spacing w:line="360" w:lineRule="auto"/>
              <w:jc w:val="both"/>
              <w:rPr>
                <w:rFonts w:ascii="Helvetica" w:hAnsi="Helvetica"/>
                <w:color w:val="000000" w:themeColor="text1"/>
                <w:sz w:val="20"/>
                <w:szCs w:val="20"/>
                <w:lang w:eastAsia="zh-CN"/>
              </w:rPr>
            </w:pPr>
          </w:p>
        </w:tc>
        <w:tc>
          <w:tcPr>
            <w:tcW w:w="1984" w:type="dxa"/>
            <w:tcBorders>
              <w:top w:val="double" w:sz="4" w:space="0" w:color="auto"/>
            </w:tcBorders>
            <w:vAlign w:val="center"/>
          </w:tcPr>
          <w:p w14:paraId="437D87C6"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lastRenderedPageBreak/>
              <w:t xml:space="preserve">Fetal </w:t>
            </w:r>
          </w:p>
          <w:p w14:paraId="41CEA1DA"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lastRenderedPageBreak/>
              <w:t>5 - 25 weeks</w:t>
            </w:r>
          </w:p>
        </w:tc>
        <w:tc>
          <w:tcPr>
            <w:tcW w:w="1418" w:type="dxa"/>
            <w:tcBorders>
              <w:top w:val="double" w:sz="4" w:space="0" w:color="auto"/>
            </w:tcBorders>
            <w:vAlign w:val="center"/>
          </w:tcPr>
          <w:p w14:paraId="2F2409C1" w14:textId="77777777" w:rsidR="00BF5828" w:rsidRPr="006B2F31" w:rsidRDefault="00BF5828" w:rsidP="00085A7E">
            <w:pPr>
              <w:spacing w:line="360" w:lineRule="auto"/>
              <w:jc w:val="both"/>
              <w:rPr>
                <w:rFonts w:ascii="Helvetica" w:hAnsi="Helvetica"/>
                <w:color w:val="000000" w:themeColor="text1"/>
                <w:sz w:val="20"/>
                <w:szCs w:val="20"/>
                <w:lang w:eastAsia="zh-CN"/>
              </w:rPr>
            </w:pPr>
            <w:r w:rsidRPr="006B2F31">
              <w:rPr>
                <w:rFonts w:ascii="Helvetica" w:hAnsi="Helvetica"/>
                <w:color w:val="000000" w:themeColor="text1"/>
                <w:sz w:val="20"/>
                <w:szCs w:val="20"/>
                <w:lang w:eastAsia="zh-CN"/>
              </w:rPr>
              <w:lastRenderedPageBreak/>
              <w:t>240</w:t>
            </w:r>
          </w:p>
        </w:tc>
        <w:tc>
          <w:tcPr>
            <w:tcW w:w="4394" w:type="dxa"/>
            <w:tcBorders>
              <w:top w:val="double" w:sz="4" w:space="0" w:color="auto"/>
            </w:tcBorders>
            <w:vAlign w:val="center"/>
          </w:tcPr>
          <w:p w14:paraId="1496F7A0"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lang w:eastAsia="zh-CN"/>
              </w:rPr>
              <w:t>Cui et al., Cell reports 2019</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lang w:eastAsia="zh-CN"/>
              </w:rPr>
              <w:instrText>ADDIN CSL_CITATION {"citationItems":[{"id":"ITEM-1","itemData":{"DOI":"10.1016/j.celrep.2019.01.079","abstract":"Graphical Abstract Highlights d Systematic mapping of the transcriptomic landscape of the human fetal heart d Critical biological features of cardiomyocytes and cardiac fibroblasts are revealed d Synergistic activation of NOTCH and BMP signaling pathways during heart development d Human-specific marker genes are revealed by comparing with mouse heart data","author":[{"dropping-particle":"","family":"Cui","given":"Yueli","non-dropping-particle":"","parse-names":false,"suffix":""},{"dropping-particle":"","family":"Zheng","given":"Yuxuan","non-dropping-particle":"","parse-names":false,"suffix":""},{"dropping-particle":"","family":"Liu","given":"Xixi","non-dropping-particle":"","parse-names":false,"suffix":""},{"dropping-particle":"","family":"Wen","given":"Lu","non-dropping-particle":"","parse-names":false,"suffix":""},{"dropping-particle":"","family":"Qiao","given":"Jie","non-dropping-particle":"","parse-names":false,"suffix":""},{"dropping-particle":"","family":"Tang","given":"Fuchou","non-dropping-particle":"","parse-names":false,"suffix":""}],"container-title":"CellReports","id":"ITEM-1","issued":{"date-parts":[["2019"]]},"page":"1934-1950.e5","title":"Single-Cell Transcriptome Analysis Maps the Developmental Track of the Human Heart","type":"article-journal","volume":"26"},"uris":["http://www.mendeley.com/documents/?uuid=88806964-abd2-34a6-890f-2a630f11406b"]}],"mendeley":{"formattedCitation":"&lt;sup&gt;55&lt;/sup&gt;","plainTextFormattedCitation":"55","previouslyFormattedCitation":"&lt;sup&gt;53&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5B7CC8">
              <w:rPr>
                <w:rFonts w:ascii="Helvetica" w:hAnsi="Helvetica"/>
                <w:noProof/>
                <w:color w:val="000000" w:themeColor="text1"/>
                <w:sz w:val="20"/>
                <w:szCs w:val="20"/>
                <w:vertAlign w:val="superscript"/>
              </w:rPr>
              <w:t>55</w:t>
            </w:r>
            <w:r w:rsidRPr="006B2F31">
              <w:rPr>
                <w:rFonts w:ascii="Helvetica" w:hAnsi="Helvetica"/>
                <w:color w:val="000000" w:themeColor="text1"/>
                <w:sz w:val="20"/>
                <w:szCs w:val="20"/>
              </w:rPr>
              <w:fldChar w:fldCharType="end"/>
            </w:r>
          </w:p>
        </w:tc>
      </w:tr>
      <w:tr w:rsidR="00BF5828" w:rsidRPr="006B2F31" w14:paraId="456C46D1" w14:textId="77777777" w:rsidTr="00085A7E">
        <w:tc>
          <w:tcPr>
            <w:tcW w:w="928" w:type="dxa"/>
            <w:vMerge/>
            <w:vAlign w:val="center"/>
          </w:tcPr>
          <w:p w14:paraId="509792A9" w14:textId="77777777" w:rsidR="00BF5828" w:rsidRPr="006B2F31" w:rsidRDefault="00BF5828" w:rsidP="00085A7E">
            <w:pPr>
              <w:spacing w:line="360" w:lineRule="auto"/>
              <w:jc w:val="both"/>
              <w:rPr>
                <w:rFonts w:ascii="Helvetica" w:hAnsi="Helvetica"/>
                <w:color w:val="000000" w:themeColor="text1"/>
                <w:sz w:val="20"/>
                <w:szCs w:val="20"/>
              </w:rPr>
            </w:pPr>
          </w:p>
        </w:tc>
        <w:tc>
          <w:tcPr>
            <w:tcW w:w="1417" w:type="dxa"/>
            <w:vMerge w:val="restart"/>
            <w:vAlign w:val="center"/>
          </w:tcPr>
          <w:p w14:paraId="61E23E20"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GEO</w:t>
            </w:r>
          </w:p>
        </w:tc>
        <w:tc>
          <w:tcPr>
            <w:tcW w:w="1903" w:type="dxa"/>
            <w:vMerge w:val="restart"/>
            <w:vAlign w:val="center"/>
          </w:tcPr>
          <w:p w14:paraId="3F763E92"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GSE134355</w:t>
            </w:r>
          </w:p>
        </w:tc>
        <w:tc>
          <w:tcPr>
            <w:tcW w:w="1701" w:type="dxa"/>
            <w:vMerge w:val="restart"/>
            <w:vAlign w:val="center"/>
          </w:tcPr>
          <w:p w14:paraId="364B44ED"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Healthy</w:t>
            </w:r>
          </w:p>
        </w:tc>
        <w:tc>
          <w:tcPr>
            <w:tcW w:w="1984" w:type="dxa"/>
            <w:vAlign w:val="center"/>
          </w:tcPr>
          <w:p w14:paraId="00A0026E"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Fetal 11 - 12 weeks</w:t>
            </w:r>
          </w:p>
        </w:tc>
        <w:tc>
          <w:tcPr>
            <w:tcW w:w="1418" w:type="dxa"/>
            <w:vAlign w:val="center"/>
          </w:tcPr>
          <w:p w14:paraId="1589F0A2"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532</w:t>
            </w:r>
          </w:p>
        </w:tc>
        <w:tc>
          <w:tcPr>
            <w:tcW w:w="4394" w:type="dxa"/>
            <w:vMerge w:val="restart"/>
            <w:vAlign w:val="center"/>
          </w:tcPr>
          <w:p w14:paraId="67E132F1"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Han et al., Nature 2020</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rPr>
              <w:instrText>ADDIN CSL_CITATION {"citationItems":[{"id":"ITEM-1","itemData":{"DOI":"10.1038/s41586-020-2157-4","ISSN":"1476-4687","abstract":"Single-cell analysis is a valuable tool for dissecting cellular heterogeneity in complex systems1. However, a comprehensive single-cell atlas has not been achieved for humans. Here we use single-cell mRNA sequencing to determine the cell-type composition of all major human organs and construct a scheme for the human cell landscape (HCL). We have uncovered a single-cell hierarchy for many tissues that have not been well characterized. We established a ‘single-cell HCL analysis’ pipeline that helps to define human cell identity. Finally, we performed a single-cell comparative analysis of landscapes from human and mouse to identify conserved genetic networks. We found that stem and progenitor cells exhibit strong transcriptomic stochasticity, whereas differentiated cells are more distinct. Our results provide a useful resource for the study of human biology. Single-cell RNA sequencing is used to generate a dataset covering all major human organs in both adult and fetal stages, enabling comparison with similar datasets for mouse tissues.","author":[{"dropping-particle":"","family":"Han","given":"Xiaoping","non-dropping-particle":"","parse-names":false,"suffix":""},{"dropping-particle":"","family":"Zhou","given":"Ziming","non-dropping-particle":"","parse-names":false,"suffix":""},{"dropping-particle":"","family":"Fei","given":"Lijiang","non-dropping-particle":"","parse-names":false,"suffix":""},{"dropping-particle":"","family":"Sun","given":"Huiyu","non-dropping-particle":"","parse-names":false,"suffix":""},{"dropping-particle":"","family":"Wang","given":"Renying","non-dropping-particle":"","parse-names":false,"suffix":""},{"dropping-particle":"","family":"Chen","given":"Yao","non-dropping-particle":"","parse-names":false,"suffix":""},{"dropping-particle":"","family":"Chen","given":"Haide","non-dropping-particle":"","parse-names":false,"suffix":""},{"dropping-particle":"","family":"Wang","given":"Jingjing","non-dropping-particle":"","parse-names":false,"suffix":""},{"dropping-particle":"","family":"Tang","given":"Huanna","non-dropping-particle":"","parse-names":false,"suffix":""},{"dropping-particle":"","family":"Ge","given":"Wenhao","non-dropping-particle":"","parse-names":false,"suffix":""},{"dropping-particle":"","family":"Zhou","given":"Yincong","non-dropping-particle":"","parse-names":false,"suffix":""},{"dropping-particle":"","family":"Ye","given":"Fang","non-dropping-particle":"","parse-names":false,"suffix":""},{"dropping-particle":"","family":"Jiang","given":"Mengmeng","non-dropping-particle":"","parse-names":false,"suffix":""},{"dropping-particle":"","family":"Wu","given":"Junqing","non-dropping-particle":"","parse-names":false,"suffix":""},{"dropping-particle":"","family":"Xiao","given":"Yanyu","non-dropping-particle":"","parse-names":false,"suffix":""},{"dropping-particle":"","family":"Jia","given":"Xiaoning","non-dropping-particle":"","parse-names":false,"suffix":""},{"dropping-particle":"","family":"Zhang","given":"Tingyue","non-dropping-particle":"","parse-names":false,"suffix":""},{"dropping-particle":"","family":"Ma","given":"Xiaojie","non-dropping-particle":"","parse-names":false,"suffix":""},{"dropping-particle":"","family":"Zhang","given":"Qi","non-dropping-particle":"","parse-names":false,"suffix":""},{"dropping-particle":"","family":"Bai","given":"Xueli","non-dropping-particle":"","parse-names":false,"suffix":""},{"dropping-particle":"","family":"Lai","given":"Shujing","non-dropping-particle":"","parse-names":false,"suffix":""},{"dropping-particle":"","family":"Yu","given":"Chengxuan","non-dropping-particle":"","parse-names":false,"suffix":""},{"dropping-particle":"","family":"Zhu","given":"Lijun","non-dropping-particle":"","parse-names":false,"suffix":""},{"dropping-particle":"","family":"Lin","given":"Rui","non-dropping-particle":"","parse-names":false,"suffix":""},{"dropping-particle":"","family":"Gao","given":"Yuchi","non-dropping-particle":"","parse-names":false,"suffix":""},{"dropping-particle":"","family":"Wang","given":"Min","non-dropping-particle":"","parse-names":false,"suffix":""},{"dropping-particle":"","family":"Wu","given":"Yiqing","non-dropping-particle":"","parse-names":false,"suffix":""},{"dropping-particle":"","family":"Zhang","given":"Jianming","non-dropping-particle":"","parse-names":false,"suffix":""},{"dropping-particle":"","family":"Zhan","given":"Renya","non-dropping-particle":"","parse-names":false,"suffix":""},{"dropping-particle":"","family":"Zhu","given":"Saiyong","non-dropping-particle":"","parse-names":false,"suffix":""},{"dropping-particle":"","family":"Hu","given":"Hailan","non-dropping-particle":"","parse-names":false,"suffix":""},{"dropping-particle":"","family":"Wang","given":"Changchun","non-dropping-particle":"","parse-names":false,"suffix":""},{"dropping-particle":"","family":"Chen","given":"Ming","non-dropping-particle":"","parse-names":false,"suffix":""},{"dropping-particle":"","family":"Huang","given":"He","non-dropping-particle":"","parse-names":false,"suffix":""},{"dropping-particle":"","family":"Liang","given":"Tingbo","non-dropping-particle":"","parse-names":false,"suffix":""},{"dropping-particle":"","family":"Chen","given":"Jianghua","non-dropping-particle":"","parse-names":false,"suffix":""},{"dropping-particle":"","family":"Wang","given":"Weilin","non-dropping-particle":"","parse-names":false,"suffix":""},{"dropping-particle":"","family":"Zhang","given":"Dan","non-dropping-particle":"","parse-names":false,"suffix":""},{"dropping-particle":"","family":"Guo","given":"Guoji","non-dropping-particle":"","parse-names":false,"suffix":""}],"container-title":"Nature 2020 581:7808","id":"ITEM-1","issue":"7808","issued":{"date-parts":[["2020","3","25"]]},"page":"303-309","publisher":"Nature Publishing Group","title":"Construction of a human cell landscape at single-cell level","type":"article-journal","volume":"581"},"uris":["http://www.mendeley.com/documents/?uuid=331b394f-d4ec-3649-a1e3-8f6d5620a3dc"]}],"mendeley":{"formattedCitation":"&lt;sup&gt;56&lt;/sup&gt;","plainTextFormattedCitation":"56","previouslyFormattedCitation":"&lt;sup&gt;54&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5B7CC8">
              <w:rPr>
                <w:rFonts w:ascii="Helvetica" w:hAnsi="Helvetica"/>
                <w:noProof/>
                <w:color w:val="000000" w:themeColor="text1"/>
                <w:sz w:val="20"/>
                <w:szCs w:val="20"/>
                <w:vertAlign w:val="superscript"/>
              </w:rPr>
              <w:t>56</w:t>
            </w:r>
            <w:r w:rsidRPr="006B2F31">
              <w:rPr>
                <w:rFonts w:ascii="Helvetica" w:hAnsi="Helvetica"/>
                <w:color w:val="000000" w:themeColor="text1"/>
                <w:sz w:val="20"/>
                <w:szCs w:val="20"/>
              </w:rPr>
              <w:fldChar w:fldCharType="end"/>
            </w:r>
          </w:p>
        </w:tc>
      </w:tr>
      <w:tr w:rsidR="00BF5828" w:rsidRPr="006B2F31" w14:paraId="79C65ACA" w14:textId="77777777" w:rsidTr="00085A7E">
        <w:tc>
          <w:tcPr>
            <w:tcW w:w="928" w:type="dxa"/>
            <w:vMerge/>
            <w:vAlign w:val="center"/>
          </w:tcPr>
          <w:p w14:paraId="65E59A70" w14:textId="77777777" w:rsidR="00BF5828" w:rsidRPr="006B2F31" w:rsidRDefault="00BF5828" w:rsidP="00085A7E">
            <w:pPr>
              <w:spacing w:line="360" w:lineRule="auto"/>
              <w:jc w:val="both"/>
              <w:rPr>
                <w:rFonts w:ascii="Helvetica" w:hAnsi="Helvetica"/>
                <w:color w:val="000000" w:themeColor="text1"/>
                <w:sz w:val="20"/>
                <w:szCs w:val="20"/>
              </w:rPr>
            </w:pPr>
          </w:p>
        </w:tc>
        <w:tc>
          <w:tcPr>
            <w:tcW w:w="1417" w:type="dxa"/>
            <w:vMerge/>
            <w:vAlign w:val="center"/>
          </w:tcPr>
          <w:p w14:paraId="3462A4B6" w14:textId="77777777" w:rsidR="00BF5828" w:rsidRPr="006B2F31" w:rsidRDefault="00BF5828" w:rsidP="00085A7E">
            <w:pPr>
              <w:spacing w:line="360" w:lineRule="auto"/>
              <w:jc w:val="both"/>
              <w:rPr>
                <w:rFonts w:ascii="Helvetica" w:hAnsi="Helvetica"/>
                <w:color w:val="000000" w:themeColor="text1"/>
                <w:sz w:val="20"/>
                <w:szCs w:val="20"/>
              </w:rPr>
            </w:pPr>
          </w:p>
        </w:tc>
        <w:tc>
          <w:tcPr>
            <w:tcW w:w="1903" w:type="dxa"/>
            <w:vMerge/>
            <w:vAlign w:val="center"/>
          </w:tcPr>
          <w:p w14:paraId="4755B4C8" w14:textId="77777777" w:rsidR="00BF5828" w:rsidRPr="006B2F31" w:rsidRDefault="00BF5828" w:rsidP="00085A7E">
            <w:pPr>
              <w:spacing w:line="360" w:lineRule="auto"/>
              <w:jc w:val="both"/>
              <w:rPr>
                <w:rFonts w:ascii="Helvetica" w:hAnsi="Helvetica"/>
                <w:color w:val="000000" w:themeColor="text1"/>
                <w:sz w:val="20"/>
                <w:szCs w:val="20"/>
              </w:rPr>
            </w:pPr>
          </w:p>
        </w:tc>
        <w:tc>
          <w:tcPr>
            <w:tcW w:w="1701" w:type="dxa"/>
            <w:vMerge/>
            <w:vAlign w:val="center"/>
          </w:tcPr>
          <w:p w14:paraId="3E052E41" w14:textId="77777777" w:rsidR="00BF5828" w:rsidRPr="006B2F31" w:rsidRDefault="00BF5828" w:rsidP="00085A7E">
            <w:pPr>
              <w:spacing w:line="360" w:lineRule="auto"/>
              <w:jc w:val="both"/>
              <w:rPr>
                <w:rFonts w:ascii="Helvetica" w:hAnsi="Helvetica"/>
                <w:color w:val="000000" w:themeColor="text1"/>
                <w:sz w:val="20"/>
                <w:szCs w:val="20"/>
              </w:rPr>
            </w:pPr>
          </w:p>
        </w:tc>
        <w:tc>
          <w:tcPr>
            <w:tcW w:w="1984" w:type="dxa"/>
            <w:vAlign w:val="center"/>
          </w:tcPr>
          <w:p w14:paraId="67CC4608"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Adult</w:t>
            </w:r>
          </w:p>
        </w:tc>
        <w:tc>
          <w:tcPr>
            <w:tcW w:w="1418" w:type="dxa"/>
            <w:vAlign w:val="center"/>
          </w:tcPr>
          <w:p w14:paraId="22A7999E"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165</w:t>
            </w:r>
          </w:p>
        </w:tc>
        <w:tc>
          <w:tcPr>
            <w:tcW w:w="4394" w:type="dxa"/>
            <w:vMerge/>
            <w:vAlign w:val="center"/>
          </w:tcPr>
          <w:p w14:paraId="12BD0DC8" w14:textId="77777777" w:rsidR="00BF5828" w:rsidRPr="006B2F31" w:rsidRDefault="00BF5828" w:rsidP="00085A7E">
            <w:pPr>
              <w:spacing w:line="360" w:lineRule="auto"/>
              <w:jc w:val="both"/>
              <w:rPr>
                <w:rFonts w:ascii="Helvetica" w:hAnsi="Helvetica"/>
                <w:b/>
                <w:bCs/>
                <w:color w:val="000000" w:themeColor="text1"/>
                <w:sz w:val="20"/>
                <w:szCs w:val="20"/>
              </w:rPr>
            </w:pPr>
          </w:p>
        </w:tc>
      </w:tr>
      <w:tr w:rsidR="00BF5828" w:rsidRPr="006B2F31" w14:paraId="5F83ACAB" w14:textId="77777777" w:rsidTr="00085A7E">
        <w:tc>
          <w:tcPr>
            <w:tcW w:w="928" w:type="dxa"/>
            <w:vMerge/>
            <w:vAlign w:val="center"/>
          </w:tcPr>
          <w:p w14:paraId="4995ECDF" w14:textId="77777777" w:rsidR="00BF5828" w:rsidRPr="006B2F31" w:rsidRDefault="00BF5828" w:rsidP="00085A7E">
            <w:pPr>
              <w:spacing w:line="360" w:lineRule="auto"/>
              <w:jc w:val="both"/>
              <w:rPr>
                <w:rFonts w:ascii="Helvetica" w:hAnsi="Helvetica"/>
                <w:color w:val="000000" w:themeColor="text1"/>
                <w:sz w:val="20"/>
                <w:szCs w:val="20"/>
              </w:rPr>
            </w:pPr>
          </w:p>
        </w:tc>
        <w:tc>
          <w:tcPr>
            <w:tcW w:w="1417" w:type="dxa"/>
            <w:vAlign w:val="center"/>
          </w:tcPr>
          <w:p w14:paraId="17ACF9A9"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SRA</w:t>
            </w:r>
          </w:p>
        </w:tc>
        <w:tc>
          <w:tcPr>
            <w:tcW w:w="1903" w:type="dxa"/>
            <w:vAlign w:val="center"/>
          </w:tcPr>
          <w:p w14:paraId="61F28948"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SRP234812</w:t>
            </w:r>
          </w:p>
        </w:tc>
        <w:tc>
          <w:tcPr>
            <w:tcW w:w="1701" w:type="dxa"/>
            <w:vAlign w:val="center"/>
          </w:tcPr>
          <w:p w14:paraId="30897489"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Healthy</w:t>
            </w:r>
          </w:p>
        </w:tc>
        <w:tc>
          <w:tcPr>
            <w:tcW w:w="1984" w:type="dxa"/>
            <w:vAlign w:val="center"/>
          </w:tcPr>
          <w:p w14:paraId="24487C65"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Fetal</w:t>
            </w:r>
          </w:p>
          <w:p w14:paraId="0BD8F341"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19 - 22 weeks</w:t>
            </w:r>
          </w:p>
        </w:tc>
        <w:tc>
          <w:tcPr>
            <w:tcW w:w="1418" w:type="dxa"/>
            <w:vAlign w:val="center"/>
          </w:tcPr>
          <w:p w14:paraId="1CF8BFCF"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532</w:t>
            </w:r>
          </w:p>
        </w:tc>
        <w:tc>
          <w:tcPr>
            <w:tcW w:w="4394" w:type="dxa"/>
            <w:vAlign w:val="center"/>
          </w:tcPr>
          <w:p w14:paraId="0DE32EB6"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Suryawanshi et al., Cardiovascular research 2020</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rPr>
              <w:instrText>ADDIN CSL_CITATION {"citationItems":[{"id":"ITEM-1","itemData":{"DOI":"10.1093/CVR/CVZ257","ISSN":"0008-6363","abstract":"Aims: Investigating human heart development and applying this to deviations resulting in disease is incomplete without molecular characterization of the cell types required for normal functioning. We investigated foetal human heart single-cell transcriptomes from mid-gestational healthy and anti-SSA/Ro associated congenital heart block (CHB) samples. Methods and results: Three healthy foetal human hearts (19th to 22nd week of gestation) and one foetal heart affected by autoimmune-associated CHB (21st week of gestation) were subjected to enzymatic dissociation using the Langendorff preparation to obtain single-cell suspensions followed by 10× Genomics- and Illumina-based single-cell RNA-sequencing (scRNA-seq). In addition to the myocytes, fibroblasts, immune cells, and other minor cell types, previously uncharacterized diverse sub-populations of endothelial cells were identified in the human heart. Differential gene expression analysis revealed increased and heterogeneous interferon responses in varied cell types of the CHB heart compared with the healthy controls. In addition, we also identified matrisome transcripts enriched in CHB stromal cells that potentially contribute to extracellular matrix deposition and subsequent fibrosis. Conclusion: These data provide an information-rich resource to further our understanding of human heart development, which, as illustrated by comparison to a heart exposed to a maternal autoimmune environment, can be leveraged to provide insight into the pathogenesis of disease.","author":[{"dropping-particle":"","family":"Suryawanshi","given":"Hemant","non-dropping-particle":"","parse-names":false,"suffix":""},{"dropping-particle":"","family":"Clancy","given":"Robert","non-dropping-particle":"","parse-names":false,"suffix":""},{"dropping-particle":"","family":"Morozov","given":"Pavel","non-dropping-particle":"","parse-names":false,"suffix":""},{"dropping-particle":"","family":"Halushka","given":"Marc K","non-dropping-particle":"","parse-names":false,"suffix":""},{"dropping-particle":"","family":"Buyon","given":"Jill P","non-dropping-particle":"","parse-names":false,"suffix":""},{"dropping-particle":"","family":"Tuschl","given":"Thomas","non-dropping-particle":"","parse-names":false,"suffix":""}],"container-title":"Cardiovascular Research","id":"ITEM-1","issue":"8","issued":{"date-parts":[["2020","7","1"]]},"page":"1446-1457","publisher":"Oxford Academic","title":"Cell atlas of the foetal human heart and implications for autoimmune-mediated congenital heart block","type":"article-journal","volume":"116"},"uris":["http://www.mendeley.com/documents/?uuid=f7f6b9a6-791a-31e0-8fd5-9572f33c81ee"]}],"mendeley":{"formattedCitation":"&lt;sup&gt;57&lt;/sup&gt;","plainTextFormattedCitation":"57","previouslyFormattedCitation":"&lt;sup&gt;55&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5B7CC8">
              <w:rPr>
                <w:rFonts w:ascii="Helvetica" w:hAnsi="Helvetica"/>
                <w:noProof/>
                <w:color w:val="000000" w:themeColor="text1"/>
                <w:sz w:val="20"/>
                <w:szCs w:val="20"/>
                <w:vertAlign w:val="superscript"/>
              </w:rPr>
              <w:t>57</w:t>
            </w:r>
            <w:r w:rsidRPr="006B2F31">
              <w:rPr>
                <w:rFonts w:ascii="Helvetica" w:hAnsi="Helvetica"/>
                <w:color w:val="000000" w:themeColor="text1"/>
                <w:sz w:val="20"/>
                <w:szCs w:val="20"/>
              </w:rPr>
              <w:fldChar w:fldCharType="end"/>
            </w:r>
          </w:p>
        </w:tc>
      </w:tr>
      <w:tr w:rsidR="00BF5828" w:rsidRPr="006B2F31" w14:paraId="59B570E7" w14:textId="77777777" w:rsidTr="00085A7E">
        <w:tc>
          <w:tcPr>
            <w:tcW w:w="928" w:type="dxa"/>
            <w:vMerge/>
            <w:vAlign w:val="center"/>
          </w:tcPr>
          <w:p w14:paraId="598410EF" w14:textId="77777777" w:rsidR="00BF5828" w:rsidRPr="006B2F31" w:rsidRDefault="00BF5828" w:rsidP="00085A7E">
            <w:pPr>
              <w:spacing w:line="360" w:lineRule="auto"/>
              <w:jc w:val="both"/>
              <w:rPr>
                <w:rFonts w:ascii="Helvetica" w:hAnsi="Helvetica"/>
                <w:color w:val="000000" w:themeColor="text1"/>
                <w:sz w:val="20"/>
                <w:szCs w:val="20"/>
              </w:rPr>
            </w:pPr>
          </w:p>
        </w:tc>
        <w:tc>
          <w:tcPr>
            <w:tcW w:w="1417" w:type="dxa"/>
            <w:vMerge w:val="restart"/>
            <w:vAlign w:val="center"/>
          </w:tcPr>
          <w:p w14:paraId="3A8A817B"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GEO</w:t>
            </w:r>
          </w:p>
        </w:tc>
        <w:tc>
          <w:tcPr>
            <w:tcW w:w="1903" w:type="dxa"/>
            <w:vAlign w:val="center"/>
          </w:tcPr>
          <w:p w14:paraId="6E9631A9"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GSE109816</w:t>
            </w:r>
          </w:p>
        </w:tc>
        <w:tc>
          <w:tcPr>
            <w:tcW w:w="1701" w:type="dxa"/>
            <w:vAlign w:val="center"/>
          </w:tcPr>
          <w:p w14:paraId="12FC0267"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Healthy</w:t>
            </w:r>
          </w:p>
        </w:tc>
        <w:tc>
          <w:tcPr>
            <w:tcW w:w="1984" w:type="dxa"/>
            <w:vAlign w:val="center"/>
          </w:tcPr>
          <w:p w14:paraId="68F4F35F"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Adult</w:t>
            </w:r>
          </w:p>
        </w:tc>
        <w:tc>
          <w:tcPr>
            <w:tcW w:w="1418" w:type="dxa"/>
            <w:vAlign w:val="center"/>
          </w:tcPr>
          <w:p w14:paraId="18296811"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386</w:t>
            </w:r>
          </w:p>
        </w:tc>
        <w:tc>
          <w:tcPr>
            <w:tcW w:w="4394" w:type="dxa"/>
            <w:vMerge w:val="restart"/>
            <w:vAlign w:val="center"/>
          </w:tcPr>
          <w:p w14:paraId="078A24E1"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Wang et al., Nature cell biology 2020</w:t>
            </w:r>
            <w:r w:rsidRPr="006B2F31">
              <w:rPr>
                <w:rFonts w:ascii="Helvetica" w:hAnsi="Helvetica"/>
                <w:color w:val="000000" w:themeColor="text1"/>
                <w:sz w:val="20"/>
                <w:szCs w:val="20"/>
              </w:rPr>
              <w:fldChar w:fldCharType="begin" w:fldLock="1"/>
            </w:r>
            <w:r>
              <w:rPr>
                <w:rFonts w:ascii="Helvetica" w:hAnsi="Helvetica"/>
                <w:color w:val="000000" w:themeColor="text1"/>
                <w:sz w:val="20"/>
                <w:szCs w:val="20"/>
              </w:rPr>
              <w:instrText>ADDIN CSL_CITATION {"citationItems":[{"id":"ITEM-1","itemData":{"DOI":"10.1038/s41556-019-0446-7","ISSN":"1476-4679","abstract":"Owing to the prevalence and high mortality rates of cardiac diseases, a more detailed characterization of the human heart is necessary; however, this has been largely impeded by the cellular diversity of cardiac tissue and limited access to samples. Here, we show transcriptome profiling of 21,422 single cells—including cardiomyocytes (CMs) and non-CMs (NCMs)—from normal, failed and partially recovered (left ventricular assist device treatment) adult human hearts. Comparative analysis of atrial and ventricular cells revealed pronounced inter- and intracompartmental CM heterogeneity as well as compartment-specific utilization of NCM cell types as major cell-communication hubs. Systematic analysis of cellular compositions and cell–cell interaction networks showed that CM contractility and metabolism are the most prominent aspects that are correlated with changes in heart function. We also uncovered active engagement of NCMs in regulating the behaviour of CMs, exemplified by ACKR1+-endothelial cells, injection of which preserved cardiac function after injury. Beyond serving as a rich resource, our study provides insights into cell-type-targeted intervention of heart diseases. Wang, Yu, Zhou, Song et al. profile cardiomyocytes and neighbouring cells from healthy adults and patients with heart failure and in recovery, and delineate their cellular compositions and interaction networks.","author":[{"dropping-particle":"","family":"Wang","given":"Li","non-dropping-particle":"","parse-names":false,"suffix":""},{"dropping-particle":"","family":"Yu","given":"Peng","non-dropping-particle":"","parse-names":false,"suffix":""},{"dropping-particle":"","family":"Zhou","given":"Bingying","non-dropping-particle":"","parse-names":false,"suffix":""},{"dropping-particle":"","family":"Song","given":"Jiangping","non-dropping-particle":"","parse-names":false,"suffix":""},{"dropping-particle":"","family":"Li","given":"Zheng","non-dropping-particle":"","parse-names":false,"suffix":""},{"dropping-particle":"","family":"Zhang","given":"Mingzhi","non-dropping-particle":"","parse-names":false,"suffix":""},{"dropping-particle":"","family":"Guo","given":"Guangran","non-dropping-particle":"","parse-names":false,"suffix":""},{"dropping-particle":"","family":"Wang","given":"Yin","non-dropping-particle":"","parse-names":false,"suffix":""},{"dropping-particle":"","family":"Chen","given":"Xiao","non-dropping-particle":"","parse-names":false,"suffix":""},{"dropping-particle":"","family":"Han","given":"Leng","non-dropping-particle":"","parse-names":false,"suffix":""},{"dropping-particle":"","family":"Hu","given":"Shengshou","non-dropping-particle":"","parse-names":false,"suffix":""}],"container-title":"Nature Cell Biology 2020 22:1","id":"ITEM-1","issue":"1","issued":{"date-parts":[["2020","1","8"]]},"page":"108-119","publisher":"Nature Publishing Group","title":"Single-cell reconstruction of the adult human heart during heart failure and recovery reveals the cellular landscape underlying cardiac function","type":"article-journal","volume":"22"},"uris":["http://www.mendeley.com/documents/?uuid=0d07705e-e52a-30be-b069-cdd19a4a7f8f"]}],"mendeley":{"formattedCitation":"&lt;sup&gt;20&lt;/sup&gt;","plainTextFormattedCitation":"20","previouslyFormattedCitation":"&lt;sup&gt;20&lt;/sup&gt;"},"properties":{"noteIndex":0},"schema":"https://github.com/citation-style-language/schema/raw/master/csl-citation.json"}</w:instrText>
            </w:r>
            <w:r w:rsidRPr="006B2F31">
              <w:rPr>
                <w:rFonts w:ascii="Helvetica" w:hAnsi="Helvetica"/>
                <w:color w:val="000000" w:themeColor="text1"/>
                <w:sz w:val="20"/>
                <w:szCs w:val="20"/>
              </w:rPr>
              <w:fldChar w:fldCharType="separate"/>
            </w:r>
            <w:r w:rsidRPr="009C6B71">
              <w:rPr>
                <w:rFonts w:ascii="Helvetica" w:hAnsi="Helvetica"/>
                <w:noProof/>
                <w:color w:val="000000" w:themeColor="text1"/>
                <w:sz w:val="20"/>
                <w:szCs w:val="20"/>
                <w:vertAlign w:val="superscript"/>
              </w:rPr>
              <w:t>20</w:t>
            </w:r>
            <w:r w:rsidRPr="006B2F31">
              <w:rPr>
                <w:rFonts w:ascii="Helvetica" w:hAnsi="Helvetica"/>
                <w:color w:val="000000" w:themeColor="text1"/>
                <w:sz w:val="20"/>
                <w:szCs w:val="20"/>
              </w:rPr>
              <w:fldChar w:fldCharType="end"/>
            </w:r>
          </w:p>
        </w:tc>
      </w:tr>
      <w:tr w:rsidR="00BF5828" w:rsidRPr="006B2F31" w14:paraId="38F69226" w14:textId="77777777" w:rsidTr="00085A7E">
        <w:trPr>
          <w:trHeight w:val="184"/>
        </w:trPr>
        <w:tc>
          <w:tcPr>
            <w:tcW w:w="928" w:type="dxa"/>
            <w:vMerge/>
            <w:vAlign w:val="center"/>
          </w:tcPr>
          <w:p w14:paraId="20B92B5B" w14:textId="77777777" w:rsidR="00BF5828" w:rsidRPr="006B2F31" w:rsidRDefault="00BF5828" w:rsidP="00085A7E">
            <w:pPr>
              <w:spacing w:line="360" w:lineRule="auto"/>
              <w:jc w:val="both"/>
              <w:rPr>
                <w:rFonts w:ascii="Helvetica" w:hAnsi="Helvetica"/>
                <w:color w:val="000000" w:themeColor="text1"/>
                <w:sz w:val="20"/>
                <w:szCs w:val="20"/>
              </w:rPr>
            </w:pPr>
          </w:p>
        </w:tc>
        <w:tc>
          <w:tcPr>
            <w:tcW w:w="1417" w:type="dxa"/>
            <w:vMerge/>
            <w:vAlign w:val="center"/>
          </w:tcPr>
          <w:p w14:paraId="7AC108F0" w14:textId="77777777" w:rsidR="00BF5828" w:rsidRPr="006B2F31" w:rsidRDefault="00BF5828" w:rsidP="00085A7E">
            <w:pPr>
              <w:spacing w:line="360" w:lineRule="auto"/>
              <w:jc w:val="both"/>
              <w:rPr>
                <w:rFonts w:ascii="Helvetica" w:hAnsi="Helvetica"/>
                <w:color w:val="000000" w:themeColor="text1"/>
                <w:sz w:val="20"/>
                <w:szCs w:val="20"/>
              </w:rPr>
            </w:pPr>
          </w:p>
        </w:tc>
        <w:tc>
          <w:tcPr>
            <w:tcW w:w="1903" w:type="dxa"/>
            <w:vMerge w:val="restart"/>
            <w:vAlign w:val="center"/>
          </w:tcPr>
          <w:p w14:paraId="5A80D8F2"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GSE121893</w:t>
            </w:r>
          </w:p>
        </w:tc>
        <w:tc>
          <w:tcPr>
            <w:tcW w:w="1701" w:type="dxa"/>
            <w:vAlign w:val="center"/>
          </w:tcPr>
          <w:p w14:paraId="1C0F9C33"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 xml:space="preserve">cHF </w:t>
            </w:r>
          </w:p>
        </w:tc>
        <w:tc>
          <w:tcPr>
            <w:tcW w:w="1984" w:type="dxa"/>
            <w:vMerge w:val="restart"/>
            <w:vAlign w:val="center"/>
          </w:tcPr>
          <w:p w14:paraId="1DE813AA"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Adult</w:t>
            </w:r>
          </w:p>
        </w:tc>
        <w:tc>
          <w:tcPr>
            <w:tcW w:w="1418" w:type="dxa"/>
            <w:vAlign w:val="center"/>
          </w:tcPr>
          <w:p w14:paraId="6B473101"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132</w:t>
            </w:r>
          </w:p>
        </w:tc>
        <w:tc>
          <w:tcPr>
            <w:tcW w:w="4394" w:type="dxa"/>
            <w:vMerge/>
            <w:vAlign w:val="center"/>
          </w:tcPr>
          <w:p w14:paraId="252FE1CF" w14:textId="77777777" w:rsidR="00BF5828" w:rsidRPr="006B2F31" w:rsidRDefault="00BF5828" w:rsidP="00085A7E">
            <w:pPr>
              <w:spacing w:line="360" w:lineRule="auto"/>
              <w:jc w:val="both"/>
              <w:rPr>
                <w:rFonts w:ascii="Helvetica" w:hAnsi="Helvetica"/>
                <w:color w:val="000000" w:themeColor="text1"/>
                <w:sz w:val="20"/>
                <w:szCs w:val="20"/>
              </w:rPr>
            </w:pPr>
          </w:p>
        </w:tc>
      </w:tr>
      <w:tr w:rsidR="00BF5828" w:rsidRPr="006B2F31" w14:paraId="3DB0E958" w14:textId="77777777" w:rsidTr="00085A7E">
        <w:trPr>
          <w:trHeight w:val="184"/>
        </w:trPr>
        <w:tc>
          <w:tcPr>
            <w:tcW w:w="928" w:type="dxa"/>
            <w:vMerge/>
            <w:vAlign w:val="center"/>
          </w:tcPr>
          <w:p w14:paraId="66518E60" w14:textId="77777777" w:rsidR="00BF5828" w:rsidRPr="006B2F31" w:rsidRDefault="00BF5828" w:rsidP="00085A7E">
            <w:pPr>
              <w:spacing w:line="360" w:lineRule="auto"/>
              <w:jc w:val="both"/>
              <w:rPr>
                <w:rFonts w:ascii="Helvetica" w:hAnsi="Helvetica"/>
                <w:color w:val="000000" w:themeColor="text1"/>
                <w:sz w:val="20"/>
                <w:szCs w:val="20"/>
              </w:rPr>
            </w:pPr>
          </w:p>
        </w:tc>
        <w:tc>
          <w:tcPr>
            <w:tcW w:w="1417" w:type="dxa"/>
            <w:vMerge/>
            <w:vAlign w:val="center"/>
          </w:tcPr>
          <w:p w14:paraId="61CFD928" w14:textId="77777777" w:rsidR="00BF5828" w:rsidRPr="006B2F31" w:rsidRDefault="00BF5828" w:rsidP="00085A7E">
            <w:pPr>
              <w:spacing w:line="360" w:lineRule="auto"/>
              <w:jc w:val="both"/>
              <w:rPr>
                <w:rFonts w:ascii="Helvetica" w:hAnsi="Helvetica"/>
                <w:color w:val="000000" w:themeColor="text1"/>
                <w:sz w:val="20"/>
                <w:szCs w:val="20"/>
              </w:rPr>
            </w:pPr>
          </w:p>
        </w:tc>
        <w:tc>
          <w:tcPr>
            <w:tcW w:w="1903" w:type="dxa"/>
            <w:vMerge/>
            <w:vAlign w:val="center"/>
          </w:tcPr>
          <w:p w14:paraId="7DCABD07" w14:textId="77777777" w:rsidR="00BF5828" w:rsidRPr="006B2F31" w:rsidRDefault="00BF5828" w:rsidP="00085A7E">
            <w:pPr>
              <w:spacing w:line="360" w:lineRule="auto"/>
              <w:jc w:val="both"/>
              <w:rPr>
                <w:rFonts w:ascii="Helvetica" w:hAnsi="Helvetica"/>
                <w:color w:val="000000" w:themeColor="text1"/>
                <w:sz w:val="20"/>
                <w:szCs w:val="20"/>
              </w:rPr>
            </w:pPr>
          </w:p>
        </w:tc>
        <w:tc>
          <w:tcPr>
            <w:tcW w:w="1701" w:type="dxa"/>
            <w:vAlign w:val="center"/>
          </w:tcPr>
          <w:p w14:paraId="65C2AC27"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dHF</w:t>
            </w:r>
          </w:p>
        </w:tc>
        <w:tc>
          <w:tcPr>
            <w:tcW w:w="1984" w:type="dxa"/>
            <w:vMerge/>
            <w:vAlign w:val="center"/>
          </w:tcPr>
          <w:p w14:paraId="785342AF" w14:textId="77777777" w:rsidR="00BF5828" w:rsidRPr="006B2F31" w:rsidRDefault="00BF5828" w:rsidP="00085A7E">
            <w:pPr>
              <w:spacing w:line="360" w:lineRule="auto"/>
              <w:jc w:val="both"/>
              <w:rPr>
                <w:rFonts w:ascii="Helvetica" w:hAnsi="Helvetica"/>
                <w:color w:val="000000" w:themeColor="text1"/>
                <w:sz w:val="20"/>
                <w:szCs w:val="20"/>
              </w:rPr>
            </w:pPr>
          </w:p>
        </w:tc>
        <w:tc>
          <w:tcPr>
            <w:tcW w:w="1418" w:type="dxa"/>
            <w:vAlign w:val="center"/>
          </w:tcPr>
          <w:p w14:paraId="2D3230B5" w14:textId="77777777" w:rsidR="00BF5828" w:rsidRPr="006B2F31" w:rsidRDefault="00BF5828" w:rsidP="00085A7E">
            <w:pPr>
              <w:spacing w:line="360" w:lineRule="auto"/>
              <w:jc w:val="both"/>
              <w:rPr>
                <w:rFonts w:ascii="Helvetica" w:hAnsi="Helvetica"/>
                <w:color w:val="000000" w:themeColor="text1"/>
                <w:sz w:val="20"/>
                <w:szCs w:val="20"/>
              </w:rPr>
            </w:pPr>
            <w:r w:rsidRPr="006B2F31">
              <w:rPr>
                <w:rFonts w:ascii="Helvetica" w:hAnsi="Helvetica"/>
                <w:color w:val="000000" w:themeColor="text1"/>
                <w:sz w:val="20"/>
                <w:szCs w:val="20"/>
              </w:rPr>
              <w:t>264</w:t>
            </w:r>
          </w:p>
        </w:tc>
        <w:tc>
          <w:tcPr>
            <w:tcW w:w="4394" w:type="dxa"/>
            <w:vMerge/>
            <w:vAlign w:val="center"/>
          </w:tcPr>
          <w:p w14:paraId="7983506A" w14:textId="77777777" w:rsidR="00BF5828" w:rsidRPr="006B2F31" w:rsidRDefault="00BF5828" w:rsidP="00085A7E">
            <w:pPr>
              <w:spacing w:line="360" w:lineRule="auto"/>
              <w:jc w:val="both"/>
              <w:rPr>
                <w:rFonts w:ascii="Helvetica" w:hAnsi="Helvetica"/>
                <w:color w:val="000000" w:themeColor="text1"/>
                <w:sz w:val="20"/>
                <w:szCs w:val="20"/>
              </w:rPr>
            </w:pPr>
          </w:p>
        </w:tc>
      </w:tr>
    </w:tbl>
    <w:p w14:paraId="46F4B21B" w14:textId="77777777" w:rsidR="00BF5828" w:rsidRPr="006B2F31" w:rsidRDefault="00BF5828" w:rsidP="00BF5828">
      <w:pPr>
        <w:spacing w:line="360" w:lineRule="auto"/>
        <w:jc w:val="both"/>
        <w:rPr>
          <w:rFonts w:ascii="Helvetica" w:hAnsi="Helvetica"/>
          <w:color w:val="000000" w:themeColor="text1"/>
          <w:sz w:val="22"/>
          <w:szCs w:val="22"/>
        </w:rPr>
      </w:pPr>
    </w:p>
    <w:p w14:paraId="3461872F" w14:textId="77777777" w:rsidR="00BF5828" w:rsidRDefault="00BF5828" w:rsidP="00BF5828">
      <w:pPr>
        <w:spacing w:after="0" w:line="240" w:lineRule="auto"/>
        <w:rPr>
          <w:rFonts w:ascii="Helvetica" w:hAnsi="Helvetica"/>
          <w:b/>
          <w:bCs/>
          <w:iCs/>
          <w:color w:val="000000" w:themeColor="text1"/>
          <w:sz w:val="22"/>
          <w:szCs w:val="22"/>
        </w:rPr>
        <w:sectPr w:rsidR="00BF5828" w:rsidSect="001D6200">
          <w:pgSz w:w="16838" w:h="11906" w:orient="landscape"/>
          <w:pgMar w:top="1440" w:right="1440" w:bottom="1440" w:left="1440" w:header="708" w:footer="708" w:gutter="0"/>
          <w:cols w:space="708"/>
          <w:docGrid w:linePitch="360"/>
        </w:sectPr>
      </w:pPr>
    </w:p>
    <w:p w14:paraId="1C8BD398"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lastRenderedPageBreak/>
        <w:t>Supplementary Table 2. Details of patients included in the KLF4 validation study</w:t>
      </w:r>
      <w:r w:rsidRPr="006B2F31">
        <w:rPr>
          <w:rFonts w:ascii="Helvetica" w:hAnsi="Helvetica"/>
          <w:color w:val="000000" w:themeColor="text1"/>
          <w:sz w:val="22"/>
          <w:szCs w:val="22"/>
        </w:rPr>
        <w:t>.</w:t>
      </w:r>
    </w:p>
    <w:tbl>
      <w:tblPr>
        <w:tblStyle w:val="TableGrid"/>
        <w:tblW w:w="5000" w:type="pct"/>
        <w:tblLook w:val="04A0" w:firstRow="1" w:lastRow="0" w:firstColumn="1" w:lastColumn="0" w:noHBand="0" w:noVBand="1"/>
      </w:tblPr>
      <w:tblGrid>
        <w:gridCol w:w="2403"/>
        <w:gridCol w:w="857"/>
        <w:gridCol w:w="1232"/>
        <w:gridCol w:w="4524"/>
      </w:tblGrid>
      <w:tr w:rsidR="00BF5828" w:rsidRPr="006B2F31" w14:paraId="23261E01" w14:textId="77777777" w:rsidTr="00085A7E">
        <w:tc>
          <w:tcPr>
            <w:tcW w:w="1333" w:type="pct"/>
            <w:vAlign w:val="center"/>
          </w:tcPr>
          <w:p w14:paraId="3B412691" w14:textId="77777777" w:rsidR="00BF5828" w:rsidRPr="006B2F31" w:rsidRDefault="00BF5828" w:rsidP="00085A7E">
            <w:pPr>
              <w:spacing w:line="360" w:lineRule="auto"/>
              <w:jc w:val="both"/>
              <w:rPr>
                <w:rFonts w:ascii="Helvetica" w:hAnsi="Helvetica"/>
                <w:color w:val="000000" w:themeColor="text1"/>
                <w:sz w:val="22"/>
                <w:szCs w:val="22"/>
              </w:rPr>
            </w:pPr>
          </w:p>
        </w:tc>
        <w:tc>
          <w:tcPr>
            <w:tcW w:w="475" w:type="pct"/>
            <w:vAlign w:val="center"/>
          </w:tcPr>
          <w:p w14:paraId="4D7152EE" w14:textId="77777777" w:rsidR="00BF5828" w:rsidRPr="006B2F31" w:rsidRDefault="00BF5828" w:rsidP="00085A7E">
            <w:pPr>
              <w:spacing w:line="360" w:lineRule="auto"/>
              <w:jc w:val="both"/>
              <w:rPr>
                <w:rFonts w:ascii="Helvetica" w:hAnsi="Helvetica"/>
                <w:b/>
                <w:bCs/>
                <w:color w:val="000000" w:themeColor="text1"/>
                <w:sz w:val="22"/>
                <w:szCs w:val="22"/>
              </w:rPr>
            </w:pPr>
            <w:r w:rsidRPr="006B2F31">
              <w:rPr>
                <w:rFonts w:ascii="Helvetica" w:hAnsi="Helvetica"/>
                <w:b/>
                <w:bCs/>
                <w:color w:val="000000" w:themeColor="text1"/>
                <w:sz w:val="22"/>
                <w:szCs w:val="22"/>
              </w:rPr>
              <w:t>Age</w:t>
            </w:r>
          </w:p>
        </w:tc>
        <w:tc>
          <w:tcPr>
            <w:tcW w:w="683" w:type="pct"/>
            <w:vAlign w:val="center"/>
          </w:tcPr>
          <w:p w14:paraId="0F874E87" w14:textId="77777777" w:rsidR="00BF5828" w:rsidRPr="006B2F31" w:rsidRDefault="00BF5828" w:rsidP="00085A7E">
            <w:pPr>
              <w:spacing w:line="360" w:lineRule="auto"/>
              <w:jc w:val="both"/>
              <w:rPr>
                <w:rFonts w:ascii="Helvetica" w:hAnsi="Helvetica"/>
                <w:b/>
                <w:bCs/>
                <w:color w:val="000000" w:themeColor="text1"/>
                <w:sz w:val="22"/>
                <w:szCs w:val="22"/>
              </w:rPr>
            </w:pPr>
            <w:r w:rsidRPr="006B2F31">
              <w:rPr>
                <w:rFonts w:ascii="Helvetica" w:hAnsi="Helvetica"/>
                <w:b/>
                <w:bCs/>
                <w:color w:val="000000" w:themeColor="text1"/>
                <w:sz w:val="22"/>
                <w:szCs w:val="22"/>
              </w:rPr>
              <w:t>Sex</w:t>
            </w:r>
          </w:p>
        </w:tc>
        <w:tc>
          <w:tcPr>
            <w:tcW w:w="2509" w:type="pct"/>
            <w:vAlign w:val="center"/>
          </w:tcPr>
          <w:p w14:paraId="54DC5141" w14:textId="77777777" w:rsidR="00BF5828" w:rsidRPr="006B2F31" w:rsidRDefault="00BF5828" w:rsidP="00085A7E">
            <w:pPr>
              <w:spacing w:line="360" w:lineRule="auto"/>
              <w:jc w:val="both"/>
              <w:rPr>
                <w:rFonts w:ascii="Helvetica" w:hAnsi="Helvetica"/>
                <w:b/>
                <w:bCs/>
                <w:color w:val="000000" w:themeColor="text1"/>
                <w:sz w:val="22"/>
                <w:szCs w:val="22"/>
              </w:rPr>
            </w:pPr>
            <w:r w:rsidRPr="006B2F31">
              <w:rPr>
                <w:rFonts w:ascii="Helvetica" w:hAnsi="Helvetica"/>
                <w:b/>
                <w:bCs/>
                <w:color w:val="000000" w:themeColor="text1"/>
                <w:sz w:val="22"/>
                <w:szCs w:val="22"/>
              </w:rPr>
              <w:t>Cause of death</w:t>
            </w:r>
          </w:p>
        </w:tc>
      </w:tr>
      <w:tr w:rsidR="00BF5828" w:rsidRPr="006B2F31" w14:paraId="1F561623" w14:textId="77777777" w:rsidTr="00085A7E">
        <w:tc>
          <w:tcPr>
            <w:tcW w:w="1333" w:type="pct"/>
            <w:vMerge w:val="restart"/>
            <w:vAlign w:val="center"/>
          </w:tcPr>
          <w:p w14:paraId="0859DBB7" w14:textId="77777777" w:rsidR="00BF5828" w:rsidRPr="006B2F31" w:rsidRDefault="00BF5828" w:rsidP="00085A7E">
            <w:pPr>
              <w:spacing w:line="360" w:lineRule="auto"/>
              <w:jc w:val="both"/>
              <w:rPr>
                <w:rFonts w:ascii="Helvetica" w:hAnsi="Helvetica"/>
                <w:b/>
                <w:bCs/>
                <w:color w:val="000000" w:themeColor="text1"/>
                <w:sz w:val="22"/>
                <w:szCs w:val="22"/>
              </w:rPr>
            </w:pPr>
            <w:r w:rsidRPr="006B2F31">
              <w:rPr>
                <w:rFonts w:ascii="Helvetica" w:hAnsi="Helvetica"/>
                <w:b/>
                <w:bCs/>
                <w:color w:val="000000" w:themeColor="text1"/>
                <w:sz w:val="22"/>
                <w:szCs w:val="22"/>
              </w:rPr>
              <w:t>Healthy subjects</w:t>
            </w:r>
          </w:p>
          <w:p w14:paraId="7A4EBCAA" w14:textId="77777777" w:rsidR="00BF5828" w:rsidRPr="006B2F31" w:rsidRDefault="00BF5828" w:rsidP="00085A7E">
            <w:pPr>
              <w:spacing w:line="360" w:lineRule="auto"/>
              <w:jc w:val="both"/>
              <w:rPr>
                <w:rFonts w:ascii="Helvetica" w:hAnsi="Helvetica"/>
                <w:b/>
                <w:bCs/>
                <w:color w:val="000000" w:themeColor="text1"/>
                <w:sz w:val="22"/>
                <w:szCs w:val="22"/>
              </w:rPr>
            </w:pPr>
            <w:r w:rsidRPr="006B2F31">
              <w:rPr>
                <w:rFonts w:ascii="Helvetica" w:hAnsi="Helvetica"/>
                <w:b/>
                <w:bCs/>
                <w:color w:val="000000" w:themeColor="text1"/>
                <w:sz w:val="22"/>
                <w:szCs w:val="22"/>
              </w:rPr>
              <w:t>(n = 5)</w:t>
            </w:r>
          </w:p>
        </w:tc>
        <w:tc>
          <w:tcPr>
            <w:tcW w:w="475" w:type="pct"/>
            <w:vAlign w:val="center"/>
          </w:tcPr>
          <w:p w14:paraId="39A8C70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25</w:t>
            </w:r>
          </w:p>
        </w:tc>
        <w:tc>
          <w:tcPr>
            <w:tcW w:w="683" w:type="pct"/>
            <w:vAlign w:val="center"/>
          </w:tcPr>
          <w:p w14:paraId="1AE77E4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Male</w:t>
            </w:r>
          </w:p>
        </w:tc>
        <w:tc>
          <w:tcPr>
            <w:tcW w:w="2509" w:type="pct"/>
            <w:vAlign w:val="center"/>
          </w:tcPr>
          <w:p w14:paraId="3DE5435D"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1a - Suspension by ligature</w:t>
            </w:r>
          </w:p>
        </w:tc>
      </w:tr>
      <w:tr w:rsidR="00BF5828" w:rsidRPr="006B2F31" w14:paraId="54E1123A" w14:textId="77777777" w:rsidTr="00085A7E">
        <w:tc>
          <w:tcPr>
            <w:tcW w:w="1333" w:type="pct"/>
            <w:vMerge/>
            <w:vAlign w:val="center"/>
          </w:tcPr>
          <w:p w14:paraId="449BFDE7" w14:textId="77777777" w:rsidR="00BF5828" w:rsidRPr="006B2F31" w:rsidRDefault="00BF5828" w:rsidP="00085A7E">
            <w:pPr>
              <w:spacing w:line="360" w:lineRule="auto"/>
              <w:jc w:val="both"/>
              <w:rPr>
                <w:rFonts w:ascii="Helvetica" w:hAnsi="Helvetica"/>
                <w:color w:val="000000" w:themeColor="text1"/>
                <w:sz w:val="22"/>
                <w:szCs w:val="22"/>
              </w:rPr>
            </w:pPr>
          </w:p>
        </w:tc>
        <w:tc>
          <w:tcPr>
            <w:tcW w:w="475" w:type="pct"/>
            <w:vAlign w:val="center"/>
          </w:tcPr>
          <w:p w14:paraId="2F6861C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52</w:t>
            </w:r>
          </w:p>
        </w:tc>
        <w:tc>
          <w:tcPr>
            <w:tcW w:w="683" w:type="pct"/>
            <w:vAlign w:val="center"/>
          </w:tcPr>
          <w:p w14:paraId="527D025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Male</w:t>
            </w:r>
          </w:p>
        </w:tc>
        <w:tc>
          <w:tcPr>
            <w:tcW w:w="2509" w:type="pct"/>
            <w:vAlign w:val="center"/>
          </w:tcPr>
          <w:p w14:paraId="20CF89A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1a Chest injuries, 1b Road traffic collision (cyclist)</w:t>
            </w:r>
          </w:p>
        </w:tc>
      </w:tr>
      <w:tr w:rsidR="00BF5828" w:rsidRPr="006B2F31" w14:paraId="46D9DF9A" w14:textId="77777777" w:rsidTr="00085A7E">
        <w:tc>
          <w:tcPr>
            <w:tcW w:w="1333" w:type="pct"/>
            <w:vMerge/>
            <w:vAlign w:val="center"/>
          </w:tcPr>
          <w:p w14:paraId="5985223F" w14:textId="77777777" w:rsidR="00BF5828" w:rsidRPr="006B2F31" w:rsidRDefault="00BF5828" w:rsidP="00085A7E">
            <w:pPr>
              <w:spacing w:line="360" w:lineRule="auto"/>
              <w:jc w:val="both"/>
              <w:rPr>
                <w:rFonts w:ascii="Helvetica" w:hAnsi="Helvetica"/>
                <w:color w:val="000000" w:themeColor="text1"/>
                <w:sz w:val="22"/>
                <w:szCs w:val="22"/>
              </w:rPr>
            </w:pPr>
          </w:p>
        </w:tc>
        <w:tc>
          <w:tcPr>
            <w:tcW w:w="475" w:type="pct"/>
            <w:vAlign w:val="center"/>
          </w:tcPr>
          <w:p w14:paraId="637FA94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29</w:t>
            </w:r>
          </w:p>
        </w:tc>
        <w:tc>
          <w:tcPr>
            <w:tcW w:w="683" w:type="pct"/>
            <w:vAlign w:val="center"/>
          </w:tcPr>
          <w:p w14:paraId="338E9D5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Male</w:t>
            </w:r>
          </w:p>
        </w:tc>
        <w:tc>
          <w:tcPr>
            <w:tcW w:w="2509" w:type="pct"/>
            <w:vAlign w:val="center"/>
          </w:tcPr>
          <w:p w14:paraId="0137703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1a - Suspension by ligature</w:t>
            </w:r>
          </w:p>
        </w:tc>
      </w:tr>
      <w:tr w:rsidR="00BF5828" w:rsidRPr="006B2F31" w14:paraId="45B6FE17" w14:textId="77777777" w:rsidTr="00085A7E">
        <w:tc>
          <w:tcPr>
            <w:tcW w:w="1333" w:type="pct"/>
            <w:vMerge/>
            <w:vAlign w:val="center"/>
          </w:tcPr>
          <w:p w14:paraId="2F63F210" w14:textId="77777777" w:rsidR="00BF5828" w:rsidRPr="006B2F31" w:rsidRDefault="00BF5828" w:rsidP="00085A7E">
            <w:pPr>
              <w:spacing w:line="360" w:lineRule="auto"/>
              <w:jc w:val="both"/>
              <w:rPr>
                <w:rFonts w:ascii="Helvetica" w:hAnsi="Helvetica"/>
                <w:color w:val="000000" w:themeColor="text1"/>
                <w:sz w:val="22"/>
                <w:szCs w:val="22"/>
              </w:rPr>
            </w:pPr>
          </w:p>
        </w:tc>
        <w:tc>
          <w:tcPr>
            <w:tcW w:w="475" w:type="pct"/>
            <w:vAlign w:val="center"/>
          </w:tcPr>
          <w:p w14:paraId="284A09F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53</w:t>
            </w:r>
          </w:p>
        </w:tc>
        <w:tc>
          <w:tcPr>
            <w:tcW w:w="683" w:type="pct"/>
            <w:vAlign w:val="center"/>
          </w:tcPr>
          <w:p w14:paraId="3B6CD40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Male</w:t>
            </w:r>
          </w:p>
        </w:tc>
        <w:tc>
          <w:tcPr>
            <w:tcW w:w="2509" w:type="pct"/>
            <w:vAlign w:val="center"/>
          </w:tcPr>
          <w:p w14:paraId="590F943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1a - Suspension by ligature</w:t>
            </w:r>
          </w:p>
        </w:tc>
      </w:tr>
      <w:tr w:rsidR="00BF5828" w:rsidRPr="006B2F31" w14:paraId="4A6329F8" w14:textId="77777777" w:rsidTr="00085A7E">
        <w:tc>
          <w:tcPr>
            <w:tcW w:w="1333" w:type="pct"/>
            <w:vMerge/>
            <w:tcBorders>
              <w:bottom w:val="double" w:sz="4" w:space="0" w:color="auto"/>
            </w:tcBorders>
            <w:vAlign w:val="center"/>
          </w:tcPr>
          <w:p w14:paraId="183EA3F5" w14:textId="77777777" w:rsidR="00BF5828" w:rsidRPr="006B2F31" w:rsidRDefault="00BF5828" w:rsidP="00085A7E">
            <w:pPr>
              <w:spacing w:line="360" w:lineRule="auto"/>
              <w:jc w:val="both"/>
              <w:rPr>
                <w:rFonts w:ascii="Helvetica" w:hAnsi="Helvetica"/>
                <w:color w:val="000000" w:themeColor="text1"/>
                <w:sz w:val="22"/>
                <w:szCs w:val="22"/>
              </w:rPr>
            </w:pPr>
          </w:p>
        </w:tc>
        <w:tc>
          <w:tcPr>
            <w:tcW w:w="475" w:type="pct"/>
            <w:tcBorders>
              <w:bottom w:val="double" w:sz="4" w:space="0" w:color="auto"/>
            </w:tcBorders>
            <w:vAlign w:val="center"/>
          </w:tcPr>
          <w:p w14:paraId="36249B3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63</w:t>
            </w:r>
          </w:p>
        </w:tc>
        <w:tc>
          <w:tcPr>
            <w:tcW w:w="683" w:type="pct"/>
            <w:tcBorders>
              <w:bottom w:val="double" w:sz="4" w:space="0" w:color="auto"/>
            </w:tcBorders>
            <w:vAlign w:val="center"/>
          </w:tcPr>
          <w:p w14:paraId="3562483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Male</w:t>
            </w:r>
          </w:p>
        </w:tc>
        <w:tc>
          <w:tcPr>
            <w:tcW w:w="2509" w:type="pct"/>
            <w:tcBorders>
              <w:bottom w:val="double" w:sz="4" w:space="0" w:color="auto"/>
            </w:tcBorders>
            <w:vAlign w:val="center"/>
          </w:tcPr>
          <w:p w14:paraId="167966A3" w14:textId="77777777" w:rsidR="00BF5828" w:rsidRPr="006B2F31" w:rsidRDefault="00BF5828" w:rsidP="00085A7E">
            <w:pPr>
              <w:spacing w:line="360" w:lineRule="auto"/>
              <w:jc w:val="both"/>
              <w:rPr>
                <w:rFonts w:ascii="Helvetica" w:hAnsi="Helvetica" w:cs="Calibri"/>
                <w:color w:val="000000" w:themeColor="text1"/>
                <w:sz w:val="22"/>
                <w:szCs w:val="22"/>
                <w:lang w:eastAsia="zh-CN"/>
              </w:rPr>
            </w:pPr>
            <w:r w:rsidRPr="006B2F31">
              <w:rPr>
                <w:rFonts w:ascii="Helvetica" w:hAnsi="Helvetica" w:cs="Calibri"/>
                <w:color w:val="000000" w:themeColor="text1"/>
                <w:sz w:val="22"/>
                <w:szCs w:val="22"/>
              </w:rPr>
              <w:t>1a - Ruptured atherosclerotic abdominal aortic aneurysm</w:t>
            </w:r>
          </w:p>
        </w:tc>
      </w:tr>
      <w:tr w:rsidR="00BF5828" w:rsidRPr="006B2F31" w14:paraId="6D9BB3C2" w14:textId="77777777" w:rsidTr="00085A7E">
        <w:tc>
          <w:tcPr>
            <w:tcW w:w="1333" w:type="pct"/>
            <w:tcBorders>
              <w:top w:val="double" w:sz="4" w:space="0" w:color="auto"/>
            </w:tcBorders>
            <w:vAlign w:val="center"/>
          </w:tcPr>
          <w:p w14:paraId="594DF61E" w14:textId="77777777" w:rsidR="00BF5828" w:rsidRPr="006B2F31" w:rsidRDefault="00BF5828" w:rsidP="00085A7E">
            <w:pPr>
              <w:spacing w:line="360" w:lineRule="auto"/>
              <w:jc w:val="both"/>
              <w:rPr>
                <w:rFonts w:ascii="Helvetica" w:hAnsi="Helvetica"/>
                <w:b/>
                <w:bCs/>
                <w:color w:val="000000" w:themeColor="text1"/>
                <w:sz w:val="22"/>
                <w:szCs w:val="22"/>
              </w:rPr>
            </w:pPr>
          </w:p>
        </w:tc>
        <w:tc>
          <w:tcPr>
            <w:tcW w:w="475" w:type="pct"/>
            <w:tcBorders>
              <w:top w:val="double" w:sz="4" w:space="0" w:color="auto"/>
            </w:tcBorders>
            <w:vAlign w:val="center"/>
          </w:tcPr>
          <w:p w14:paraId="1EE7D3BD" w14:textId="77777777" w:rsidR="00BF5828" w:rsidRPr="006B2F31" w:rsidRDefault="00BF5828" w:rsidP="00085A7E">
            <w:pPr>
              <w:spacing w:line="360" w:lineRule="auto"/>
              <w:jc w:val="both"/>
              <w:rPr>
                <w:rFonts w:ascii="Helvetica" w:hAnsi="Helvetica"/>
                <w:color w:val="000000" w:themeColor="text1"/>
                <w:sz w:val="22"/>
                <w:szCs w:val="22"/>
              </w:rPr>
            </w:pPr>
          </w:p>
        </w:tc>
        <w:tc>
          <w:tcPr>
            <w:tcW w:w="683" w:type="pct"/>
            <w:tcBorders>
              <w:top w:val="double" w:sz="4" w:space="0" w:color="auto"/>
            </w:tcBorders>
            <w:vAlign w:val="center"/>
          </w:tcPr>
          <w:p w14:paraId="3EB2B049" w14:textId="77777777" w:rsidR="00BF5828" w:rsidRPr="006B2F31" w:rsidRDefault="00BF5828" w:rsidP="00085A7E">
            <w:pPr>
              <w:spacing w:line="360" w:lineRule="auto"/>
              <w:jc w:val="both"/>
              <w:rPr>
                <w:rFonts w:ascii="Helvetica" w:hAnsi="Helvetica"/>
                <w:color w:val="000000" w:themeColor="text1"/>
                <w:sz w:val="22"/>
                <w:szCs w:val="22"/>
              </w:rPr>
            </w:pPr>
          </w:p>
        </w:tc>
        <w:tc>
          <w:tcPr>
            <w:tcW w:w="2509" w:type="pct"/>
            <w:tcBorders>
              <w:top w:val="double" w:sz="4" w:space="0" w:color="auto"/>
            </w:tcBorders>
            <w:shd w:val="clear" w:color="auto" w:fill="auto"/>
            <w:vAlign w:val="center"/>
          </w:tcPr>
          <w:p w14:paraId="6821A3F4" w14:textId="77777777" w:rsidR="00BF5828" w:rsidRPr="006B2F31" w:rsidRDefault="00BF5828" w:rsidP="00085A7E">
            <w:pPr>
              <w:spacing w:line="360" w:lineRule="auto"/>
              <w:jc w:val="both"/>
              <w:rPr>
                <w:rFonts w:ascii="Helvetica" w:hAnsi="Helvetica"/>
                <w:b/>
                <w:bCs/>
                <w:color w:val="000000" w:themeColor="text1"/>
                <w:sz w:val="22"/>
                <w:szCs w:val="22"/>
              </w:rPr>
            </w:pPr>
            <w:r w:rsidRPr="006B2F31">
              <w:rPr>
                <w:rFonts w:ascii="Helvetica" w:hAnsi="Helvetica"/>
                <w:b/>
                <w:bCs/>
                <w:color w:val="000000" w:themeColor="text1"/>
                <w:sz w:val="22"/>
                <w:szCs w:val="22"/>
              </w:rPr>
              <w:t>Diagnosis</w:t>
            </w:r>
          </w:p>
        </w:tc>
      </w:tr>
      <w:tr w:rsidR="00BF5828" w:rsidRPr="006B2F31" w14:paraId="192991AF" w14:textId="77777777" w:rsidTr="00085A7E">
        <w:tc>
          <w:tcPr>
            <w:tcW w:w="1333" w:type="pct"/>
            <w:vMerge w:val="restart"/>
            <w:vAlign w:val="center"/>
          </w:tcPr>
          <w:p w14:paraId="094C1DCE" w14:textId="77777777" w:rsidR="00BF5828" w:rsidRPr="006B2F31" w:rsidRDefault="00BF5828" w:rsidP="00085A7E">
            <w:pPr>
              <w:spacing w:line="360" w:lineRule="auto"/>
              <w:jc w:val="both"/>
              <w:rPr>
                <w:rFonts w:ascii="Helvetica" w:hAnsi="Helvetica"/>
                <w:b/>
                <w:bCs/>
                <w:color w:val="000000" w:themeColor="text1"/>
                <w:sz w:val="22"/>
                <w:szCs w:val="22"/>
              </w:rPr>
            </w:pPr>
            <w:r w:rsidRPr="006B2F31">
              <w:rPr>
                <w:rFonts w:ascii="Helvetica" w:hAnsi="Helvetica"/>
                <w:b/>
                <w:bCs/>
                <w:color w:val="000000" w:themeColor="text1"/>
                <w:sz w:val="22"/>
                <w:szCs w:val="22"/>
              </w:rPr>
              <w:t>Patients</w:t>
            </w:r>
          </w:p>
          <w:p w14:paraId="482012EB" w14:textId="77777777" w:rsidR="00BF5828" w:rsidRPr="006B2F31" w:rsidRDefault="00BF5828" w:rsidP="00085A7E">
            <w:pPr>
              <w:spacing w:line="360" w:lineRule="auto"/>
              <w:jc w:val="both"/>
              <w:rPr>
                <w:rFonts w:ascii="Helvetica" w:hAnsi="Helvetica"/>
                <w:b/>
                <w:bCs/>
                <w:color w:val="000000" w:themeColor="text1"/>
                <w:sz w:val="22"/>
                <w:szCs w:val="22"/>
              </w:rPr>
            </w:pPr>
            <w:r w:rsidRPr="006B2F31">
              <w:rPr>
                <w:rFonts w:ascii="Helvetica" w:hAnsi="Helvetica"/>
                <w:b/>
                <w:bCs/>
                <w:color w:val="000000" w:themeColor="text1"/>
                <w:sz w:val="22"/>
                <w:szCs w:val="22"/>
              </w:rPr>
              <w:t>(n = 5)</w:t>
            </w:r>
          </w:p>
        </w:tc>
        <w:tc>
          <w:tcPr>
            <w:tcW w:w="475" w:type="pct"/>
            <w:vAlign w:val="center"/>
          </w:tcPr>
          <w:p w14:paraId="1182AC3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45</w:t>
            </w:r>
          </w:p>
        </w:tc>
        <w:tc>
          <w:tcPr>
            <w:tcW w:w="683" w:type="pct"/>
            <w:vAlign w:val="center"/>
          </w:tcPr>
          <w:p w14:paraId="5D15BAE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Female</w:t>
            </w:r>
          </w:p>
        </w:tc>
        <w:tc>
          <w:tcPr>
            <w:tcW w:w="2509" w:type="pct"/>
            <w:vAlign w:val="center"/>
          </w:tcPr>
          <w:p w14:paraId="25B12D7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Ischaemic cardiomyopathy</w:t>
            </w:r>
          </w:p>
        </w:tc>
      </w:tr>
      <w:tr w:rsidR="00BF5828" w:rsidRPr="006B2F31" w14:paraId="2C901F62" w14:textId="77777777" w:rsidTr="00085A7E">
        <w:tc>
          <w:tcPr>
            <w:tcW w:w="1333" w:type="pct"/>
            <w:vMerge/>
            <w:vAlign w:val="center"/>
          </w:tcPr>
          <w:p w14:paraId="6AC6B88B" w14:textId="77777777" w:rsidR="00BF5828" w:rsidRPr="006B2F31" w:rsidRDefault="00BF5828" w:rsidP="00085A7E">
            <w:pPr>
              <w:spacing w:line="360" w:lineRule="auto"/>
              <w:jc w:val="both"/>
              <w:rPr>
                <w:rFonts w:ascii="Helvetica" w:hAnsi="Helvetica"/>
                <w:color w:val="000000" w:themeColor="text1"/>
                <w:sz w:val="22"/>
                <w:szCs w:val="22"/>
              </w:rPr>
            </w:pPr>
          </w:p>
        </w:tc>
        <w:tc>
          <w:tcPr>
            <w:tcW w:w="475" w:type="pct"/>
            <w:vAlign w:val="center"/>
          </w:tcPr>
          <w:p w14:paraId="64A2A1C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70</w:t>
            </w:r>
          </w:p>
        </w:tc>
        <w:tc>
          <w:tcPr>
            <w:tcW w:w="683" w:type="pct"/>
            <w:vAlign w:val="center"/>
          </w:tcPr>
          <w:p w14:paraId="4E2473A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Male</w:t>
            </w:r>
          </w:p>
        </w:tc>
        <w:tc>
          <w:tcPr>
            <w:tcW w:w="2509" w:type="pct"/>
            <w:vAlign w:val="center"/>
          </w:tcPr>
          <w:p w14:paraId="6775C84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Ischaemic cardiomyopathy</w:t>
            </w:r>
          </w:p>
        </w:tc>
      </w:tr>
      <w:tr w:rsidR="00BF5828" w:rsidRPr="006B2F31" w14:paraId="17600771" w14:textId="77777777" w:rsidTr="00085A7E">
        <w:tc>
          <w:tcPr>
            <w:tcW w:w="1333" w:type="pct"/>
            <w:vMerge/>
            <w:vAlign w:val="center"/>
          </w:tcPr>
          <w:p w14:paraId="3010CE2A" w14:textId="77777777" w:rsidR="00BF5828" w:rsidRPr="006B2F31" w:rsidRDefault="00BF5828" w:rsidP="00085A7E">
            <w:pPr>
              <w:spacing w:line="360" w:lineRule="auto"/>
              <w:jc w:val="both"/>
              <w:rPr>
                <w:rFonts w:ascii="Helvetica" w:hAnsi="Helvetica"/>
                <w:color w:val="000000" w:themeColor="text1"/>
                <w:sz w:val="22"/>
                <w:szCs w:val="22"/>
              </w:rPr>
            </w:pPr>
          </w:p>
        </w:tc>
        <w:tc>
          <w:tcPr>
            <w:tcW w:w="475" w:type="pct"/>
            <w:vAlign w:val="center"/>
          </w:tcPr>
          <w:p w14:paraId="0FC1F9C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52</w:t>
            </w:r>
          </w:p>
        </w:tc>
        <w:tc>
          <w:tcPr>
            <w:tcW w:w="683" w:type="pct"/>
            <w:vAlign w:val="center"/>
          </w:tcPr>
          <w:p w14:paraId="1F97021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Male</w:t>
            </w:r>
          </w:p>
        </w:tc>
        <w:tc>
          <w:tcPr>
            <w:tcW w:w="2509" w:type="pct"/>
            <w:vAlign w:val="center"/>
          </w:tcPr>
          <w:p w14:paraId="7F37B67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Ischaemic cardiomyopathy</w:t>
            </w:r>
          </w:p>
        </w:tc>
      </w:tr>
      <w:tr w:rsidR="00BF5828" w:rsidRPr="006B2F31" w14:paraId="2C514D87" w14:textId="77777777" w:rsidTr="00085A7E">
        <w:tc>
          <w:tcPr>
            <w:tcW w:w="1333" w:type="pct"/>
            <w:vMerge/>
            <w:vAlign w:val="center"/>
          </w:tcPr>
          <w:p w14:paraId="5A0A389D" w14:textId="77777777" w:rsidR="00BF5828" w:rsidRPr="006B2F31" w:rsidRDefault="00BF5828" w:rsidP="00085A7E">
            <w:pPr>
              <w:spacing w:line="360" w:lineRule="auto"/>
              <w:jc w:val="both"/>
              <w:rPr>
                <w:rFonts w:ascii="Helvetica" w:hAnsi="Helvetica"/>
                <w:color w:val="000000" w:themeColor="text1"/>
                <w:sz w:val="22"/>
                <w:szCs w:val="22"/>
              </w:rPr>
            </w:pPr>
          </w:p>
        </w:tc>
        <w:tc>
          <w:tcPr>
            <w:tcW w:w="475" w:type="pct"/>
            <w:vAlign w:val="center"/>
          </w:tcPr>
          <w:p w14:paraId="552AD29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55</w:t>
            </w:r>
          </w:p>
        </w:tc>
        <w:tc>
          <w:tcPr>
            <w:tcW w:w="683" w:type="pct"/>
            <w:vAlign w:val="center"/>
          </w:tcPr>
          <w:p w14:paraId="66DD2EB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Male</w:t>
            </w:r>
          </w:p>
        </w:tc>
        <w:tc>
          <w:tcPr>
            <w:tcW w:w="2509" w:type="pct"/>
            <w:vAlign w:val="center"/>
          </w:tcPr>
          <w:p w14:paraId="4E54F53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Ischaemic cardiomyopathy</w:t>
            </w:r>
          </w:p>
        </w:tc>
      </w:tr>
      <w:tr w:rsidR="00BF5828" w:rsidRPr="006B2F31" w14:paraId="143DEDF5" w14:textId="77777777" w:rsidTr="00085A7E">
        <w:tc>
          <w:tcPr>
            <w:tcW w:w="1333" w:type="pct"/>
            <w:vMerge/>
            <w:vAlign w:val="center"/>
          </w:tcPr>
          <w:p w14:paraId="4617ED23" w14:textId="77777777" w:rsidR="00BF5828" w:rsidRPr="006B2F31" w:rsidRDefault="00BF5828" w:rsidP="00085A7E">
            <w:pPr>
              <w:spacing w:line="360" w:lineRule="auto"/>
              <w:jc w:val="both"/>
              <w:rPr>
                <w:rFonts w:ascii="Helvetica" w:hAnsi="Helvetica"/>
                <w:color w:val="000000" w:themeColor="text1"/>
                <w:sz w:val="22"/>
                <w:szCs w:val="22"/>
              </w:rPr>
            </w:pPr>
          </w:p>
        </w:tc>
        <w:tc>
          <w:tcPr>
            <w:tcW w:w="475" w:type="pct"/>
            <w:vAlign w:val="center"/>
          </w:tcPr>
          <w:p w14:paraId="1EF1414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57</w:t>
            </w:r>
          </w:p>
        </w:tc>
        <w:tc>
          <w:tcPr>
            <w:tcW w:w="683" w:type="pct"/>
            <w:vAlign w:val="center"/>
          </w:tcPr>
          <w:p w14:paraId="28628B1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Female</w:t>
            </w:r>
          </w:p>
        </w:tc>
        <w:tc>
          <w:tcPr>
            <w:tcW w:w="2509" w:type="pct"/>
            <w:vAlign w:val="center"/>
          </w:tcPr>
          <w:p w14:paraId="677F286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Ischaemic cardiomyopathy</w:t>
            </w:r>
          </w:p>
        </w:tc>
      </w:tr>
    </w:tbl>
    <w:p w14:paraId="26DE911E" w14:textId="77777777" w:rsidR="00BF5828" w:rsidRDefault="00BF5828" w:rsidP="00BF5828">
      <w:pPr>
        <w:spacing w:after="0" w:line="240" w:lineRule="auto"/>
        <w:rPr>
          <w:rFonts w:ascii="Helvetica" w:hAnsi="Helvetica"/>
          <w:b/>
          <w:bCs/>
          <w:iCs/>
          <w:color w:val="000000" w:themeColor="text1"/>
          <w:sz w:val="22"/>
          <w:szCs w:val="22"/>
        </w:rPr>
      </w:pPr>
    </w:p>
    <w:p w14:paraId="4371FFD1" w14:textId="77777777" w:rsidR="00BF5828" w:rsidRDefault="00BF5828" w:rsidP="00BF5828">
      <w:pPr>
        <w:spacing w:after="0" w:line="240" w:lineRule="auto"/>
        <w:rPr>
          <w:rFonts w:ascii="Helvetica" w:hAnsi="Helvetica"/>
          <w:b/>
          <w:bCs/>
          <w:iCs/>
          <w:color w:val="000000" w:themeColor="text1"/>
          <w:sz w:val="22"/>
          <w:szCs w:val="22"/>
        </w:rPr>
      </w:pPr>
    </w:p>
    <w:p w14:paraId="076FDF8D"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t xml:space="preserve">Supplementary Table 3. Details of </w:t>
      </w:r>
      <w:r w:rsidRPr="006B2F31">
        <w:rPr>
          <w:rFonts w:ascii="Helvetica" w:hAnsi="Helvetica"/>
          <w:b/>
          <w:bCs/>
          <w:i/>
          <w:iCs/>
          <w:color w:val="000000" w:themeColor="text1"/>
          <w:sz w:val="22"/>
          <w:szCs w:val="22"/>
        </w:rPr>
        <w:t>ZFP36</w:t>
      </w:r>
      <w:r w:rsidRPr="006B2F31">
        <w:rPr>
          <w:rFonts w:ascii="Helvetica" w:hAnsi="Helvetica"/>
          <w:b/>
          <w:bCs/>
          <w:color w:val="000000" w:themeColor="text1"/>
          <w:sz w:val="22"/>
          <w:szCs w:val="22"/>
        </w:rPr>
        <w:t xml:space="preserve"> siRNA oligonucleotides</w:t>
      </w:r>
      <w:r w:rsidRPr="006B2F31">
        <w:rPr>
          <w:rFonts w:ascii="Helvetica" w:hAnsi="Helvetica"/>
          <w:color w:val="000000" w:themeColor="text1"/>
          <w:sz w:val="22"/>
          <w:szCs w:val="22"/>
        </w:rPr>
        <w:t>.</w:t>
      </w:r>
    </w:p>
    <w:tbl>
      <w:tblPr>
        <w:tblStyle w:val="TableGrid"/>
        <w:tblW w:w="0" w:type="auto"/>
        <w:tblLook w:val="04A0" w:firstRow="1" w:lastRow="0" w:firstColumn="1" w:lastColumn="0" w:noHBand="0" w:noVBand="1"/>
      </w:tblPr>
      <w:tblGrid>
        <w:gridCol w:w="1271"/>
        <w:gridCol w:w="3827"/>
        <w:gridCol w:w="3828"/>
      </w:tblGrid>
      <w:tr w:rsidR="00BF5828" w:rsidRPr="006B2F31" w14:paraId="533792D9" w14:textId="77777777" w:rsidTr="00085A7E">
        <w:tc>
          <w:tcPr>
            <w:tcW w:w="1271" w:type="dxa"/>
            <w:vMerge w:val="restart"/>
            <w:vAlign w:val="center"/>
          </w:tcPr>
          <w:p w14:paraId="69DFE9E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siRNAs</w:t>
            </w:r>
          </w:p>
        </w:tc>
        <w:tc>
          <w:tcPr>
            <w:tcW w:w="7655" w:type="dxa"/>
            <w:gridSpan w:val="2"/>
            <w:vAlign w:val="center"/>
          </w:tcPr>
          <w:p w14:paraId="4E1D404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Sequence (5’ -&gt; 3’)</w:t>
            </w:r>
          </w:p>
        </w:tc>
      </w:tr>
      <w:tr w:rsidR="00BF5828" w:rsidRPr="006B2F31" w14:paraId="6AA1EE42" w14:textId="77777777" w:rsidTr="00085A7E">
        <w:tc>
          <w:tcPr>
            <w:tcW w:w="1271" w:type="dxa"/>
            <w:vMerge/>
            <w:vAlign w:val="center"/>
          </w:tcPr>
          <w:p w14:paraId="16096B5F" w14:textId="77777777" w:rsidR="00BF5828" w:rsidRPr="006B2F31" w:rsidRDefault="00BF5828" w:rsidP="00085A7E">
            <w:pPr>
              <w:spacing w:line="360" w:lineRule="auto"/>
              <w:jc w:val="both"/>
              <w:rPr>
                <w:rFonts w:ascii="Helvetica" w:hAnsi="Helvetica"/>
                <w:color w:val="000000" w:themeColor="text1"/>
                <w:sz w:val="22"/>
                <w:szCs w:val="22"/>
              </w:rPr>
            </w:pPr>
          </w:p>
        </w:tc>
        <w:tc>
          <w:tcPr>
            <w:tcW w:w="3827" w:type="dxa"/>
            <w:vAlign w:val="center"/>
          </w:tcPr>
          <w:p w14:paraId="0268DB8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Sense</w:t>
            </w:r>
          </w:p>
        </w:tc>
        <w:tc>
          <w:tcPr>
            <w:tcW w:w="3828" w:type="dxa"/>
            <w:vAlign w:val="center"/>
          </w:tcPr>
          <w:p w14:paraId="0BB99BFD"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Antisense</w:t>
            </w:r>
          </w:p>
        </w:tc>
      </w:tr>
      <w:tr w:rsidR="00BF5828" w:rsidRPr="006B2F31" w14:paraId="7AF76542" w14:textId="77777777" w:rsidTr="00085A7E">
        <w:tc>
          <w:tcPr>
            <w:tcW w:w="1271" w:type="dxa"/>
            <w:vAlign w:val="center"/>
          </w:tcPr>
          <w:p w14:paraId="613E576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s14977</w:t>
            </w:r>
          </w:p>
        </w:tc>
        <w:tc>
          <w:tcPr>
            <w:tcW w:w="3827" w:type="dxa"/>
            <w:vAlign w:val="center"/>
          </w:tcPr>
          <w:p w14:paraId="2FABB12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UCUGUCUCCUAGAAUCUUAtt</w:t>
            </w:r>
          </w:p>
        </w:tc>
        <w:tc>
          <w:tcPr>
            <w:tcW w:w="3828" w:type="dxa"/>
            <w:vAlign w:val="center"/>
          </w:tcPr>
          <w:p w14:paraId="68B821D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UAAGAUUCUAGGAGACAGAtt</w:t>
            </w:r>
          </w:p>
        </w:tc>
      </w:tr>
      <w:tr w:rsidR="00BF5828" w:rsidRPr="006B2F31" w14:paraId="22A3BD01" w14:textId="77777777" w:rsidTr="00085A7E">
        <w:tc>
          <w:tcPr>
            <w:tcW w:w="1271" w:type="dxa"/>
            <w:vAlign w:val="center"/>
          </w:tcPr>
          <w:p w14:paraId="7FF4969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s14978</w:t>
            </w:r>
          </w:p>
        </w:tc>
        <w:tc>
          <w:tcPr>
            <w:tcW w:w="3827" w:type="dxa"/>
            <w:vAlign w:val="center"/>
          </w:tcPr>
          <w:p w14:paraId="6542751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AGACGGAACUCUGUCACAAtt</w:t>
            </w:r>
          </w:p>
        </w:tc>
        <w:tc>
          <w:tcPr>
            <w:tcW w:w="3828" w:type="dxa"/>
            <w:vAlign w:val="center"/>
          </w:tcPr>
          <w:p w14:paraId="41923FB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UUGUGACAGAGUUCCGUCUtg</w:t>
            </w:r>
          </w:p>
        </w:tc>
      </w:tr>
      <w:tr w:rsidR="00BF5828" w:rsidRPr="006B2F31" w14:paraId="18C33503" w14:textId="77777777" w:rsidTr="00085A7E">
        <w:tc>
          <w:tcPr>
            <w:tcW w:w="1271" w:type="dxa"/>
            <w:vAlign w:val="center"/>
          </w:tcPr>
          <w:p w14:paraId="7E96A18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s14979</w:t>
            </w:r>
          </w:p>
        </w:tc>
        <w:tc>
          <w:tcPr>
            <w:tcW w:w="3827" w:type="dxa"/>
            <w:vAlign w:val="center"/>
          </w:tcPr>
          <w:p w14:paraId="73C0CEC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CUUUAUUUAUGACGACUUUtt</w:t>
            </w:r>
          </w:p>
        </w:tc>
        <w:tc>
          <w:tcPr>
            <w:tcW w:w="3828" w:type="dxa"/>
            <w:vAlign w:val="center"/>
          </w:tcPr>
          <w:p w14:paraId="46C899D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AAAGUCGUCAUAAAUAAAGgg</w:t>
            </w:r>
          </w:p>
        </w:tc>
      </w:tr>
    </w:tbl>
    <w:p w14:paraId="13D56E63" w14:textId="77777777" w:rsidR="00BF5828" w:rsidRPr="006B2F31" w:rsidRDefault="00BF5828" w:rsidP="00BF5828">
      <w:pPr>
        <w:spacing w:line="360" w:lineRule="auto"/>
        <w:jc w:val="both"/>
        <w:rPr>
          <w:rFonts w:ascii="Helvetica" w:hAnsi="Helvetica"/>
          <w:b/>
          <w:iCs/>
          <w:color w:val="000000" w:themeColor="text1"/>
          <w:sz w:val="22"/>
          <w:szCs w:val="22"/>
        </w:rPr>
      </w:pPr>
    </w:p>
    <w:p w14:paraId="7DF88B93"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t xml:space="preserve">Supplementary Table </w:t>
      </w:r>
      <w:r>
        <w:rPr>
          <w:rFonts w:ascii="Helvetica" w:hAnsi="Helvetica"/>
          <w:b/>
          <w:bCs/>
          <w:color w:val="000000" w:themeColor="text1"/>
          <w:sz w:val="22"/>
          <w:szCs w:val="22"/>
        </w:rPr>
        <w:t>4</w:t>
      </w:r>
      <w:r w:rsidRPr="006B2F31">
        <w:rPr>
          <w:rFonts w:ascii="Helvetica" w:hAnsi="Helvetica"/>
          <w:b/>
          <w:bCs/>
          <w:color w:val="000000" w:themeColor="text1"/>
          <w:sz w:val="22"/>
          <w:szCs w:val="22"/>
        </w:rPr>
        <w:t>.</w:t>
      </w:r>
      <w:r w:rsidRPr="006B2F31">
        <w:rPr>
          <w:rFonts w:ascii="Helvetica" w:hAnsi="Helvetica"/>
          <w:color w:val="000000" w:themeColor="text1"/>
          <w:sz w:val="22"/>
          <w:szCs w:val="22"/>
        </w:rPr>
        <w:t xml:space="preserve"> </w:t>
      </w:r>
      <w:r w:rsidRPr="006B2F31">
        <w:rPr>
          <w:rFonts w:ascii="Helvetica" w:hAnsi="Helvetica"/>
          <w:b/>
          <w:bCs/>
          <w:color w:val="000000" w:themeColor="text1"/>
          <w:sz w:val="22"/>
          <w:szCs w:val="22"/>
        </w:rPr>
        <w:t>Top marker and GO term analyses of mouse coronary endothelial cell clusters.</w:t>
      </w:r>
      <w:r w:rsidRPr="006B2F31">
        <w:rPr>
          <w:rFonts w:ascii="Helvetica" w:hAnsi="Helvetica"/>
          <w:color w:val="000000" w:themeColor="text1"/>
          <w:sz w:val="22"/>
          <w:szCs w:val="22"/>
        </w:rPr>
        <w:t xml:space="preserve"> Genes enriched in individual clusters were identified as the cluster markers. The markers were ranked by the adjusted </w:t>
      </w:r>
      <w:r w:rsidRPr="006B2F31">
        <w:rPr>
          <w:rFonts w:ascii="Helvetica" w:hAnsi="Helvetica"/>
          <w:i/>
          <w:iCs/>
          <w:color w:val="000000" w:themeColor="text1"/>
          <w:sz w:val="22"/>
          <w:szCs w:val="22"/>
        </w:rPr>
        <w:t xml:space="preserve">P </w:t>
      </w:r>
      <w:r w:rsidRPr="006B2F31">
        <w:rPr>
          <w:rFonts w:ascii="Helvetica" w:hAnsi="Helvetica"/>
          <w:color w:val="000000" w:themeColor="text1"/>
          <w:sz w:val="22"/>
          <w:szCs w:val="22"/>
        </w:rPr>
        <w:t xml:space="preserve">values and average log2FC and the top 20 markers that satisfied adjusted </w:t>
      </w:r>
      <w:r w:rsidRPr="006B2F31">
        <w:rPr>
          <w:rFonts w:ascii="Helvetica" w:hAnsi="Helvetica"/>
          <w:i/>
          <w:iCs/>
          <w:color w:val="000000" w:themeColor="text1"/>
          <w:sz w:val="22"/>
          <w:szCs w:val="22"/>
        </w:rPr>
        <w:t>P</w:t>
      </w:r>
      <w:r w:rsidRPr="006B2F31">
        <w:rPr>
          <w:rFonts w:ascii="Helvetica" w:hAnsi="Helvetica"/>
          <w:color w:val="000000" w:themeColor="text1"/>
          <w:sz w:val="22"/>
          <w:szCs w:val="22"/>
        </w:rPr>
        <w:t xml:space="preserve"> &lt; 0.05 were listed below. </w:t>
      </w:r>
    </w:p>
    <w:tbl>
      <w:tblPr>
        <w:tblStyle w:val="TableGrid"/>
        <w:tblW w:w="9067" w:type="dxa"/>
        <w:jc w:val="center"/>
        <w:tblLook w:val="04A0" w:firstRow="1" w:lastRow="0" w:firstColumn="1" w:lastColumn="0" w:noHBand="0" w:noVBand="1"/>
      </w:tblPr>
      <w:tblGrid>
        <w:gridCol w:w="928"/>
        <w:gridCol w:w="4454"/>
        <w:gridCol w:w="3685"/>
      </w:tblGrid>
      <w:tr w:rsidR="00BF5828" w:rsidRPr="006B2F31" w14:paraId="63E31ABA" w14:textId="77777777" w:rsidTr="00085A7E">
        <w:trPr>
          <w:jc w:val="center"/>
        </w:trPr>
        <w:tc>
          <w:tcPr>
            <w:tcW w:w="928" w:type="dxa"/>
            <w:vAlign w:val="center"/>
          </w:tcPr>
          <w:p w14:paraId="430F8EC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lastRenderedPageBreak/>
              <w:t xml:space="preserve">Cluster </w:t>
            </w:r>
          </w:p>
        </w:tc>
        <w:tc>
          <w:tcPr>
            <w:tcW w:w="4454" w:type="dxa"/>
            <w:vAlign w:val="center"/>
          </w:tcPr>
          <w:p w14:paraId="46E50BE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Top markers</w:t>
            </w:r>
          </w:p>
        </w:tc>
        <w:tc>
          <w:tcPr>
            <w:tcW w:w="3685" w:type="dxa"/>
            <w:vAlign w:val="center"/>
          </w:tcPr>
          <w:p w14:paraId="5C05C1A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Top GO terms</w:t>
            </w:r>
          </w:p>
        </w:tc>
      </w:tr>
      <w:tr w:rsidR="00BF5828" w:rsidRPr="006B2F31" w14:paraId="3AECADBD" w14:textId="77777777" w:rsidTr="00085A7E">
        <w:trPr>
          <w:jc w:val="center"/>
        </w:trPr>
        <w:tc>
          <w:tcPr>
            <w:tcW w:w="928" w:type="dxa"/>
            <w:vAlign w:val="center"/>
          </w:tcPr>
          <w:p w14:paraId="1A85437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w:t>
            </w:r>
          </w:p>
        </w:tc>
        <w:tc>
          <w:tcPr>
            <w:tcW w:w="4454" w:type="dxa"/>
            <w:vAlign w:val="center"/>
          </w:tcPr>
          <w:p w14:paraId="0579E34F"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Rps6, Rpl18a, Rps28, Rpl13a, Rps7, Rps8, Rps23, Rpl34, Rpl37, Rps27, Rps4x, Rpl26, Rps12, Ttn, Id3, Hsp90aa1, Rps21, Tm4sf1, Cyyr1</w:t>
            </w:r>
          </w:p>
        </w:tc>
        <w:tc>
          <w:tcPr>
            <w:tcW w:w="3685" w:type="dxa"/>
            <w:vAlign w:val="center"/>
          </w:tcPr>
          <w:p w14:paraId="3011EE3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Positive regulation of inflammatory response, regulation of transcription involved in cell fate commitment, protein transport from ciliary membrane to plasma membrane</w:t>
            </w:r>
          </w:p>
        </w:tc>
      </w:tr>
      <w:tr w:rsidR="00BF5828" w:rsidRPr="006B2F31" w14:paraId="4369F856" w14:textId="77777777" w:rsidTr="00085A7E">
        <w:trPr>
          <w:jc w:val="center"/>
        </w:trPr>
        <w:tc>
          <w:tcPr>
            <w:tcW w:w="928" w:type="dxa"/>
            <w:vAlign w:val="center"/>
          </w:tcPr>
          <w:p w14:paraId="24D20BD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w:t>
            </w:r>
          </w:p>
        </w:tc>
        <w:tc>
          <w:tcPr>
            <w:tcW w:w="4454" w:type="dxa"/>
            <w:vAlign w:val="center"/>
          </w:tcPr>
          <w:p w14:paraId="291E262E"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Actb, Trp53i11, Mest, Tmsb10, Prnd, Sparcl1, Tmsb4x, Ptp4a3, Pfn1, Tpm4, Myl6, Actg1, Csrp1, Ppp1r2, Msn, Bst2, Ubb, Mall, Ly6a, Hspa1a</w:t>
            </w:r>
          </w:p>
        </w:tc>
        <w:tc>
          <w:tcPr>
            <w:tcW w:w="3685" w:type="dxa"/>
            <w:vAlign w:val="center"/>
          </w:tcPr>
          <w:p w14:paraId="04AB871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Cytoplasmic translation, ribosomal small subunit assembly, sequestering of actin monomers</w:t>
            </w:r>
          </w:p>
        </w:tc>
      </w:tr>
      <w:tr w:rsidR="00BF5828" w:rsidRPr="006B2F31" w14:paraId="5B118B85" w14:textId="77777777" w:rsidTr="00085A7E">
        <w:trPr>
          <w:jc w:val="center"/>
        </w:trPr>
        <w:tc>
          <w:tcPr>
            <w:tcW w:w="928" w:type="dxa"/>
            <w:vAlign w:val="center"/>
          </w:tcPr>
          <w:p w14:paraId="5368CE9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w:t>
            </w:r>
          </w:p>
        </w:tc>
        <w:tc>
          <w:tcPr>
            <w:tcW w:w="4454" w:type="dxa"/>
            <w:vAlign w:val="center"/>
          </w:tcPr>
          <w:p w14:paraId="76C9438D"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Cxcl12, Aqp7, Cd300lg, Btnl9, Cd36, Sept4, Slc6a6, Cdkn1c, Oaz2, Glul, Car4, Clec14a, Flt1, Tubb2a, Gas6, App, Morf4l1, Eva1b, Dazap2</w:t>
            </w:r>
          </w:p>
        </w:tc>
        <w:tc>
          <w:tcPr>
            <w:tcW w:w="3685" w:type="dxa"/>
            <w:vAlign w:val="center"/>
          </w:tcPr>
          <w:p w14:paraId="22315EE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Cell adhesion, positive regulation of angiogenesis, regulation of endothelial cell proliferation</w:t>
            </w:r>
          </w:p>
        </w:tc>
      </w:tr>
      <w:tr w:rsidR="00BF5828" w:rsidRPr="006B2F31" w14:paraId="7DB90D8E" w14:textId="77777777" w:rsidTr="00085A7E">
        <w:trPr>
          <w:jc w:val="center"/>
        </w:trPr>
        <w:tc>
          <w:tcPr>
            <w:tcW w:w="928" w:type="dxa"/>
            <w:vAlign w:val="center"/>
          </w:tcPr>
          <w:p w14:paraId="4B22467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w:t>
            </w:r>
          </w:p>
        </w:tc>
        <w:tc>
          <w:tcPr>
            <w:tcW w:w="4454" w:type="dxa"/>
            <w:vAlign w:val="center"/>
          </w:tcPr>
          <w:p w14:paraId="7CF6BC5D"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Aqp1, Igfbp5, Cd9, Rassf9, Rhoj, Fabp4, Slc26a10, Anxa2, Adgrf5, Ptrf, Dstn, Crip2, Rras, Lmo2, Prr13, Aplp2</w:t>
            </w:r>
          </w:p>
        </w:tc>
        <w:tc>
          <w:tcPr>
            <w:tcW w:w="3685" w:type="dxa"/>
            <w:vAlign w:val="center"/>
          </w:tcPr>
          <w:p w14:paraId="20A53A4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Positive regulation of fibroblast proliferation, negative regulation of epithelial cell apoptotic process, negative regulation of developmental process</w:t>
            </w:r>
          </w:p>
        </w:tc>
      </w:tr>
      <w:tr w:rsidR="00BF5828" w:rsidRPr="006B2F31" w14:paraId="4CB51B29" w14:textId="77777777" w:rsidTr="00085A7E">
        <w:trPr>
          <w:jc w:val="center"/>
        </w:trPr>
        <w:tc>
          <w:tcPr>
            <w:tcW w:w="928" w:type="dxa"/>
            <w:vAlign w:val="center"/>
          </w:tcPr>
          <w:p w14:paraId="3F49EC0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4</w:t>
            </w:r>
          </w:p>
        </w:tc>
        <w:tc>
          <w:tcPr>
            <w:tcW w:w="4454" w:type="dxa"/>
            <w:vAlign w:val="center"/>
          </w:tcPr>
          <w:p w14:paraId="11F0DB08"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Jun, Btg2, Klf4, Klf2, Dusp1, Jund, Cdkn1a, Ubc, Apold1, Sgk1, Irf1, Hspb1, Plk2, Pnrc1, Atp2a2, Wsb1, Dusp3, Plat</w:t>
            </w:r>
          </w:p>
        </w:tc>
        <w:tc>
          <w:tcPr>
            <w:tcW w:w="3685" w:type="dxa"/>
            <w:vAlign w:val="center"/>
          </w:tcPr>
          <w:p w14:paraId="600F798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Negative regulation of apoptotic process, regulation of cell cycle, positive regulation of nitric oxide biosynthetic process</w:t>
            </w:r>
          </w:p>
        </w:tc>
      </w:tr>
      <w:tr w:rsidR="00BF5828" w:rsidRPr="006B2F31" w14:paraId="5E73F895" w14:textId="77777777" w:rsidTr="00085A7E">
        <w:trPr>
          <w:jc w:val="center"/>
        </w:trPr>
        <w:tc>
          <w:tcPr>
            <w:tcW w:w="928" w:type="dxa"/>
            <w:vAlign w:val="center"/>
          </w:tcPr>
          <w:p w14:paraId="5ADFD0C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5</w:t>
            </w:r>
          </w:p>
        </w:tc>
        <w:tc>
          <w:tcPr>
            <w:tcW w:w="4454" w:type="dxa"/>
            <w:vAlign w:val="center"/>
          </w:tcPr>
          <w:p w14:paraId="575A51AA"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Fbln5, Gja5, Hey1, Sox17, Ltbp4, Efnb2, Rbp7, Ly6c1, Depp1, Cyb5r3, Nudt4, Cd81, Emp2, Serinc3, Id2, Eif1, My12a</w:t>
            </w:r>
          </w:p>
        </w:tc>
        <w:tc>
          <w:tcPr>
            <w:tcW w:w="3685" w:type="dxa"/>
            <w:vAlign w:val="center"/>
          </w:tcPr>
          <w:p w14:paraId="3EFBD70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Angiogenesis, positive regulation of epithelial cell proliferation, cell adhesion</w:t>
            </w:r>
          </w:p>
        </w:tc>
      </w:tr>
      <w:tr w:rsidR="00BF5828" w:rsidRPr="006B2F31" w14:paraId="5E4BC3AC" w14:textId="77777777" w:rsidTr="00085A7E">
        <w:trPr>
          <w:jc w:val="center"/>
        </w:trPr>
        <w:tc>
          <w:tcPr>
            <w:tcW w:w="928" w:type="dxa"/>
            <w:vAlign w:val="center"/>
          </w:tcPr>
          <w:p w14:paraId="2214675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6</w:t>
            </w:r>
          </w:p>
        </w:tc>
        <w:tc>
          <w:tcPr>
            <w:tcW w:w="4454" w:type="dxa"/>
            <w:vAlign w:val="center"/>
          </w:tcPr>
          <w:p w14:paraId="03CC3338"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Stmn1, Hmgb2, Cdc20, Cenpf, Top2a, Ube2c, Hist1h2ae, Cenpa, Selenoh, Dek, Ube2s, Tuba1b, Tubb5, Calm2, Arl6ip1, Tubb4b, Ptma, H10, Ctla2a, Gm42418</w:t>
            </w:r>
          </w:p>
        </w:tc>
        <w:tc>
          <w:tcPr>
            <w:tcW w:w="3685" w:type="dxa"/>
            <w:vAlign w:val="center"/>
          </w:tcPr>
          <w:p w14:paraId="4BD5A5F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Regulation of alternative mRNA splicing, via spliceosome, mitotic sister chromatid segregation, mismatch repair</w:t>
            </w:r>
          </w:p>
        </w:tc>
      </w:tr>
      <w:tr w:rsidR="00BF5828" w:rsidRPr="006B2F31" w14:paraId="15710989" w14:textId="77777777" w:rsidTr="00085A7E">
        <w:trPr>
          <w:jc w:val="center"/>
        </w:trPr>
        <w:tc>
          <w:tcPr>
            <w:tcW w:w="928" w:type="dxa"/>
            <w:vAlign w:val="center"/>
          </w:tcPr>
          <w:p w14:paraId="1B9E955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lastRenderedPageBreak/>
              <w:t>7</w:t>
            </w:r>
          </w:p>
        </w:tc>
        <w:tc>
          <w:tcPr>
            <w:tcW w:w="4454" w:type="dxa"/>
            <w:vAlign w:val="center"/>
          </w:tcPr>
          <w:p w14:paraId="2DD528F7"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Tmem59, Hspg2, Rabac1, Pdgfb, Scp2, Dusp3, Notch4, Itpkb</w:t>
            </w:r>
          </w:p>
        </w:tc>
        <w:tc>
          <w:tcPr>
            <w:tcW w:w="3685" w:type="dxa"/>
            <w:vAlign w:val="center"/>
          </w:tcPr>
          <w:p w14:paraId="6591623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Branching involved in blood vessel morphogenesis, angiogenesis, positive regulation of angiogenesis</w:t>
            </w:r>
          </w:p>
        </w:tc>
      </w:tr>
      <w:tr w:rsidR="00BF5828" w:rsidRPr="006B2F31" w14:paraId="0CD07262" w14:textId="77777777" w:rsidTr="00085A7E">
        <w:trPr>
          <w:jc w:val="center"/>
        </w:trPr>
        <w:tc>
          <w:tcPr>
            <w:tcW w:w="928" w:type="dxa"/>
            <w:vAlign w:val="center"/>
          </w:tcPr>
          <w:p w14:paraId="2C87796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8</w:t>
            </w:r>
          </w:p>
        </w:tc>
        <w:tc>
          <w:tcPr>
            <w:tcW w:w="4454" w:type="dxa"/>
            <w:vAlign w:val="center"/>
          </w:tcPr>
          <w:p w14:paraId="644A2E53"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Cox6a2, Ankrd1, Tnni3, Pln, Actc1, Myl2, Tnnt2, Slc25a4, Tpm1, Timp3, Gm10250, Mdh1, Atp5g1, Heg1, Rps26, Romo1</w:t>
            </w:r>
          </w:p>
        </w:tc>
        <w:tc>
          <w:tcPr>
            <w:tcW w:w="3685" w:type="dxa"/>
            <w:vAlign w:val="center"/>
          </w:tcPr>
          <w:p w14:paraId="0CE01D4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Cytoplasmic translation, ribosomal small subunit assembly, sequestering of actin monomers</w:t>
            </w:r>
          </w:p>
        </w:tc>
      </w:tr>
      <w:tr w:rsidR="00BF5828" w:rsidRPr="006B2F31" w14:paraId="598EAB92" w14:textId="77777777" w:rsidTr="00085A7E">
        <w:trPr>
          <w:jc w:val="center"/>
        </w:trPr>
        <w:tc>
          <w:tcPr>
            <w:tcW w:w="928" w:type="dxa"/>
            <w:vAlign w:val="center"/>
          </w:tcPr>
          <w:p w14:paraId="33C0CC8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9</w:t>
            </w:r>
          </w:p>
        </w:tc>
        <w:tc>
          <w:tcPr>
            <w:tcW w:w="4454" w:type="dxa"/>
            <w:vAlign w:val="center"/>
          </w:tcPr>
          <w:p w14:paraId="06742AD9"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Plvap, Lrg1, Tmem176a, Tmem176b, Cpe, Cfh, Socs3, Selenop, Rplp0, Rps2, Rpl15, Ifitm2, Scarb1, Itm2b, Slc25a5, Ebf1, Rgcc, Igfbp7, Fos</w:t>
            </w:r>
          </w:p>
        </w:tc>
        <w:tc>
          <w:tcPr>
            <w:tcW w:w="3685" w:type="dxa"/>
            <w:vAlign w:val="center"/>
          </w:tcPr>
          <w:p w14:paraId="319C705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Cytoplasmic translation, ribosomal small subunit assembly, positive regulation of angiogenesis</w:t>
            </w:r>
          </w:p>
        </w:tc>
      </w:tr>
      <w:tr w:rsidR="00BF5828" w:rsidRPr="006B2F31" w14:paraId="489C7196" w14:textId="77777777" w:rsidTr="00085A7E">
        <w:trPr>
          <w:jc w:val="center"/>
        </w:trPr>
        <w:tc>
          <w:tcPr>
            <w:tcW w:w="928" w:type="dxa"/>
            <w:vAlign w:val="center"/>
          </w:tcPr>
          <w:p w14:paraId="5158E47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10</w:t>
            </w:r>
          </w:p>
        </w:tc>
        <w:tc>
          <w:tcPr>
            <w:tcW w:w="4454" w:type="dxa"/>
            <w:vAlign w:val="center"/>
          </w:tcPr>
          <w:p w14:paraId="5A40AC2D"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Rbm20, Slc8a1, Ctnna3, Myocd, Gm26561, RP24-559D16.1, Ryr2, Palld, Fhl2, Ccdc141, Chrm2, Dmd, Kcnd2, Pde4d, Pip5k1b, Sorbs2, Tbc1d4, Lmo7, Sorbs1, Klf6</w:t>
            </w:r>
          </w:p>
        </w:tc>
        <w:tc>
          <w:tcPr>
            <w:tcW w:w="3685" w:type="dxa"/>
            <w:vAlign w:val="center"/>
          </w:tcPr>
          <w:p w14:paraId="7E1A0E1D"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Regulation of inflammatory response, sequestering of metal ion, negative regulation of platelet-derived growth factor receptor-beta signalling pathway</w:t>
            </w:r>
          </w:p>
        </w:tc>
      </w:tr>
      <w:tr w:rsidR="00BF5828" w:rsidRPr="006B2F31" w14:paraId="45E50A39" w14:textId="77777777" w:rsidTr="00085A7E">
        <w:trPr>
          <w:jc w:val="center"/>
        </w:trPr>
        <w:tc>
          <w:tcPr>
            <w:tcW w:w="928" w:type="dxa"/>
            <w:vAlign w:val="center"/>
          </w:tcPr>
          <w:p w14:paraId="34BE557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11</w:t>
            </w:r>
          </w:p>
        </w:tc>
        <w:tc>
          <w:tcPr>
            <w:tcW w:w="4454" w:type="dxa"/>
            <w:vAlign w:val="center"/>
          </w:tcPr>
          <w:p w14:paraId="04E29FFD"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Col3a1, Col1a1, Dcn, Col1a2, Postn, Lum, Mfap5, Htra3, Gsn, Gpx3, Rarres2, Serping1, Rcn3, Pi16, Aebp1, Eef1a1, Mgp, Ncl, Crip1</w:t>
            </w:r>
          </w:p>
        </w:tc>
        <w:tc>
          <w:tcPr>
            <w:tcW w:w="3685" w:type="dxa"/>
            <w:vAlign w:val="center"/>
          </w:tcPr>
          <w:p w14:paraId="05205EE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Cellular modified amino acid metabolic process, intrinsic apoptotic signalling pathway in response to DNA damage, small molecule biosynthetic process</w:t>
            </w:r>
          </w:p>
        </w:tc>
      </w:tr>
      <w:tr w:rsidR="00BF5828" w:rsidRPr="006B2F31" w14:paraId="616AAA87" w14:textId="77777777" w:rsidTr="00085A7E">
        <w:trPr>
          <w:jc w:val="center"/>
        </w:trPr>
        <w:tc>
          <w:tcPr>
            <w:tcW w:w="928" w:type="dxa"/>
            <w:vAlign w:val="center"/>
          </w:tcPr>
          <w:p w14:paraId="7EC60BC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12</w:t>
            </w:r>
          </w:p>
        </w:tc>
        <w:tc>
          <w:tcPr>
            <w:tcW w:w="4454" w:type="dxa"/>
            <w:vAlign w:val="center"/>
          </w:tcPr>
          <w:p w14:paraId="0EBF317B"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Ifit2, Cxcl10, Isg15, Gbp2, Gbp5, Gbp3, Rsad2, Oasl2, Iigp1, Isg20, Samhd1, Ifitm3, AW112010, Cd47, Plscr2, H2-D1, Chmp4b, Upp1, Clic4, Timp4</w:t>
            </w:r>
          </w:p>
        </w:tc>
        <w:tc>
          <w:tcPr>
            <w:tcW w:w="3685" w:type="dxa"/>
            <w:vAlign w:val="center"/>
          </w:tcPr>
          <w:p w14:paraId="57DA012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Defence response to virus, cellular response to interferon-beta, positive regulation of T cell mediated cytotoxicity</w:t>
            </w:r>
          </w:p>
        </w:tc>
      </w:tr>
      <w:tr w:rsidR="00BF5828" w:rsidRPr="006B2F31" w14:paraId="147D3396" w14:textId="77777777" w:rsidTr="00085A7E">
        <w:trPr>
          <w:jc w:val="center"/>
        </w:trPr>
        <w:tc>
          <w:tcPr>
            <w:tcW w:w="928" w:type="dxa"/>
            <w:vAlign w:val="center"/>
          </w:tcPr>
          <w:p w14:paraId="541CDED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13</w:t>
            </w:r>
          </w:p>
        </w:tc>
        <w:tc>
          <w:tcPr>
            <w:tcW w:w="4454" w:type="dxa"/>
            <w:vAlign w:val="center"/>
          </w:tcPr>
          <w:p w14:paraId="729D2010"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Ctss, Wfdc17, Cd14, C1qc, C1qa, Ccl4, C1qb, Lyz2, Cxcl2, Spp1, Pf4, Apoe, Cd74, H2-Aa, Ctsb, Fth1, H2-Ab1, Cst3, Ftl1, Srgn</w:t>
            </w:r>
          </w:p>
        </w:tc>
        <w:tc>
          <w:tcPr>
            <w:tcW w:w="3685" w:type="dxa"/>
            <w:vAlign w:val="center"/>
          </w:tcPr>
          <w:p w14:paraId="10E3F6B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Cytoplasmic translation, positive regulation of signal transduction by p53 class mediator, immune system process</w:t>
            </w:r>
          </w:p>
        </w:tc>
      </w:tr>
      <w:tr w:rsidR="00BF5828" w:rsidRPr="006B2F31" w14:paraId="64BBFD29" w14:textId="77777777" w:rsidTr="00085A7E">
        <w:trPr>
          <w:jc w:val="center"/>
        </w:trPr>
        <w:tc>
          <w:tcPr>
            <w:tcW w:w="928" w:type="dxa"/>
            <w:vAlign w:val="center"/>
          </w:tcPr>
          <w:p w14:paraId="2230B83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14</w:t>
            </w:r>
          </w:p>
        </w:tc>
        <w:tc>
          <w:tcPr>
            <w:tcW w:w="4454" w:type="dxa"/>
            <w:vAlign w:val="center"/>
          </w:tcPr>
          <w:p w14:paraId="4216FA34"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Rgs4, Myh11, Higd1b, Gucy1a3, Vtn, Steap4, Ndufa4l2, Kcnj8, Gm13889, Rasl11a, Tpm2, Rgs5, Abcc9, Cox4i2, Myl9, Cox4i2, Myl9, Colec11, Axl, Lbh</w:t>
            </w:r>
          </w:p>
        </w:tc>
        <w:tc>
          <w:tcPr>
            <w:tcW w:w="3685" w:type="dxa"/>
            <w:vAlign w:val="center"/>
          </w:tcPr>
          <w:p w14:paraId="068984E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Transmembrane receptor protein serine/threonine kinase signalling pathway, hepatocyte proliferation, circadian behaviour</w:t>
            </w:r>
          </w:p>
        </w:tc>
      </w:tr>
    </w:tbl>
    <w:p w14:paraId="1AEC0209" w14:textId="77777777" w:rsidR="00BF5828" w:rsidRPr="006B2F31" w:rsidRDefault="00BF5828" w:rsidP="00BF5828">
      <w:pPr>
        <w:spacing w:line="360" w:lineRule="auto"/>
        <w:jc w:val="both"/>
        <w:rPr>
          <w:rFonts w:ascii="Helvetica" w:hAnsi="Helvetica"/>
          <w:color w:val="000000" w:themeColor="text1"/>
          <w:sz w:val="22"/>
          <w:szCs w:val="22"/>
        </w:rPr>
      </w:pPr>
    </w:p>
    <w:p w14:paraId="6B16DB93"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lastRenderedPageBreak/>
        <w:t xml:space="preserve">Supplementary Table </w:t>
      </w:r>
      <w:r>
        <w:rPr>
          <w:rFonts w:ascii="Helvetica" w:hAnsi="Helvetica"/>
          <w:b/>
          <w:bCs/>
          <w:color w:val="000000" w:themeColor="text1"/>
          <w:sz w:val="22"/>
          <w:szCs w:val="22"/>
        </w:rPr>
        <w:t>5</w:t>
      </w:r>
      <w:r w:rsidRPr="006B2F31">
        <w:rPr>
          <w:rFonts w:ascii="Helvetica" w:hAnsi="Helvetica"/>
          <w:b/>
          <w:bCs/>
          <w:color w:val="000000" w:themeColor="text1"/>
          <w:sz w:val="22"/>
          <w:szCs w:val="22"/>
        </w:rPr>
        <w:t xml:space="preserve">. Common upregulated DEGs across all timepoints post-MI in adult mouse cardiac ECs compared to uninjured adult mouse cardiac ECs. </w:t>
      </w:r>
      <w:r w:rsidRPr="006B2F31">
        <w:rPr>
          <w:rFonts w:ascii="Helvetica" w:hAnsi="Helvetica"/>
          <w:color w:val="000000" w:themeColor="text1"/>
          <w:sz w:val="22"/>
          <w:szCs w:val="22"/>
        </w:rPr>
        <w:t>Differentially expressed genes (DEGs) were ranked according to the adjusted P values and the average log2 fold change.</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F5828" w:rsidRPr="006B2F31" w14:paraId="11306DB4" w14:textId="77777777" w:rsidTr="00085A7E">
        <w:tc>
          <w:tcPr>
            <w:tcW w:w="1502" w:type="dxa"/>
            <w:vMerge w:val="restart"/>
            <w:vAlign w:val="center"/>
          </w:tcPr>
          <w:p w14:paraId="66F27B1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DEGs</w:t>
            </w:r>
          </w:p>
        </w:tc>
        <w:tc>
          <w:tcPr>
            <w:tcW w:w="7514" w:type="dxa"/>
            <w:gridSpan w:val="5"/>
            <w:vAlign w:val="center"/>
          </w:tcPr>
          <w:p w14:paraId="7F69997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Average log2 fold change</w:t>
            </w:r>
          </w:p>
        </w:tc>
      </w:tr>
      <w:tr w:rsidR="00BF5828" w:rsidRPr="006B2F31" w14:paraId="7D429464" w14:textId="77777777" w:rsidTr="00085A7E">
        <w:tc>
          <w:tcPr>
            <w:tcW w:w="1502" w:type="dxa"/>
            <w:vMerge/>
            <w:vAlign w:val="center"/>
          </w:tcPr>
          <w:p w14:paraId="09ED4A5E" w14:textId="77777777" w:rsidR="00BF5828" w:rsidRPr="006B2F31" w:rsidRDefault="00BF5828" w:rsidP="00085A7E">
            <w:pPr>
              <w:spacing w:line="360" w:lineRule="auto"/>
              <w:jc w:val="both"/>
              <w:rPr>
                <w:rFonts w:ascii="Helvetica" w:hAnsi="Helvetica"/>
                <w:color w:val="000000" w:themeColor="text1"/>
                <w:sz w:val="22"/>
                <w:szCs w:val="22"/>
              </w:rPr>
            </w:pPr>
          </w:p>
        </w:tc>
        <w:tc>
          <w:tcPr>
            <w:tcW w:w="1502" w:type="dxa"/>
            <w:vAlign w:val="center"/>
          </w:tcPr>
          <w:p w14:paraId="6F4A9F8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 day</w:t>
            </w:r>
          </w:p>
        </w:tc>
        <w:tc>
          <w:tcPr>
            <w:tcW w:w="1503" w:type="dxa"/>
            <w:vAlign w:val="center"/>
          </w:tcPr>
          <w:p w14:paraId="1CD81F9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 days</w:t>
            </w:r>
          </w:p>
        </w:tc>
        <w:tc>
          <w:tcPr>
            <w:tcW w:w="1503" w:type="dxa"/>
            <w:vAlign w:val="center"/>
          </w:tcPr>
          <w:p w14:paraId="2A41D52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7 days</w:t>
            </w:r>
          </w:p>
        </w:tc>
        <w:tc>
          <w:tcPr>
            <w:tcW w:w="1503" w:type="dxa"/>
            <w:vAlign w:val="center"/>
          </w:tcPr>
          <w:p w14:paraId="3A9C04F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14 days</w:t>
            </w:r>
          </w:p>
        </w:tc>
        <w:tc>
          <w:tcPr>
            <w:tcW w:w="1503" w:type="dxa"/>
            <w:vAlign w:val="center"/>
          </w:tcPr>
          <w:p w14:paraId="0E76C3C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28 days</w:t>
            </w:r>
          </w:p>
        </w:tc>
      </w:tr>
      <w:tr w:rsidR="00BF5828" w:rsidRPr="006B2F31" w14:paraId="7E1F0206" w14:textId="77777777" w:rsidTr="00085A7E">
        <w:tc>
          <w:tcPr>
            <w:tcW w:w="1502" w:type="dxa"/>
            <w:vAlign w:val="center"/>
          </w:tcPr>
          <w:p w14:paraId="7E43C95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Cebpd</w:t>
            </w:r>
          </w:p>
        </w:tc>
        <w:tc>
          <w:tcPr>
            <w:tcW w:w="1502" w:type="dxa"/>
            <w:vAlign w:val="center"/>
          </w:tcPr>
          <w:p w14:paraId="099123E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2.69</w:t>
            </w:r>
          </w:p>
        </w:tc>
        <w:tc>
          <w:tcPr>
            <w:tcW w:w="1503" w:type="dxa"/>
            <w:vAlign w:val="center"/>
          </w:tcPr>
          <w:p w14:paraId="201ACEB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2.65</w:t>
            </w:r>
          </w:p>
        </w:tc>
        <w:tc>
          <w:tcPr>
            <w:tcW w:w="1503" w:type="dxa"/>
            <w:vAlign w:val="center"/>
          </w:tcPr>
          <w:p w14:paraId="3F787FF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1.63</w:t>
            </w:r>
          </w:p>
        </w:tc>
        <w:tc>
          <w:tcPr>
            <w:tcW w:w="1503" w:type="dxa"/>
            <w:vAlign w:val="center"/>
          </w:tcPr>
          <w:p w14:paraId="0CD1355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2.34</w:t>
            </w:r>
          </w:p>
        </w:tc>
        <w:tc>
          <w:tcPr>
            <w:tcW w:w="1503" w:type="dxa"/>
            <w:vAlign w:val="center"/>
          </w:tcPr>
          <w:p w14:paraId="50F9117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3.58</w:t>
            </w:r>
          </w:p>
        </w:tc>
      </w:tr>
      <w:tr w:rsidR="00BF5828" w:rsidRPr="006B2F31" w14:paraId="248D8C8B" w14:textId="77777777" w:rsidTr="00085A7E">
        <w:tc>
          <w:tcPr>
            <w:tcW w:w="1502" w:type="dxa"/>
            <w:vAlign w:val="center"/>
          </w:tcPr>
          <w:p w14:paraId="069DA88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Elob</w:t>
            </w:r>
          </w:p>
        </w:tc>
        <w:tc>
          <w:tcPr>
            <w:tcW w:w="1502" w:type="dxa"/>
            <w:vAlign w:val="center"/>
          </w:tcPr>
          <w:p w14:paraId="6957F32D"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2.66</w:t>
            </w:r>
          </w:p>
        </w:tc>
        <w:tc>
          <w:tcPr>
            <w:tcW w:w="1503" w:type="dxa"/>
            <w:vAlign w:val="center"/>
          </w:tcPr>
          <w:p w14:paraId="6E18E9E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2.76</w:t>
            </w:r>
          </w:p>
        </w:tc>
        <w:tc>
          <w:tcPr>
            <w:tcW w:w="1503" w:type="dxa"/>
            <w:vAlign w:val="center"/>
          </w:tcPr>
          <w:p w14:paraId="4CD2139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2.77</w:t>
            </w:r>
          </w:p>
        </w:tc>
        <w:tc>
          <w:tcPr>
            <w:tcW w:w="1503" w:type="dxa"/>
            <w:vAlign w:val="center"/>
          </w:tcPr>
          <w:p w14:paraId="3247600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1.49</w:t>
            </w:r>
          </w:p>
        </w:tc>
        <w:tc>
          <w:tcPr>
            <w:tcW w:w="1503" w:type="dxa"/>
            <w:vAlign w:val="center"/>
          </w:tcPr>
          <w:p w14:paraId="773AC46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2.76</w:t>
            </w:r>
          </w:p>
        </w:tc>
      </w:tr>
      <w:tr w:rsidR="00BF5828" w:rsidRPr="006B2F31" w14:paraId="01C55E4B" w14:textId="77777777" w:rsidTr="00085A7E">
        <w:tc>
          <w:tcPr>
            <w:tcW w:w="1502" w:type="dxa"/>
            <w:vAlign w:val="center"/>
          </w:tcPr>
          <w:p w14:paraId="6555845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Gas5</w:t>
            </w:r>
          </w:p>
        </w:tc>
        <w:tc>
          <w:tcPr>
            <w:tcW w:w="1502" w:type="dxa"/>
            <w:vAlign w:val="center"/>
          </w:tcPr>
          <w:p w14:paraId="1CC2E14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3.77</w:t>
            </w:r>
          </w:p>
        </w:tc>
        <w:tc>
          <w:tcPr>
            <w:tcW w:w="1503" w:type="dxa"/>
            <w:vAlign w:val="center"/>
          </w:tcPr>
          <w:p w14:paraId="7B48912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2.74</w:t>
            </w:r>
          </w:p>
        </w:tc>
        <w:tc>
          <w:tcPr>
            <w:tcW w:w="1503" w:type="dxa"/>
            <w:vAlign w:val="center"/>
          </w:tcPr>
          <w:p w14:paraId="29F50F0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2.50</w:t>
            </w:r>
          </w:p>
        </w:tc>
        <w:tc>
          <w:tcPr>
            <w:tcW w:w="1503" w:type="dxa"/>
            <w:vAlign w:val="center"/>
          </w:tcPr>
          <w:p w14:paraId="394F8B6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3.22</w:t>
            </w:r>
          </w:p>
        </w:tc>
        <w:tc>
          <w:tcPr>
            <w:tcW w:w="1503" w:type="dxa"/>
            <w:vAlign w:val="center"/>
          </w:tcPr>
          <w:p w14:paraId="3BA3461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3.50</w:t>
            </w:r>
          </w:p>
        </w:tc>
      </w:tr>
      <w:tr w:rsidR="00BF5828" w:rsidRPr="006B2F31" w14:paraId="10769C43" w14:textId="77777777" w:rsidTr="00085A7E">
        <w:tc>
          <w:tcPr>
            <w:tcW w:w="1502" w:type="dxa"/>
            <w:vAlign w:val="center"/>
          </w:tcPr>
          <w:p w14:paraId="0BBF069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Rack1</w:t>
            </w:r>
          </w:p>
        </w:tc>
        <w:tc>
          <w:tcPr>
            <w:tcW w:w="1502" w:type="dxa"/>
            <w:vAlign w:val="center"/>
          </w:tcPr>
          <w:p w14:paraId="3A6D84B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3.22</w:t>
            </w:r>
          </w:p>
        </w:tc>
        <w:tc>
          <w:tcPr>
            <w:tcW w:w="1503" w:type="dxa"/>
            <w:vAlign w:val="center"/>
          </w:tcPr>
          <w:p w14:paraId="168821A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2.75</w:t>
            </w:r>
          </w:p>
        </w:tc>
        <w:tc>
          <w:tcPr>
            <w:tcW w:w="1503" w:type="dxa"/>
            <w:vAlign w:val="center"/>
          </w:tcPr>
          <w:p w14:paraId="7F7EF5E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2.49</w:t>
            </w:r>
          </w:p>
        </w:tc>
        <w:tc>
          <w:tcPr>
            <w:tcW w:w="1503" w:type="dxa"/>
            <w:vAlign w:val="center"/>
          </w:tcPr>
          <w:p w14:paraId="44AC85A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1.95</w:t>
            </w:r>
          </w:p>
        </w:tc>
        <w:tc>
          <w:tcPr>
            <w:tcW w:w="1503" w:type="dxa"/>
            <w:vAlign w:val="center"/>
          </w:tcPr>
          <w:p w14:paraId="298FE5F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2.99</w:t>
            </w:r>
          </w:p>
        </w:tc>
      </w:tr>
      <w:tr w:rsidR="00BF5828" w:rsidRPr="006B2F31" w14:paraId="41E8C2F9" w14:textId="77777777" w:rsidTr="00085A7E">
        <w:tc>
          <w:tcPr>
            <w:tcW w:w="1502" w:type="dxa"/>
            <w:vAlign w:val="center"/>
          </w:tcPr>
          <w:p w14:paraId="3155742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Selenof</w:t>
            </w:r>
          </w:p>
        </w:tc>
        <w:tc>
          <w:tcPr>
            <w:tcW w:w="1502" w:type="dxa"/>
            <w:vAlign w:val="center"/>
          </w:tcPr>
          <w:p w14:paraId="3655F6C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2.70</w:t>
            </w:r>
          </w:p>
        </w:tc>
        <w:tc>
          <w:tcPr>
            <w:tcW w:w="1503" w:type="dxa"/>
            <w:vAlign w:val="center"/>
          </w:tcPr>
          <w:p w14:paraId="1AE803E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2.79</w:t>
            </w:r>
          </w:p>
        </w:tc>
        <w:tc>
          <w:tcPr>
            <w:tcW w:w="1503" w:type="dxa"/>
            <w:vAlign w:val="center"/>
          </w:tcPr>
          <w:p w14:paraId="51E9D0A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3.03</w:t>
            </w:r>
          </w:p>
        </w:tc>
        <w:tc>
          <w:tcPr>
            <w:tcW w:w="1503" w:type="dxa"/>
            <w:vAlign w:val="center"/>
          </w:tcPr>
          <w:p w14:paraId="11F6E24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1.64</w:t>
            </w:r>
          </w:p>
        </w:tc>
        <w:tc>
          <w:tcPr>
            <w:tcW w:w="1503" w:type="dxa"/>
            <w:vAlign w:val="center"/>
          </w:tcPr>
          <w:p w14:paraId="4752789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2.62</w:t>
            </w:r>
          </w:p>
        </w:tc>
      </w:tr>
      <w:tr w:rsidR="00BF5828" w:rsidRPr="006B2F31" w14:paraId="10ACEDD4" w14:textId="77777777" w:rsidTr="00085A7E">
        <w:tc>
          <w:tcPr>
            <w:tcW w:w="1502" w:type="dxa"/>
            <w:vAlign w:val="center"/>
          </w:tcPr>
          <w:p w14:paraId="198C91F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Selenok</w:t>
            </w:r>
          </w:p>
        </w:tc>
        <w:tc>
          <w:tcPr>
            <w:tcW w:w="1502" w:type="dxa"/>
            <w:vAlign w:val="center"/>
          </w:tcPr>
          <w:p w14:paraId="40C788F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2.38</w:t>
            </w:r>
          </w:p>
        </w:tc>
        <w:tc>
          <w:tcPr>
            <w:tcW w:w="1503" w:type="dxa"/>
            <w:vAlign w:val="center"/>
          </w:tcPr>
          <w:p w14:paraId="41DE515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2.43</w:t>
            </w:r>
          </w:p>
        </w:tc>
        <w:tc>
          <w:tcPr>
            <w:tcW w:w="1503" w:type="dxa"/>
            <w:vAlign w:val="center"/>
          </w:tcPr>
          <w:p w14:paraId="08E30F6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2.37</w:t>
            </w:r>
          </w:p>
        </w:tc>
        <w:tc>
          <w:tcPr>
            <w:tcW w:w="1503" w:type="dxa"/>
            <w:vAlign w:val="center"/>
          </w:tcPr>
          <w:p w14:paraId="09D2E75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1.63</w:t>
            </w:r>
          </w:p>
        </w:tc>
        <w:tc>
          <w:tcPr>
            <w:tcW w:w="1503" w:type="dxa"/>
            <w:vAlign w:val="center"/>
          </w:tcPr>
          <w:p w14:paraId="7B01D74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2.89</w:t>
            </w:r>
          </w:p>
        </w:tc>
      </w:tr>
      <w:tr w:rsidR="00BF5828" w:rsidRPr="006B2F31" w14:paraId="1ED1B66A" w14:textId="77777777" w:rsidTr="00085A7E">
        <w:tc>
          <w:tcPr>
            <w:tcW w:w="1502" w:type="dxa"/>
            <w:vAlign w:val="center"/>
          </w:tcPr>
          <w:p w14:paraId="552C9D7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Selenom</w:t>
            </w:r>
          </w:p>
        </w:tc>
        <w:tc>
          <w:tcPr>
            <w:tcW w:w="1502" w:type="dxa"/>
            <w:vAlign w:val="center"/>
          </w:tcPr>
          <w:p w14:paraId="2BA24BC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2.39</w:t>
            </w:r>
          </w:p>
        </w:tc>
        <w:tc>
          <w:tcPr>
            <w:tcW w:w="1503" w:type="dxa"/>
            <w:vAlign w:val="center"/>
          </w:tcPr>
          <w:p w14:paraId="0C40FD5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1.93</w:t>
            </w:r>
          </w:p>
        </w:tc>
        <w:tc>
          <w:tcPr>
            <w:tcW w:w="1503" w:type="dxa"/>
            <w:vAlign w:val="center"/>
          </w:tcPr>
          <w:p w14:paraId="3442A38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2.02</w:t>
            </w:r>
          </w:p>
        </w:tc>
        <w:tc>
          <w:tcPr>
            <w:tcW w:w="1503" w:type="dxa"/>
            <w:vAlign w:val="center"/>
          </w:tcPr>
          <w:p w14:paraId="7B87639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1.40</w:t>
            </w:r>
          </w:p>
        </w:tc>
        <w:tc>
          <w:tcPr>
            <w:tcW w:w="1503" w:type="dxa"/>
            <w:vAlign w:val="center"/>
          </w:tcPr>
          <w:p w14:paraId="1404FFB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2.35</w:t>
            </w:r>
          </w:p>
        </w:tc>
      </w:tr>
      <w:tr w:rsidR="00BF5828" w:rsidRPr="006B2F31" w14:paraId="4E0FB178" w14:textId="77777777" w:rsidTr="00085A7E">
        <w:tc>
          <w:tcPr>
            <w:tcW w:w="1502" w:type="dxa"/>
            <w:vAlign w:val="center"/>
          </w:tcPr>
          <w:p w14:paraId="6E4FD22D"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Selenop</w:t>
            </w:r>
          </w:p>
        </w:tc>
        <w:tc>
          <w:tcPr>
            <w:tcW w:w="1502" w:type="dxa"/>
            <w:vAlign w:val="center"/>
          </w:tcPr>
          <w:p w14:paraId="073F081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3.65</w:t>
            </w:r>
          </w:p>
        </w:tc>
        <w:tc>
          <w:tcPr>
            <w:tcW w:w="1503" w:type="dxa"/>
            <w:vAlign w:val="center"/>
          </w:tcPr>
          <w:p w14:paraId="18269BC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3.16</w:t>
            </w:r>
          </w:p>
        </w:tc>
        <w:tc>
          <w:tcPr>
            <w:tcW w:w="1503" w:type="dxa"/>
            <w:vAlign w:val="center"/>
          </w:tcPr>
          <w:p w14:paraId="1C31C11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2.99</w:t>
            </w:r>
          </w:p>
        </w:tc>
        <w:tc>
          <w:tcPr>
            <w:tcW w:w="1503" w:type="dxa"/>
            <w:vAlign w:val="center"/>
          </w:tcPr>
          <w:p w14:paraId="3BCA170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2.73</w:t>
            </w:r>
          </w:p>
        </w:tc>
        <w:tc>
          <w:tcPr>
            <w:tcW w:w="1503" w:type="dxa"/>
            <w:vAlign w:val="center"/>
          </w:tcPr>
          <w:p w14:paraId="52E248CD"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4.47</w:t>
            </w:r>
          </w:p>
        </w:tc>
      </w:tr>
      <w:tr w:rsidR="00BF5828" w:rsidRPr="006B2F31" w14:paraId="6F5E7B56" w14:textId="77777777" w:rsidTr="00085A7E">
        <w:tc>
          <w:tcPr>
            <w:tcW w:w="1502" w:type="dxa"/>
            <w:vAlign w:val="center"/>
          </w:tcPr>
          <w:p w14:paraId="4B182FF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Selenow</w:t>
            </w:r>
          </w:p>
        </w:tc>
        <w:tc>
          <w:tcPr>
            <w:tcW w:w="1502" w:type="dxa"/>
            <w:vAlign w:val="center"/>
          </w:tcPr>
          <w:p w14:paraId="79F6169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3.04</w:t>
            </w:r>
          </w:p>
        </w:tc>
        <w:tc>
          <w:tcPr>
            <w:tcW w:w="1503" w:type="dxa"/>
            <w:vAlign w:val="center"/>
          </w:tcPr>
          <w:p w14:paraId="70CD673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2.92</w:t>
            </w:r>
          </w:p>
        </w:tc>
        <w:tc>
          <w:tcPr>
            <w:tcW w:w="1503" w:type="dxa"/>
            <w:vAlign w:val="center"/>
          </w:tcPr>
          <w:p w14:paraId="12FE549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3.36</w:t>
            </w:r>
          </w:p>
        </w:tc>
        <w:tc>
          <w:tcPr>
            <w:tcW w:w="1503" w:type="dxa"/>
            <w:vAlign w:val="center"/>
          </w:tcPr>
          <w:p w14:paraId="420119E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2.20</w:t>
            </w:r>
          </w:p>
        </w:tc>
        <w:tc>
          <w:tcPr>
            <w:tcW w:w="1503" w:type="dxa"/>
            <w:vAlign w:val="center"/>
          </w:tcPr>
          <w:p w14:paraId="3F4C5B7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3.28</w:t>
            </w:r>
          </w:p>
        </w:tc>
      </w:tr>
      <w:tr w:rsidR="00BF5828" w:rsidRPr="006B2F31" w14:paraId="79F496B7" w14:textId="77777777" w:rsidTr="00085A7E">
        <w:tc>
          <w:tcPr>
            <w:tcW w:w="1502" w:type="dxa"/>
            <w:vAlign w:val="center"/>
          </w:tcPr>
          <w:p w14:paraId="16AE838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Sem1</w:t>
            </w:r>
          </w:p>
        </w:tc>
        <w:tc>
          <w:tcPr>
            <w:tcW w:w="1502" w:type="dxa"/>
            <w:vAlign w:val="center"/>
          </w:tcPr>
          <w:p w14:paraId="3FF8EAD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2.93</w:t>
            </w:r>
          </w:p>
        </w:tc>
        <w:tc>
          <w:tcPr>
            <w:tcW w:w="1503" w:type="dxa"/>
            <w:vAlign w:val="center"/>
          </w:tcPr>
          <w:p w14:paraId="4B55622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3.02</w:t>
            </w:r>
          </w:p>
        </w:tc>
        <w:tc>
          <w:tcPr>
            <w:tcW w:w="1503" w:type="dxa"/>
            <w:vAlign w:val="center"/>
          </w:tcPr>
          <w:p w14:paraId="25A2CF7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3.05</w:t>
            </w:r>
          </w:p>
        </w:tc>
        <w:tc>
          <w:tcPr>
            <w:tcW w:w="1503" w:type="dxa"/>
            <w:vAlign w:val="center"/>
          </w:tcPr>
          <w:p w14:paraId="71FE515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1.63</w:t>
            </w:r>
          </w:p>
        </w:tc>
        <w:tc>
          <w:tcPr>
            <w:tcW w:w="1503" w:type="dxa"/>
            <w:vAlign w:val="center"/>
          </w:tcPr>
          <w:p w14:paraId="44833E2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2.72</w:t>
            </w:r>
          </w:p>
        </w:tc>
      </w:tr>
      <w:tr w:rsidR="00BF5828" w:rsidRPr="006B2F31" w14:paraId="3973B830" w14:textId="77777777" w:rsidTr="00085A7E">
        <w:tc>
          <w:tcPr>
            <w:tcW w:w="1502" w:type="dxa"/>
            <w:vAlign w:val="center"/>
          </w:tcPr>
          <w:p w14:paraId="3746D2E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Atp6v0c</w:t>
            </w:r>
          </w:p>
        </w:tc>
        <w:tc>
          <w:tcPr>
            <w:tcW w:w="1502" w:type="dxa"/>
            <w:vAlign w:val="center"/>
          </w:tcPr>
          <w:p w14:paraId="3316D66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3.02</w:t>
            </w:r>
          </w:p>
        </w:tc>
        <w:tc>
          <w:tcPr>
            <w:tcW w:w="1503" w:type="dxa"/>
            <w:vAlign w:val="center"/>
          </w:tcPr>
          <w:p w14:paraId="0E2BA3A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2.40</w:t>
            </w:r>
          </w:p>
        </w:tc>
        <w:tc>
          <w:tcPr>
            <w:tcW w:w="1503" w:type="dxa"/>
            <w:vAlign w:val="center"/>
          </w:tcPr>
          <w:p w14:paraId="3B330C8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2.14</w:t>
            </w:r>
          </w:p>
        </w:tc>
        <w:tc>
          <w:tcPr>
            <w:tcW w:w="1503" w:type="dxa"/>
            <w:vAlign w:val="center"/>
          </w:tcPr>
          <w:p w14:paraId="3074410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1.84</w:t>
            </w:r>
          </w:p>
        </w:tc>
        <w:tc>
          <w:tcPr>
            <w:tcW w:w="1503" w:type="dxa"/>
            <w:vAlign w:val="center"/>
          </w:tcPr>
          <w:p w14:paraId="76EE926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2.11</w:t>
            </w:r>
          </w:p>
        </w:tc>
      </w:tr>
      <w:tr w:rsidR="00BF5828" w:rsidRPr="006B2F31" w14:paraId="43BBBF8D" w14:textId="77777777" w:rsidTr="00085A7E">
        <w:tc>
          <w:tcPr>
            <w:tcW w:w="1502" w:type="dxa"/>
            <w:vAlign w:val="center"/>
          </w:tcPr>
          <w:p w14:paraId="276DCE9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Vps28</w:t>
            </w:r>
          </w:p>
        </w:tc>
        <w:tc>
          <w:tcPr>
            <w:tcW w:w="1502" w:type="dxa"/>
            <w:vAlign w:val="center"/>
          </w:tcPr>
          <w:p w14:paraId="3A9B902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1.15</w:t>
            </w:r>
          </w:p>
        </w:tc>
        <w:tc>
          <w:tcPr>
            <w:tcW w:w="1503" w:type="dxa"/>
            <w:vAlign w:val="center"/>
          </w:tcPr>
          <w:p w14:paraId="7CF640C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1.51</w:t>
            </w:r>
          </w:p>
        </w:tc>
        <w:tc>
          <w:tcPr>
            <w:tcW w:w="1503" w:type="dxa"/>
            <w:vAlign w:val="center"/>
          </w:tcPr>
          <w:p w14:paraId="0E20AC0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1.57</w:t>
            </w:r>
          </w:p>
        </w:tc>
        <w:tc>
          <w:tcPr>
            <w:tcW w:w="1503" w:type="dxa"/>
            <w:vAlign w:val="center"/>
          </w:tcPr>
          <w:p w14:paraId="16743AD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1.19</w:t>
            </w:r>
          </w:p>
        </w:tc>
        <w:tc>
          <w:tcPr>
            <w:tcW w:w="1503" w:type="dxa"/>
            <w:vAlign w:val="center"/>
          </w:tcPr>
          <w:p w14:paraId="04015F9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1.30</w:t>
            </w:r>
          </w:p>
        </w:tc>
      </w:tr>
      <w:tr w:rsidR="00BF5828" w:rsidRPr="006B2F31" w14:paraId="1FBCD383" w14:textId="77777777" w:rsidTr="00085A7E">
        <w:tc>
          <w:tcPr>
            <w:tcW w:w="1502" w:type="dxa"/>
            <w:vAlign w:val="center"/>
          </w:tcPr>
          <w:p w14:paraId="14B04C7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Nme2</w:t>
            </w:r>
          </w:p>
        </w:tc>
        <w:tc>
          <w:tcPr>
            <w:tcW w:w="1502" w:type="dxa"/>
            <w:vAlign w:val="center"/>
          </w:tcPr>
          <w:p w14:paraId="4A71DBE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2.81</w:t>
            </w:r>
          </w:p>
        </w:tc>
        <w:tc>
          <w:tcPr>
            <w:tcW w:w="1503" w:type="dxa"/>
            <w:vAlign w:val="center"/>
          </w:tcPr>
          <w:p w14:paraId="0D0D032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2.62</w:t>
            </w:r>
          </w:p>
        </w:tc>
        <w:tc>
          <w:tcPr>
            <w:tcW w:w="1503" w:type="dxa"/>
            <w:vAlign w:val="center"/>
          </w:tcPr>
          <w:p w14:paraId="473DF24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2.51</w:t>
            </w:r>
          </w:p>
        </w:tc>
        <w:tc>
          <w:tcPr>
            <w:tcW w:w="1503" w:type="dxa"/>
            <w:vAlign w:val="center"/>
          </w:tcPr>
          <w:p w14:paraId="2E83D60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1.79</w:t>
            </w:r>
          </w:p>
        </w:tc>
        <w:tc>
          <w:tcPr>
            <w:tcW w:w="1503" w:type="dxa"/>
            <w:vAlign w:val="center"/>
          </w:tcPr>
          <w:p w14:paraId="12B75EC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2.90</w:t>
            </w:r>
          </w:p>
        </w:tc>
      </w:tr>
      <w:tr w:rsidR="00BF5828" w:rsidRPr="006B2F31" w14:paraId="18862F0F" w14:textId="77777777" w:rsidTr="00085A7E">
        <w:tc>
          <w:tcPr>
            <w:tcW w:w="1502" w:type="dxa"/>
            <w:vAlign w:val="center"/>
          </w:tcPr>
          <w:p w14:paraId="2A0B17C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Lgals1</w:t>
            </w:r>
          </w:p>
        </w:tc>
        <w:tc>
          <w:tcPr>
            <w:tcW w:w="1502" w:type="dxa"/>
            <w:vAlign w:val="center"/>
          </w:tcPr>
          <w:p w14:paraId="069C7A0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2.65</w:t>
            </w:r>
          </w:p>
        </w:tc>
        <w:tc>
          <w:tcPr>
            <w:tcW w:w="1503" w:type="dxa"/>
            <w:vAlign w:val="center"/>
          </w:tcPr>
          <w:p w14:paraId="3C010EC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0.95</w:t>
            </w:r>
          </w:p>
        </w:tc>
        <w:tc>
          <w:tcPr>
            <w:tcW w:w="1503" w:type="dxa"/>
            <w:vAlign w:val="center"/>
          </w:tcPr>
          <w:p w14:paraId="0FA05AF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0.87</w:t>
            </w:r>
          </w:p>
        </w:tc>
        <w:tc>
          <w:tcPr>
            <w:tcW w:w="1503" w:type="dxa"/>
            <w:vAlign w:val="center"/>
          </w:tcPr>
          <w:p w14:paraId="15CE361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2.26</w:t>
            </w:r>
          </w:p>
        </w:tc>
        <w:tc>
          <w:tcPr>
            <w:tcW w:w="1503" w:type="dxa"/>
            <w:vAlign w:val="center"/>
          </w:tcPr>
          <w:p w14:paraId="22FE802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1.73</w:t>
            </w:r>
          </w:p>
        </w:tc>
      </w:tr>
      <w:tr w:rsidR="00BF5828" w:rsidRPr="006B2F31" w14:paraId="1B785DB3" w14:textId="77777777" w:rsidTr="00085A7E">
        <w:tc>
          <w:tcPr>
            <w:tcW w:w="1502" w:type="dxa"/>
            <w:vAlign w:val="center"/>
          </w:tcPr>
          <w:p w14:paraId="6EC8075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Socs3</w:t>
            </w:r>
          </w:p>
        </w:tc>
        <w:tc>
          <w:tcPr>
            <w:tcW w:w="1502" w:type="dxa"/>
            <w:vAlign w:val="center"/>
          </w:tcPr>
          <w:p w14:paraId="0ACEC45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1.99</w:t>
            </w:r>
          </w:p>
        </w:tc>
        <w:tc>
          <w:tcPr>
            <w:tcW w:w="1503" w:type="dxa"/>
            <w:vAlign w:val="center"/>
          </w:tcPr>
          <w:p w14:paraId="394E08F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1.17</w:t>
            </w:r>
          </w:p>
        </w:tc>
        <w:tc>
          <w:tcPr>
            <w:tcW w:w="1503" w:type="dxa"/>
            <w:vAlign w:val="center"/>
          </w:tcPr>
          <w:p w14:paraId="01BA54F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0.76</w:t>
            </w:r>
          </w:p>
        </w:tc>
        <w:tc>
          <w:tcPr>
            <w:tcW w:w="1503" w:type="dxa"/>
            <w:vAlign w:val="center"/>
          </w:tcPr>
          <w:p w14:paraId="6459E61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1.87</w:t>
            </w:r>
          </w:p>
        </w:tc>
        <w:tc>
          <w:tcPr>
            <w:tcW w:w="1503" w:type="dxa"/>
            <w:vAlign w:val="center"/>
          </w:tcPr>
          <w:p w14:paraId="67DCC4D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3.16</w:t>
            </w:r>
          </w:p>
        </w:tc>
      </w:tr>
      <w:tr w:rsidR="00BF5828" w:rsidRPr="006B2F31" w14:paraId="730E679E" w14:textId="77777777" w:rsidTr="00085A7E">
        <w:tc>
          <w:tcPr>
            <w:tcW w:w="1502" w:type="dxa"/>
            <w:vAlign w:val="center"/>
          </w:tcPr>
          <w:p w14:paraId="73AF5D9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Tmem176b</w:t>
            </w:r>
          </w:p>
        </w:tc>
        <w:tc>
          <w:tcPr>
            <w:tcW w:w="1502" w:type="dxa"/>
            <w:vAlign w:val="center"/>
          </w:tcPr>
          <w:p w14:paraId="29A6413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1.42</w:t>
            </w:r>
          </w:p>
        </w:tc>
        <w:tc>
          <w:tcPr>
            <w:tcW w:w="1503" w:type="dxa"/>
            <w:vAlign w:val="center"/>
          </w:tcPr>
          <w:p w14:paraId="6A20F9C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0.70</w:t>
            </w:r>
          </w:p>
        </w:tc>
        <w:tc>
          <w:tcPr>
            <w:tcW w:w="1503" w:type="dxa"/>
            <w:vAlign w:val="center"/>
          </w:tcPr>
          <w:p w14:paraId="0E1A36F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0.75</w:t>
            </w:r>
          </w:p>
        </w:tc>
        <w:tc>
          <w:tcPr>
            <w:tcW w:w="1503" w:type="dxa"/>
            <w:vAlign w:val="center"/>
          </w:tcPr>
          <w:p w14:paraId="1EBC1B2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1.45</w:t>
            </w:r>
          </w:p>
        </w:tc>
        <w:tc>
          <w:tcPr>
            <w:tcW w:w="1503" w:type="dxa"/>
            <w:vAlign w:val="center"/>
          </w:tcPr>
          <w:p w14:paraId="316B0E3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0.99</w:t>
            </w:r>
          </w:p>
        </w:tc>
      </w:tr>
      <w:tr w:rsidR="00BF5828" w:rsidRPr="006B2F31" w14:paraId="59AF773D" w14:textId="77777777" w:rsidTr="00085A7E">
        <w:tc>
          <w:tcPr>
            <w:tcW w:w="1502" w:type="dxa"/>
            <w:vAlign w:val="center"/>
          </w:tcPr>
          <w:p w14:paraId="0AAA055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Emp1</w:t>
            </w:r>
          </w:p>
        </w:tc>
        <w:tc>
          <w:tcPr>
            <w:tcW w:w="1502" w:type="dxa"/>
            <w:vAlign w:val="center"/>
          </w:tcPr>
          <w:p w14:paraId="379BDF0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1.22</w:t>
            </w:r>
          </w:p>
        </w:tc>
        <w:tc>
          <w:tcPr>
            <w:tcW w:w="1503" w:type="dxa"/>
            <w:vAlign w:val="center"/>
          </w:tcPr>
          <w:p w14:paraId="71C701A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1.19</w:t>
            </w:r>
          </w:p>
        </w:tc>
        <w:tc>
          <w:tcPr>
            <w:tcW w:w="1503" w:type="dxa"/>
            <w:vAlign w:val="center"/>
          </w:tcPr>
          <w:p w14:paraId="7A96564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1.18</w:t>
            </w:r>
          </w:p>
        </w:tc>
        <w:tc>
          <w:tcPr>
            <w:tcW w:w="1503" w:type="dxa"/>
            <w:vAlign w:val="center"/>
          </w:tcPr>
          <w:p w14:paraId="7478C51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1.44</w:t>
            </w:r>
          </w:p>
        </w:tc>
        <w:tc>
          <w:tcPr>
            <w:tcW w:w="1503" w:type="dxa"/>
            <w:vAlign w:val="center"/>
          </w:tcPr>
          <w:p w14:paraId="582D374D"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2.43</w:t>
            </w:r>
          </w:p>
        </w:tc>
      </w:tr>
      <w:tr w:rsidR="00BF5828" w:rsidRPr="006B2F31" w14:paraId="2823F9CF" w14:textId="77777777" w:rsidTr="00085A7E">
        <w:tc>
          <w:tcPr>
            <w:tcW w:w="1502" w:type="dxa"/>
            <w:vAlign w:val="center"/>
          </w:tcPr>
          <w:p w14:paraId="3B7E391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Capg</w:t>
            </w:r>
          </w:p>
        </w:tc>
        <w:tc>
          <w:tcPr>
            <w:tcW w:w="1502" w:type="dxa"/>
            <w:vAlign w:val="center"/>
          </w:tcPr>
          <w:p w14:paraId="7460668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1.40</w:t>
            </w:r>
          </w:p>
        </w:tc>
        <w:tc>
          <w:tcPr>
            <w:tcW w:w="1503" w:type="dxa"/>
            <w:vAlign w:val="center"/>
          </w:tcPr>
          <w:p w14:paraId="314AB7C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1.16</w:t>
            </w:r>
          </w:p>
        </w:tc>
        <w:tc>
          <w:tcPr>
            <w:tcW w:w="1503" w:type="dxa"/>
            <w:vAlign w:val="center"/>
          </w:tcPr>
          <w:p w14:paraId="1A78A8F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1.15</w:t>
            </w:r>
          </w:p>
        </w:tc>
        <w:tc>
          <w:tcPr>
            <w:tcW w:w="1503" w:type="dxa"/>
            <w:vAlign w:val="center"/>
          </w:tcPr>
          <w:p w14:paraId="21F66EC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0.46</w:t>
            </w:r>
          </w:p>
        </w:tc>
        <w:tc>
          <w:tcPr>
            <w:tcW w:w="1503" w:type="dxa"/>
            <w:vAlign w:val="center"/>
          </w:tcPr>
          <w:p w14:paraId="0605D0B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0.87</w:t>
            </w:r>
          </w:p>
        </w:tc>
      </w:tr>
      <w:tr w:rsidR="00BF5828" w:rsidRPr="006B2F31" w14:paraId="64E41F70" w14:textId="77777777" w:rsidTr="00085A7E">
        <w:tc>
          <w:tcPr>
            <w:tcW w:w="1502" w:type="dxa"/>
            <w:vAlign w:val="center"/>
          </w:tcPr>
          <w:p w14:paraId="0733361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Ndfip1</w:t>
            </w:r>
          </w:p>
        </w:tc>
        <w:tc>
          <w:tcPr>
            <w:tcW w:w="1502" w:type="dxa"/>
            <w:vAlign w:val="center"/>
          </w:tcPr>
          <w:p w14:paraId="52AE090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0.76</w:t>
            </w:r>
          </w:p>
        </w:tc>
        <w:tc>
          <w:tcPr>
            <w:tcW w:w="1503" w:type="dxa"/>
            <w:vAlign w:val="center"/>
          </w:tcPr>
          <w:p w14:paraId="799D7675"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1.51</w:t>
            </w:r>
          </w:p>
        </w:tc>
        <w:tc>
          <w:tcPr>
            <w:tcW w:w="1503" w:type="dxa"/>
            <w:vAlign w:val="center"/>
          </w:tcPr>
          <w:p w14:paraId="28D65EB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1.41</w:t>
            </w:r>
          </w:p>
        </w:tc>
        <w:tc>
          <w:tcPr>
            <w:tcW w:w="1503" w:type="dxa"/>
            <w:vAlign w:val="center"/>
          </w:tcPr>
          <w:p w14:paraId="42FB6D4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0.55</w:t>
            </w:r>
          </w:p>
        </w:tc>
        <w:tc>
          <w:tcPr>
            <w:tcW w:w="1503" w:type="dxa"/>
            <w:vAlign w:val="center"/>
          </w:tcPr>
          <w:p w14:paraId="429B8FB0"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1.30</w:t>
            </w:r>
          </w:p>
        </w:tc>
      </w:tr>
    </w:tbl>
    <w:p w14:paraId="1E96F6FD" w14:textId="77777777" w:rsidR="00BF5828" w:rsidRPr="006B2F31" w:rsidRDefault="00BF5828" w:rsidP="00BF5828">
      <w:pPr>
        <w:spacing w:line="360" w:lineRule="auto"/>
        <w:jc w:val="both"/>
        <w:rPr>
          <w:rFonts w:ascii="Helvetica" w:hAnsi="Helvetica"/>
          <w:color w:val="000000" w:themeColor="text1"/>
          <w:sz w:val="22"/>
          <w:szCs w:val="22"/>
        </w:rPr>
      </w:pPr>
    </w:p>
    <w:p w14:paraId="208DFF96"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lastRenderedPageBreak/>
        <w:t xml:space="preserve">Supplementary Table </w:t>
      </w:r>
      <w:r>
        <w:rPr>
          <w:rFonts w:ascii="Helvetica" w:hAnsi="Helvetica"/>
          <w:b/>
          <w:bCs/>
          <w:color w:val="000000" w:themeColor="text1"/>
          <w:sz w:val="22"/>
          <w:szCs w:val="22"/>
        </w:rPr>
        <w:t>6</w:t>
      </w:r>
      <w:r w:rsidRPr="006B2F31">
        <w:rPr>
          <w:rFonts w:ascii="Helvetica" w:hAnsi="Helvetica"/>
          <w:b/>
          <w:bCs/>
          <w:color w:val="000000" w:themeColor="text1"/>
          <w:sz w:val="22"/>
          <w:szCs w:val="22"/>
        </w:rPr>
        <w:t>.</w:t>
      </w:r>
      <w:r w:rsidRPr="006B2F31">
        <w:rPr>
          <w:rFonts w:ascii="Helvetica" w:hAnsi="Helvetica"/>
          <w:color w:val="000000" w:themeColor="text1"/>
          <w:sz w:val="22"/>
          <w:szCs w:val="22"/>
        </w:rPr>
        <w:t xml:space="preserve"> </w:t>
      </w:r>
      <w:r w:rsidRPr="006B2F31">
        <w:rPr>
          <w:rFonts w:ascii="Helvetica" w:hAnsi="Helvetica"/>
          <w:b/>
          <w:bCs/>
          <w:color w:val="000000" w:themeColor="text1"/>
          <w:sz w:val="22"/>
          <w:szCs w:val="22"/>
        </w:rPr>
        <w:t>Top marker and GO term analyses of human coronary endothelial cell clusters.</w:t>
      </w:r>
      <w:r w:rsidRPr="006B2F31">
        <w:rPr>
          <w:rFonts w:ascii="Helvetica" w:hAnsi="Helvetica"/>
          <w:color w:val="000000" w:themeColor="text1"/>
          <w:sz w:val="22"/>
          <w:szCs w:val="22"/>
        </w:rPr>
        <w:t xml:space="preserve"> Genes enriched in individual clusters were identified as the cluster markers. The markers were ranked by the adjusted </w:t>
      </w:r>
      <w:r w:rsidRPr="006B2F31">
        <w:rPr>
          <w:rFonts w:ascii="Helvetica" w:hAnsi="Helvetica"/>
          <w:i/>
          <w:iCs/>
          <w:color w:val="000000" w:themeColor="text1"/>
          <w:sz w:val="22"/>
          <w:szCs w:val="22"/>
        </w:rPr>
        <w:t xml:space="preserve">P </w:t>
      </w:r>
      <w:r w:rsidRPr="006B2F31">
        <w:rPr>
          <w:rFonts w:ascii="Helvetica" w:hAnsi="Helvetica"/>
          <w:color w:val="000000" w:themeColor="text1"/>
          <w:sz w:val="22"/>
          <w:szCs w:val="22"/>
        </w:rPr>
        <w:t xml:space="preserve">values and average log2FC and the top 20 markers that satisfied adjusted </w:t>
      </w:r>
      <w:r w:rsidRPr="006B2F31">
        <w:rPr>
          <w:rFonts w:ascii="Helvetica" w:hAnsi="Helvetica"/>
          <w:i/>
          <w:iCs/>
          <w:color w:val="000000" w:themeColor="text1"/>
          <w:sz w:val="22"/>
          <w:szCs w:val="22"/>
        </w:rPr>
        <w:t>P</w:t>
      </w:r>
      <w:r w:rsidRPr="006B2F31">
        <w:rPr>
          <w:rFonts w:ascii="Helvetica" w:hAnsi="Helvetica"/>
          <w:color w:val="000000" w:themeColor="text1"/>
          <w:sz w:val="22"/>
          <w:szCs w:val="22"/>
        </w:rPr>
        <w:t xml:space="preserve"> &lt; 0.05 were listed below. </w:t>
      </w:r>
    </w:p>
    <w:tbl>
      <w:tblPr>
        <w:tblStyle w:val="TableGrid"/>
        <w:tblW w:w="9067" w:type="dxa"/>
        <w:tblLook w:val="04A0" w:firstRow="1" w:lastRow="0" w:firstColumn="1" w:lastColumn="0" w:noHBand="0" w:noVBand="1"/>
      </w:tblPr>
      <w:tblGrid>
        <w:gridCol w:w="928"/>
        <w:gridCol w:w="2753"/>
        <w:gridCol w:w="5386"/>
      </w:tblGrid>
      <w:tr w:rsidR="00BF5828" w:rsidRPr="006B2F31" w14:paraId="2D729331" w14:textId="77777777" w:rsidTr="00085A7E">
        <w:tc>
          <w:tcPr>
            <w:tcW w:w="928" w:type="dxa"/>
          </w:tcPr>
          <w:p w14:paraId="0292CF6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 xml:space="preserve">Cluster </w:t>
            </w:r>
          </w:p>
        </w:tc>
        <w:tc>
          <w:tcPr>
            <w:tcW w:w="2753" w:type="dxa"/>
          </w:tcPr>
          <w:p w14:paraId="552B2E7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Top markers</w:t>
            </w:r>
          </w:p>
        </w:tc>
        <w:tc>
          <w:tcPr>
            <w:tcW w:w="5386" w:type="dxa"/>
          </w:tcPr>
          <w:p w14:paraId="74A307E3"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Top GO terms</w:t>
            </w:r>
          </w:p>
        </w:tc>
      </w:tr>
      <w:tr w:rsidR="00BF5828" w:rsidRPr="006B2F31" w14:paraId="63A9910D" w14:textId="77777777" w:rsidTr="00085A7E">
        <w:tc>
          <w:tcPr>
            <w:tcW w:w="928" w:type="dxa"/>
          </w:tcPr>
          <w:p w14:paraId="1F857ED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0</w:t>
            </w:r>
          </w:p>
        </w:tc>
        <w:tc>
          <w:tcPr>
            <w:tcW w:w="2753" w:type="dxa"/>
          </w:tcPr>
          <w:p w14:paraId="5F60C9BD"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CDH11, POSTN, COL3A1, CGNL1, LEPR, SAT1, CLU, PROCR, FBLN2, CCDC80, NPR3, TIMP1, COLEC11, LTC4S, SLC6A4, FN1, APCDD1, CTHRC1, INHBA, NPPC</w:t>
            </w:r>
          </w:p>
        </w:tc>
        <w:tc>
          <w:tcPr>
            <w:tcW w:w="5386" w:type="dxa"/>
          </w:tcPr>
          <w:p w14:paraId="1F282F4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Translational initiation, viral transcription, nuclear-transcribed mRNA catabolic process, nonsense-mediated decay, SRP-dependent cotranslational protein targeting to membrane, cytoplasm translation, ribosomal large subunit assembly, maturation of SSU-rRNA from tricistronic rRNA transcript, ribosomal small subunit assembly, heterophilic cell-cell adhesion via plasma membrane cell adhesion, calcium-dependent cell-cell adhesion via plasma membrane cell adhesion molecule</w:t>
            </w:r>
          </w:p>
        </w:tc>
      </w:tr>
      <w:tr w:rsidR="00BF5828" w:rsidRPr="006B2F31" w14:paraId="62F5B10D" w14:textId="77777777" w:rsidTr="00085A7E">
        <w:tc>
          <w:tcPr>
            <w:tcW w:w="928" w:type="dxa"/>
          </w:tcPr>
          <w:p w14:paraId="7B2E81A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1</w:t>
            </w:r>
          </w:p>
        </w:tc>
        <w:tc>
          <w:tcPr>
            <w:tcW w:w="2753" w:type="dxa"/>
          </w:tcPr>
          <w:p w14:paraId="4230CD04"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A2M, CD36, TMSB4XP4, AC104389.1, FABP4, MTATP6P1, H19, FABP5P7, IGF2, RGCC, COL4A1, COL15A1, RP5-857K21.11, FMO2, KDR, MGLL, COL4A2, ITGA6</w:t>
            </w:r>
          </w:p>
        </w:tc>
        <w:tc>
          <w:tcPr>
            <w:tcW w:w="5386" w:type="dxa"/>
          </w:tcPr>
          <w:p w14:paraId="6535FB4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Angiogenesis, maintenance of blood-brain barrier, vesicle transport along actin filament, negative regulation of dendrite development, negative regulation of endothelial cell proliferation, platelet aggregation, protein localisation to adherens junction, antigen processing and presentation of exogenous peptide antigen via MHC class I, TAP-independent, positive regulation of endothelial cell proliferation, positive regulation of GTPase activity</w:t>
            </w:r>
          </w:p>
        </w:tc>
      </w:tr>
      <w:tr w:rsidR="00BF5828" w:rsidRPr="006B2F31" w14:paraId="5FAD0FBA" w14:textId="77777777" w:rsidTr="00085A7E">
        <w:tc>
          <w:tcPr>
            <w:tcW w:w="928" w:type="dxa"/>
          </w:tcPr>
          <w:p w14:paraId="06962CE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2</w:t>
            </w:r>
          </w:p>
        </w:tc>
        <w:tc>
          <w:tcPr>
            <w:tcW w:w="2753" w:type="dxa"/>
          </w:tcPr>
          <w:p w14:paraId="4A45199E"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COL15A1, IL32, CLDN5, TM4SF18, CAV1, COL4A1, GNG11, CA4, FABP5, LGALS1, IGFBP7, COL4A2, TNNT3, C1orf54, S100A16, GYPC, IGFBP2, IGFBP3, FABP4, CCND1</w:t>
            </w:r>
          </w:p>
        </w:tc>
        <w:tc>
          <w:tcPr>
            <w:tcW w:w="5386" w:type="dxa"/>
          </w:tcPr>
          <w:p w14:paraId="57F4A6B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Positive regulation of cell migration, angiogenesis, Fc-gamma receptor signalling pathway involved in phagocytosis, negative regulation of endothelial cell proliferation, vascular endothelial growth factor receptor signalling pathway, interleukin-12-mediated signalling pathway, basement membrane organisation, regulation of cell shape, postsynaptic actin cytoskeleton organisation, negative regulation of blood vessel endothelial cell migration</w:t>
            </w:r>
          </w:p>
        </w:tc>
      </w:tr>
      <w:tr w:rsidR="00BF5828" w:rsidRPr="006B2F31" w14:paraId="33EFFC61" w14:textId="77777777" w:rsidTr="00085A7E">
        <w:tc>
          <w:tcPr>
            <w:tcW w:w="928" w:type="dxa"/>
          </w:tcPr>
          <w:p w14:paraId="0D412A77"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lastRenderedPageBreak/>
              <w:t>3</w:t>
            </w:r>
          </w:p>
        </w:tc>
        <w:tc>
          <w:tcPr>
            <w:tcW w:w="2753" w:type="dxa"/>
          </w:tcPr>
          <w:p w14:paraId="1806CD2E"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MYL7, CSRP3, AcTC1, TNNT2, CKM, TPM1, MYL2, MYH7, CRYAB, TNNI3, NPPA, TNNC1, HSPB7, TTN, MB, COX6A2, ANKRD1, COX7A1, MYH6, AP000251.3</w:t>
            </w:r>
          </w:p>
        </w:tc>
        <w:tc>
          <w:tcPr>
            <w:tcW w:w="5386" w:type="dxa"/>
          </w:tcPr>
          <w:p w14:paraId="57FA2F2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Muscle filament sliding, cardiac myofibril assembly, sarcomere organisation, cardiac muscle contraction, mitochondrial ATP synthesis coupled electron transport, regulation of cardiac muscle contraction by regulation of the release of sequestered calcium ion, skeletal muscle thin filament assembly, cellular response to caffeine, atrial cardiac muscle cell action potential, membrane depolarisation during cardiac muscle cell action potential</w:t>
            </w:r>
          </w:p>
        </w:tc>
      </w:tr>
      <w:tr w:rsidR="00BF5828" w:rsidRPr="006B2F31" w14:paraId="72E5A917" w14:textId="77777777" w:rsidTr="00085A7E">
        <w:tc>
          <w:tcPr>
            <w:tcW w:w="928" w:type="dxa"/>
          </w:tcPr>
          <w:p w14:paraId="18B1EFD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4</w:t>
            </w:r>
          </w:p>
        </w:tc>
        <w:tc>
          <w:tcPr>
            <w:tcW w:w="2753" w:type="dxa"/>
          </w:tcPr>
          <w:p w14:paraId="7D4A62A4"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GJA5, FBLN5, TSPAN2, SEMA3G, SERPINE2, PCSKS, CLDN5, SRGN, JAG1, HEY1, CXCL12, MECOM, JAM2, CLEC14A, PPA1, IGFBP3, DKK2, KCTD12, ELN, SULF1</w:t>
            </w:r>
          </w:p>
        </w:tc>
        <w:tc>
          <w:tcPr>
            <w:tcW w:w="5386" w:type="dxa"/>
          </w:tcPr>
          <w:p w14:paraId="29B72A7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Negative regulation of protein binding, platelet degranulation, extracellular matrix organisation, positive regulation of cell differentiation, heart trabecula formation, negative regulation of cell migration, protein localisation to bicellular tight junction, response to interferon-alpha, negative regulation of phosphoprotein phosphatase activity, blood vessel remodelling</w:t>
            </w:r>
          </w:p>
        </w:tc>
      </w:tr>
      <w:tr w:rsidR="00BF5828" w:rsidRPr="006B2F31" w14:paraId="591D424C" w14:textId="77777777" w:rsidTr="00085A7E">
        <w:tc>
          <w:tcPr>
            <w:tcW w:w="928" w:type="dxa"/>
          </w:tcPr>
          <w:p w14:paraId="6F94D39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5</w:t>
            </w:r>
          </w:p>
        </w:tc>
        <w:tc>
          <w:tcPr>
            <w:tcW w:w="2753" w:type="dxa"/>
          </w:tcPr>
          <w:p w14:paraId="3B8601A0"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TYROBP, LAPTM5, C1QB, FCER1G, ALAS2, S100A9, LYZ, S100A8, PLAUR, CXCL8, DUSP2, HBM</w:t>
            </w:r>
          </w:p>
        </w:tc>
        <w:tc>
          <w:tcPr>
            <w:tcW w:w="5386" w:type="dxa"/>
          </w:tcPr>
          <w:p w14:paraId="1EF932C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Neutrophil degranulation, respiratory burst, positive regulation of tumour necrosis factor production, innate immune response, positive regulation of interleukin-4 production, positive regulation of interleukin-6 production, microglial cell activation, positive regulation of interferon-gamma production, cytokine-mediated signalling pathway, neutrophil chemotaxis</w:t>
            </w:r>
          </w:p>
        </w:tc>
      </w:tr>
      <w:tr w:rsidR="00BF5828" w:rsidRPr="006B2F31" w14:paraId="527BF36D" w14:textId="77777777" w:rsidTr="00085A7E">
        <w:tc>
          <w:tcPr>
            <w:tcW w:w="928" w:type="dxa"/>
          </w:tcPr>
          <w:p w14:paraId="5285472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6</w:t>
            </w:r>
          </w:p>
        </w:tc>
        <w:tc>
          <w:tcPr>
            <w:tcW w:w="2753" w:type="dxa"/>
          </w:tcPr>
          <w:p w14:paraId="5E08AD4A"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NDP, IGFL2, F5, KISS1, NTRK2, SELL, TFPI2, HAPLN1, PTHLH, PLAT, CD55, SERPINB1, AKR1B1, DKK2, CD9, S100A6, CRIP1, DKK3, IGFBP5</w:t>
            </w:r>
          </w:p>
        </w:tc>
        <w:tc>
          <w:tcPr>
            <w:tcW w:w="5386" w:type="dxa"/>
          </w:tcPr>
          <w:p w14:paraId="0DECDA3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 xml:space="preserve">Nuclear-transcribed mRNA catabolic process, nonsense-mediated decay, translational initiation, SRP-dependent cotranslational protein targeting to membrane, viral transcription, neutrophil degranulation, cytoplasmic translation, antigen processing and presentation of exogenous peptide antigen via MHC class I, TAP-dependent, antigen processing and presentation of exogenous peptide antigen via MHC class I, TAP-independent, positive regulation of translation, antigen processing and </w:t>
            </w:r>
            <w:r w:rsidRPr="006B2F31">
              <w:rPr>
                <w:rFonts w:ascii="Helvetica" w:hAnsi="Helvetica"/>
                <w:color w:val="000000" w:themeColor="text1"/>
                <w:sz w:val="22"/>
                <w:szCs w:val="22"/>
              </w:rPr>
              <w:lastRenderedPageBreak/>
              <w:t>presentation of endogenous peptide antigen via MHC class I via ER pathway, TAP-independent</w:t>
            </w:r>
          </w:p>
        </w:tc>
      </w:tr>
      <w:tr w:rsidR="00BF5828" w:rsidRPr="006B2F31" w14:paraId="725610B0" w14:textId="77777777" w:rsidTr="00085A7E">
        <w:tc>
          <w:tcPr>
            <w:tcW w:w="928" w:type="dxa"/>
          </w:tcPr>
          <w:p w14:paraId="7836841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lastRenderedPageBreak/>
              <w:t>7</w:t>
            </w:r>
          </w:p>
        </w:tc>
        <w:tc>
          <w:tcPr>
            <w:tcW w:w="2753" w:type="dxa"/>
          </w:tcPr>
          <w:p w14:paraId="5E75A0D2" w14:textId="77777777" w:rsidR="00BF5828" w:rsidRPr="006B2F31" w:rsidRDefault="00BF5828" w:rsidP="00085A7E">
            <w:pPr>
              <w:spacing w:line="360" w:lineRule="auto"/>
              <w:jc w:val="both"/>
              <w:rPr>
                <w:rFonts w:ascii="Helvetica" w:hAnsi="Helvetica"/>
                <w:i/>
                <w:iCs/>
                <w:color w:val="000000" w:themeColor="text1"/>
                <w:sz w:val="22"/>
                <w:szCs w:val="22"/>
              </w:rPr>
            </w:pPr>
            <w:r w:rsidRPr="006B2F31">
              <w:rPr>
                <w:rFonts w:ascii="Helvetica" w:hAnsi="Helvetica"/>
                <w:i/>
                <w:iCs/>
                <w:color w:val="000000" w:themeColor="text1"/>
                <w:sz w:val="22"/>
                <w:szCs w:val="22"/>
              </w:rPr>
              <w:t>TBX2, EGFLAM, CYGB, AGT, P2RY14, ITGB1P1, MYLK, PDGFRB, STEAP4, RGSS, SCN4B, NOTCH3, THBS4, FAT1, KLHL23, ABCC9</w:t>
            </w:r>
          </w:p>
        </w:tc>
        <w:tc>
          <w:tcPr>
            <w:tcW w:w="5386" w:type="dxa"/>
          </w:tcPr>
          <w:p w14:paraId="61A782E9"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Brain development, negative regulation of blood vessel endothelial cell migration, positive regulation of signal transduction by p53 class mediator, endothelial cell differentiation, peptide hormone processing, muscle contraction, branching morphogenesis of an epithelial tube, epithelial cell development, negative regulation of cellular process, negative regulation of cell-substrate adhesion</w:t>
            </w:r>
          </w:p>
        </w:tc>
      </w:tr>
    </w:tbl>
    <w:p w14:paraId="6ACB2D4A" w14:textId="77777777" w:rsidR="00BF5828" w:rsidRPr="006B2F31" w:rsidRDefault="00BF5828" w:rsidP="00BF5828">
      <w:pPr>
        <w:spacing w:line="360" w:lineRule="auto"/>
        <w:jc w:val="both"/>
        <w:rPr>
          <w:rFonts w:ascii="Helvetica" w:hAnsi="Helvetica"/>
          <w:color w:val="000000" w:themeColor="text1"/>
          <w:sz w:val="22"/>
          <w:szCs w:val="22"/>
        </w:rPr>
      </w:pPr>
    </w:p>
    <w:p w14:paraId="0F956BBE"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t xml:space="preserve">Supplementary Table </w:t>
      </w:r>
      <w:r>
        <w:rPr>
          <w:rFonts w:ascii="Helvetica" w:hAnsi="Helvetica"/>
          <w:b/>
          <w:bCs/>
          <w:color w:val="000000" w:themeColor="text1"/>
          <w:sz w:val="22"/>
          <w:szCs w:val="22"/>
        </w:rPr>
        <w:t>7</w:t>
      </w:r>
      <w:r w:rsidRPr="006B2F31">
        <w:rPr>
          <w:rFonts w:ascii="Helvetica" w:hAnsi="Helvetica"/>
          <w:b/>
          <w:bCs/>
          <w:color w:val="000000" w:themeColor="text1"/>
          <w:sz w:val="22"/>
          <w:szCs w:val="22"/>
        </w:rPr>
        <w:t xml:space="preserve">. Upregulated DEGs in human fetal coronary ECs compared to adult ECs. </w:t>
      </w:r>
      <w:r w:rsidRPr="006B2F31">
        <w:rPr>
          <w:rFonts w:ascii="Helvetica" w:hAnsi="Helvetica"/>
          <w:color w:val="000000" w:themeColor="text1"/>
          <w:sz w:val="22"/>
          <w:szCs w:val="22"/>
        </w:rPr>
        <w:t xml:space="preserve">DEGs were ranked according to both the adjusted P values and the average log2 fold change. </w:t>
      </w:r>
    </w:p>
    <w:tbl>
      <w:tblPr>
        <w:tblStyle w:val="TableGrid"/>
        <w:tblW w:w="8926" w:type="dxa"/>
        <w:tblLook w:val="04A0" w:firstRow="1" w:lastRow="0" w:firstColumn="1" w:lastColumn="0" w:noHBand="0" w:noVBand="1"/>
      </w:tblPr>
      <w:tblGrid>
        <w:gridCol w:w="2122"/>
        <w:gridCol w:w="6804"/>
      </w:tblGrid>
      <w:tr w:rsidR="00BF5828" w:rsidRPr="006B2F31" w14:paraId="7CC7DA28" w14:textId="77777777" w:rsidTr="00085A7E">
        <w:trPr>
          <w:trHeight w:val="1199"/>
        </w:trPr>
        <w:tc>
          <w:tcPr>
            <w:tcW w:w="2122" w:type="dxa"/>
            <w:vAlign w:val="center"/>
          </w:tcPr>
          <w:p w14:paraId="7253153D"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Comparison</w:t>
            </w:r>
          </w:p>
        </w:tc>
        <w:tc>
          <w:tcPr>
            <w:tcW w:w="6804" w:type="dxa"/>
            <w:vAlign w:val="center"/>
          </w:tcPr>
          <w:p w14:paraId="7862AE5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Upregulated (log2 fold change)</w:t>
            </w:r>
          </w:p>
        </w:tc>
      </w:tr>
      <w:tr w:rsidR="00BF5828" w:rsidRPr="006B2F31" w14:paraId="33E6DE1B" w14:textId="77777777" w:rsidTr="00085A7E">
        <w:trPr>
          <w:trHeight w:val="1199"/>
        </w:trPr>
        <w:tc>
          <w:tcPr>
            <w:tcW w:w="2122" w:type="dxa"/>
            <w:vAlign w:val="center"/>
          </w:tcPr>
          <w:p w14:paraId="1A092F8A"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Uninjured fetal vs uninjured adult</w:t>
            </w:r>
          </w:p>
        </w:tc>
        <w:tc>
          <w:tcPr>
            <w:tcW w:w="6804" w:type="dxa"/>
            <w:vAlign w:val="center"/>
          </w:tcPr>
          <w:p w14:paraId="6D71701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HBG2</w:t>
            </w:r>
            <w:r w:rsidRPr="006B2F31">
              <w:rPr>
                <w:rFonts w:ascii="Helvetica" w:hAnsi="Helvetica"/>
                <w:color w:val="000000" w:themeColor="text1"/>
                <w:sz w:val="22"/>
                <w:szCs w:val="22"/>
              </w:rPr>
              <w:t xml:space="preserve"> (6.24), </w:t>
            </w:r>
            <w:r w:rsidRPr="006B2F31">
              <w:rPr>
                <w:rFonts w:ascii="Helvetica" w:hAnsi="Helvetica"/>
                <w:i/>
                <w:iCs/>
                <w:color w:val="000000" w:themeColor="text1"/>
                <w:sz w:val="22"/>
                <w:szCs w:val="22"/>
              </w:rPr>
              <w:t>EEF1A1</w:t>
            </w:r>
            <w:r w:rsidRPr="006B2F31">
              <w:rPr>
                <w:rFonts w:ascii="Helvetica" w:hAnsi="Helvetica"/>
                <w:color w:val="000000" w:themeColor="text1"/>
                <w:sz w:val="22"/>
                <w:szCs w:val="22"/>
              </w:rPr>
              <w:t xml:space="preserve"> (2.89), </w:t>
            </w:r>
            <w:r w:rsidRPr="006B2F31">
              <w:rPr>
                <w:rFonts w:ascii="Helvetica" w:hAnsi="Helvetica"/>
                <w:i/>
                <w:iCs/>
                <w:color w:val="000000" w:themeColor="text1"/>
                <w:sz w:val="22"/>
                <w:szCs w:val="22"/>
              </w:rPr>
              <w:t>RPL10</w:t>
            </w:r>
            <w:r w:rsidRPr="006B2F31">
              <w:rPr>
                <w:rFonts w:ascii="Helvetica" w:hAnsi="Helvetica"/>
                <w:color w:val="000000" w:themeColor="text1"/>
                <w:sz w:val="22"/>
                <w:szCs w:val="22"/>
              </w:rPr>
              <w:t xml:space="preserve"> (2.77), </w:t>
            </w:r>
            <w:r w:rsidRPr="006B2F31">
              <w:rPr>
                <w:rFonts w:ascii="Helvetica" w:hAnsi="Helvetica"/>
                <w:i/>
                <w:iCs/>
                <w:color w:val="000000" w:themeColor="text1"/>
                <w:sz w:val="22"/>
                <w:szCs w:val="22"/>
              </w:rPr>
              <w:t>HBA1</w:t>
            </w:r>
            <w:r w:rsidRPr="006B2F31">
              <w:rPr>
                <w:rFonts w:ascii="Helvetica" w:hAnsi="Helvetica"/>
                <w:color w:val="000000" w:themeColor="text1"/>
                <w:sz w:val="22"/>
                <w:szCs w:val="22"/>
              </w:rPr>
              <w:t xml:space="preserve"> (5.14), </w:t>
            </w:r>
            <w:r w:rsidRPr="006B2F31">
              <w:rPr>
                <w:rFonts w:ascii="Helvetica" w:hAnsi="Helvetica"/>
                <w:i/>
                <w:iCs/>
                <w:color w:val="000000" w:themeColor="text1"/>
                <w:sz w:val="22"/>
                <w:szCs w:val="22"/>
              </w:rPr>
              <w:t>HBA2</w:t>
            </w:r>
            <w:r w:rsidRPr="006B2F31">
              <w:rPr>
                <w:rFonts w:ascii="Helvetica" w:hAnsi="Helvetica"/>
                <w:color w:val="000000" w:themeColor="text1"/>
                <w:sz w:val="22"/>
                <w:szCs w:val="22"/>
              </w:rPr>
              <w:t xml:space="preserve"> (5.25), </w:t>
            </w:r>
            <w:r w:rsidRPr="006B2F31">
              <w:rPr>
                <w:rFonts w:ascii="Helvetica" w:hAnsi="Helvetica"/>
                <w:i/>
                <w:iCs/>
                <w:color w:val="000000" w:themeColor="text1"/>
                <w:sz w:val="22"/>
                <w:szCs w:val="22"/>
              </w:rPr>
              <w:t>MDK</w:t>
            </w:r>
            <w:r w:rsidRPr="006B2F31">
              <w:rPr>
                <w:rFonts w:ascii="Helvetica" w:hAnsi="Helvetica"/>
                <w:color w:val="000000" w:themeColor="text1"/>
                <w:sz w:val="22"/>
                <w:szCs w:val="22"/>
              </w:rPr>
              <w:t xml:space="preserve"> (3.47), </w:t>
            </w:r>
            <w:r w:rsidRPr="006B2F31">
              <w:rPr>
                <w:rFonts w:ascii="Helvetica" w:hAnsi="Helvetica"/>
                <w:i/>
                <w:iCs/>
                <w:color w:val="000000" w:themeColor="text1"/>
                <w:sz w:val="22"/>
                <w:szCs w:val="22"/>
              </w:rPr>
              <w:t>RPL15</w:t>
            </w:r>
            <w:r w:rsidRPr="006B2F31">
              <w:rPr>
                <w:rFonts w:ascii="Helvetica" w:hAnsi="Helvetica"/>
                <w:color w:val="000000" w:themeColor="text1"/>
                <w:sz w:val="22"/>
                <w:szCs w:val="22"/>
              </w:rPr>
              <w:t xml:space="preserve"> (2.13), </w:t>
            </w:r>
            <w:r w:rsidRPr="006B2F31">
              <w:rPr>
                <w:rFonts w:ascii="Helvetica" w:hAnsi="Helvetica"/>
                <w:i/>
                <w:iCs/>
                <w:color w:val="000000" w:themeColor="text1"/>
                <w:sz w:val="22"/>
                <w:szCs w:val="22"/>
              </w:rPr>
              <w:t>RPS23</w:t>
            </w:r>
            <w:r w:rsidRPr="006B2F31">
              <w:rPr>
                <w:rFonts w:ascii="Helvetica" w:hAnsi="Helvetica"/>
                <w:color w:val="000000" w:themeColor="text1"/>
                <w:sz w:val="22"/>
                <w:szCs w:val="22"/>
              </w:rPr>
              <w:t xml:space="preserve"> (2.31), </w:t>
            </w:r>
            <w:r w:rsidRPr="006B2F31">
              <w:rPr>
                <w:rFonts w:ascii="Helvetica" w:hAnsi="Helvetica"/>
                <w:i/>
                <w:iCs/>
                <w:color w:val="000000" w:themeColor="text1"/>
                <w:sz w:val="22"/>
                <w:szCs w:val="22"/>
              </w:rPr>
              <w:t>RPS26</w:t>
            </w:r>
            <w:r w:rsidRPr="006B2F31">
              <w:rPr>
                <w:rFonts w:ascii="Helvetica" w:hAnsi="Helvetica"/>
                <w:color w:val="000000" w:themeColor="text1"/>
                <w:sz w:val="22"/>
                <w:szCs w:val="22"/>
              </w:rPr>
              <w:t xml:space="preserve"> (2.44), </w:t>
            </w:r>
            <w:r w:rsidRPr="006B2F31">
              <w:rPr>
                <w:rFonts w:ascii="Helvetica" w:hAnsi="Helvetica"/>
                <w:i/>
                <w:iCs/>
                <w:color w:val="000000" w:themeColor="text1"/>
                <w:sz w:val="22"/>
                <w:szCs w:val="22"/>
              </w:rPr>
              <w:t>GAPDH</w:t>
            </w:r>
            <w:r w:rsidRPr="006B2F31">
              <w:rPr>
                <w:rFonts w:ascii="Helvetica" w:hAnsi="Helvetica"/>
                <w:color w:val="000000" w:themeColor="text1"/>
                <w:sz w:val="22"/>
                <w:szCs w:val="22"/>
              </w:rPr>
              <w:t xml:space="preserve"> (2.38), </w:t>
            </w:r>
            <w:r w:rsidRPr="006B2F31">
              <w:rPr>
                <w:rFonts w:ascii="Helvetica" w:hAnsi="Helvetica"/>
                <w:i/>
                <w:iCs/>
                <w:color w:val="000000" w:themeColor="text1"/>
                <w:sz w:val="22"/>
                <w:szCs w:val="22"/>
              </w:rPr>
              <w:t>RPS15A</w:t>
            </w:r>
            <w:r w:rsidRPr="006B2F31">
              <w:rPr>
                <w:rFonts w:ascii="Helvetica" w:hAnsi="Helvetica"/>
                <w:color w:val="000000" w:themeColor="text1"/>
                <w:sz w:val="22"/>
                <w:szCs w:val="22"/>
              </w:rPr>
              <w:t xml:space="preserve"> (2.85), </w:t>
            </w:r>
            <w:r w:rsidRPr="006B2F31">
              <w:rPr>
                <w:rFonts w:ascii="Helvetica" w:hAnsi="Helvetica"/>
                <w:i/>
                <w:iCs/>
                <w:color w:val="000000" w:themeColor="text1"/>
                <w:sz w:val="22"/>
                <w:szCs w:val="22"/>
              </w:rPr>
              <w:t>RAMP2</w:t>
            </w:r>
            <w:r w:rsidRPr="006B2F31">
              <w:rPr>
                <w:rFonts w:ascii="Helvetica" w:hAnsi="Helvetica"/>
                <w:color w:val="000000" w:themeColor="text1"/>
                <w:sz w:val="22"/>
                <w:szCs w:val="22"/>
              </w:rPr>
              <w:t xml:space="preserve"> (2.72), </w:t>
            </w:r>
            <w:r w:rsidRPr="006B2F31">
              <w:rPr>
                <w:rFonts w:ascii="Helvetica" w:hAnsi="Helvetica"/>
                <w:i/>
                <w:iCs/>
                <w:color w:val="000000" w:themeColor="text1"/>
                <w:sz w:val="22"/>
                <w:szCs w:val="22"/>
              </w:rPr>
              <w:t>RPL13</w:t>
            </w:r>
            <w:r w:rsidRPr="006B2F31">
              <w:rPr>
                <w:rFonts w:ascii="Helvetica" w:hAnsi="Helvetica"/>
                <w:color w:val="000000" w:themeColor="text1"/>
                <w:sz w:val="22"/>
                <w:szCs w:val="22"/>
              </w:rPr>
              <w:t xml:space="preserve">(2.34), </w:t>
            </w:r>
            <w:r w:rsidRPr="006B2F31">
              <w:rPr>
                <w:rFonts w:ascii="Helvetica" w:hAnsi="Helvetica"/>
                <w:i/>
                <w:iCs/>
                <w:color w:val="000000" w:themeColor="text1"/>
                <w:sz w:val="22"/>
                <w:szCs w:val="22"/>
              </w:rPr>
              <w:t>COL3A1</w:t>
            </w:r>
            <w:r w:rsidRPr="006B2F31">
              <w:rPr>
                <w:rFonts w:ascii="Helvetica" w:hAnsi="Helvetica"/>
                <w:color w:val="000000" w:themeColor="text1"/>
                <w:sz w:val="22"/>
                <w:szCs w:val="22"/>
              </w:rPr>
              <w:t xml:space="preserve"> (3.88), </w:t>
            </w:r>
            <w:r w:rsidRPr="006B2F31">
              <w:rPr>
                <w:rFonts w:ascii="Helvetica" w:hAnsi="Helvetica"/>
                <w:i/>
                <w:iCs/>
                <w:color w:val="000000" w:themeColor="text1"/>
                <w:sz w:val="22"/>
                <w:szCs w:val="22"/>
              </w:rPr>
              <w:t>RPS7</w:t>
            </w:r>
            <w:r w:rsidRPr="006B2F31">
              <w:rPr>
                <w:rFonts w:ascii="Helvetica" w:hAnsi="Helvetica"/>
                <w:color w:val="000000" w:themeColor="text1"/>
                <w:sz w:val="22"/>
                <w:szCs w:val="22"/>
              </w:rPr>
              <w:t xml:space="preserve"> (2.37), </w:t>
            </w:r>
            <w:r w:rsidRPr="006B2F31">
              <w:rPr>
                <w:rFonts w:ascii="Helvetica" w:hAnsi="Helvetica"/>
                <w:i/>
                <w:iCs/>
                <w:color w:val="000000" w:themeColor="text1"/>
                <w:sz w:val="22"/>
                <w:szCs w:val="22"/>
              </w:rPr>
              <w:t>RPS3A</w:t>
            </w:r>
            <w:r w:rsidRPr="006B2F31">
              <w:rPr>
                <w:rFonts w:ascii="Helvetica" w:hAnsi="Helvetica"/>
                <w:color w:val="000000" w:themeColor="text1"/>
                <w:sz w:val="22"/>
                <w:szCs w:val="22"/>
              </w:rPr>
              <w:t xml:space="preserve"> (2.30), </w:t>
            </w:r>
            <w:r w:rsidRPr="006B2F31">
              <w:rPr>
                <w:rFonts w:ascii="Helvetica" w:hAnsi="Helvetica"/>
                <w:i/>
                <w:iCs/>
                <w:color w:val="000000" w:themeColor="text1"/>
                <w:sz w:val="22"/>
                <w:szCs w:val="22"/>
              </w:rPr>
              <w:t>RPL26</w:t>
            </w:r>
            <w:r w:rsidRPr="006B2F31">
              <w:rPr>
                <w:rFonts w:ascii="Helvetica" w:hAnsi="Helvetica"/>
                <w:color w:val="000000" w:themeColor="text1"/>
                <w:sz w:val="22"/>
                <w:szCs w:val="22"/>
              </w:rPr>
              <w:t xml:space="preserve"> (2.55), </w:t>
            </w:r>
            <w:r w:rsidRPr="006B2F31">
              <w:rPr>
                <w:rFonts w:ascii="Helvetica" w:hAnsi="Helvetica"/>
                <w:i/>
                <w:iCs/>
                <w:color w:val="000000" w:themeColor="text1"/>
                <w:sz w:val="22"/>
                <w:szCs w:val="22"/>
              </w:rPr>
              <w:t>RPL39</w:t>
            </w:r>
            <w:r w:rsidRPr="006B2F31">
              <w:rPr>
                <w:rFonts w:ascii="Helvetica" w:hAnsi="Helvetica"/>
                <w:color w:val="000000" w:themeColor="text1"/>
                <w:sz w:val="22"/>
                <w:szCs w:val="22"/>
              </w:rPr>
              <w:t xml:space="preserve"> (2.61), </w:t>
            </w:r>
            <w:r w:rsidRPr="006B2F31">
              <w:rPr>
                <w:rFonts w:ascii="Helvetica" w:hAnsi="Helvetica"/>
                <w:i/>
                <w:iCs/>
                <w:color w:val="000000" w:themeColor="text1"/>
                <w:sz w:val="22"/>
                <w:szCs w:val="22"/>
              </w:rPr>
              <w:t>RPLP0</w:t>
            </w:r>
            <w:r w:rsidRPr="006B2F31">
              <w:rPr>
                <w:rFonts w:ascii="Helvetica" w:hAnsi="Helvetica"/>
                <w:color w:val="000000" w:themeColor="text1"/>
                <w:sz w:val="22"/>
                <w:szCs w:val="22"/>
              </w:rPr>
              <w:t xml:space="preserve"> (2.22), </w:t>
            </w:r>
            <w:r w:rsidRPr="006B2F31">
              <w:rPr>
                <w:rFonts w:ascii="Helvetica" w:hAnsi="Helvetica"/>
                <w:i/>
                <w:iCs/>
                <w:color w:val="000000" w:themeColor="text1"/>
                <w:sz w:val="22"/>
                <w:szCs w:val="22"/>
              </w:rPr>
              <w:t>RPL28</w:t>
            </w:r>
            <w:r w:rsidRPr="006B2F31">
              <w:rPr>
                <w:rFonts w:ascii="Helvetica" w:hAnsi="Helvetica"/>
                <w:color w:val="000000" w:themeColor="text1"/>
                <w:sz w:val="22"/>
                <w:szCs w:val="22"/>
              </w:rPr>
              <w:t xml:space="preserve"> (2.67)</w:t>
            </w:r>
          </w:p>
        </w:tc>
      </w:tr>
    </w:tbl>
    <w:p w14:paraId="3AE37612" w14:textId="77777777" w:rsidR="00BF5828" w:rsidRPr="006B2F31" w:rsidRDefault="00BF5828" w:rsidP="00BF5828">
      <w:pPr>
        <w:spacing w:line="360" w:lineRule="auto"/>
        <w:jc w:val="both"/>
        <w:rPr>
          <w:rFonts w:ascii="Helvetica" w:hAnsi="Helvetica"/>
          <w:color w:val="000000" w:themeColor="text1"/>
          <w:sz w:val="22"/>
          <w:szCs w:val="22"/>
        </w:rPr>
      </w:pPr>
    </w:p>
    <w:p w14:paraId="43355639"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t xml:space="preserve">Supplementary Table </w:t>
      </w:r>
      <w:r>
        <w:rPr>
          <w:rFonts w:ascii="Helvetica" w:hAnsi="Helvetica"/>
          <w:b/>
          <w:bCs/>
          <w:color w:val="000000" w:themeColor="text1"/>
          <w:sz w:val="22"/>
          <w:szCs w:val="22"/>
        </w:rPr>
        <w:t>8</w:t>
      </w:r>
      <w:r w:rsidRPr="006B2F31">
        <w:rPr>
          <w:rFonts w:ascii="Helvetica" w:hAnsi="Helvetica"/>
          <w:b/>
          <w:bCs/>
          <w:color w:val="000000" w:themeColor="text1"/>
          <w:sz w:val="22"/>
          <w:szCs w:val="22"/>
        </w:rPr>
        <w:t xml:space="preserve">. Gene expression in cardiac ECs from patients with heart failure, compared to those from the healthy adult human heart. Differentially expressed genes </w:t>
      </w:r>
      <w:r w:rsidRPr="006B2F31">
        <w:rPr>
          <w:rFonts w:ascii="Helvetica" w:hAnsi="Helvetica"/>
          <w:color w:val="000000" w:themeColor="text1"/>
          <w:sz w:val="22"/>
          <w:szCs w:val="22"/>
        </w:rPr>
        <w:t xml:space="preserve">(DEGs) were ranked according to the adjusted P values and the average log2 fold change. cHF, heart failure caused by ischaemic cardiomyopathy; dHF, heart failure caused by dilated cardiomyopathy. </w:t>
      </w:r>
    </w:p>
    <w:tbl>
      <w:tblPr>
        <w:tblStyle w:val="TableGrid"/>
        <w:tblW w:w="9067" w:type="dxa"/>
        <w:tblLook w:val="04A0" w:firstRow="1" w:lastRow="0" w:firstColumn="1" w:lastColumn="0" w:noHBand="0" w:noVBand="1"/>
      </w:tblPr>
      <w:tblGrid>
        <w:gridCol w:w="1034"/>
        <w:gridCol w:w="3923"/>
        <w:gridCol w:w="4110"/>
      </w:tblGrid>
      <w:tr w:rsidR="00BF5828" w:rsidRPr="006B2F31" w14:paraId="2416D0F4" w14:textId="77777777" w:rsidTr="00085A7E">
        <w:tc>
          <w:tcPr>
            <w:tcW w:w="1034" w:type="dxa"/>
            <w:vMerge w:val="restart"/>
            <w:vAlign w:val="center"/>
          </w:tcPr>
          <w:p w14:paraId="70399FB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Groups</w:t>
            </w:r>
          </w:p>
        </w:tc>
        <w:tc>
          <w:tcPr>
            <w:tcW w:w="8033" w:type="dxa"/>
            <w:gridSpan w:val="2"/>
            <w:vAlign w:val="center"/>
          </w:tcPr>
          <w:p w14:paraId="6DB06B7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Upregulated (log2 fold change)</w:t>
            </w:r>
          </w:p>
        </w:tc>
      </w:tr>
      <w:tr w:rsidR="00BF5828" w:rsidRPr="006B2F31" w14:paraId="36797240" w14:textId="77777777" w:rsidTr="00085A7E">
        <w:tc>
          <w:tcPr>
            <w:tcW w:w="1034" w:type="dxa"/>
            <w:vMerge/>
            <w:vAlign w:val="center"/>
          </w:tcPr>
          <w:p w14:paraId="1A5AE0B5" w14:textId="77777777" w:rsidR="00BF5828" w:rsidRPr="006B2F31" w:rsidRDefault="00BF5828" w:rsidP="00085A7E">
            <w:pPr>
              <w:spacing w:line="360" w:lineRule="auto"/>
              <w:jc w:val="both"/>
              <w:rPr>
                <w:rFonts w:ascii="Helvetica" w:hAnsi="Helvetica"/>
                <w:color w:val="000000" w:themeColor="text1"/>
                <w:sz w:val="22"/>
                <w:szCs w:val="22"/>
              </w:rPr>
            </w:pPr>
          </w:p>
        </w:tc>
        <w:tc>
          <w:tcPr>
            <w:tcW w:w="3923" w:type="dxa"/>
            <w:vAlign w:val="center"/>
          </w:tcPr>
          <w:p w14:paraId="2B6B3ED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Specific</w:t>
            </w:r>
          </w:p>
        </w:tc>
        <w:tc>
          <w:tcPr>
            <w:tcW w:w="4110" w:type="dxa"/>
            <w:vAlign w:val="center"/>
          </w:tcPr>
          <w:p w14:paraId="4C56BC0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Common (cHF/dHF)</w:t>
            </w:r>
          </w:p>
        </w:tc>
      </w:tr>
      <w:tr w:rsidR="00BF5828" w:rsidRPr="006B2F31" w14:paraId="2A2810B1" w14:textId="77777777" w:rsidTr="00085A7E">
        <w:tc>
          <w:tcPr>
            <w:tcW w:w="1034" w:type="dxa"/>
            <w:vAlign w:val="center"/>
          </w:tcPr>
          <w:p w14:paraId="6C20E32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 xml:space="preserve">cHF </w:t>
            </w:r>
          </w:p>
        </w:tc>
        <w:tc>
          <w:tcPr>
            <w:tcW w:w="3923" w:type="dxa"/>
            <w:vAlign w:val="center"/>
          </w:tcPr>
          <w:p w14:paraId="44B8450F"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 xml:space="preserve">TRMT61A </w:t>
            </w:r>
            <w:r w:rsidRPr="006B2F31">
              <w:rPr>
                <w:rFonts w:ascii="Helvetica" w:hAnsi="Helvetica"/>
                <w:color w:val="000000" w:themeColor="text1"/>
                <w:sz w:val="22"/>
                <w:szCs w:val="22"/>
              </w:rPr>
              <w:t xml:space="preserve">(0.38), </w:t>
            </w:r>
            <w:r w:rsidRPr="006B2F31">
              <w:rPr>
                <w:rFonts w:ascii="Helvetica" w:hAnsi="Helvetica"/>
                <w:i/>
                <w:iCs/>
                <w:color w:val="000000" w:themeColor="text1"/>
                <w:sz w:val="22"/>
                <w:szCs w:val="22"/>
              </w:rPr>
              <w:t>RNY4</w:t>
            </w:r>
            <w:r w:rsidRPr="006B2F31">
              <w:rPr>
                <w:rFonts w:ascii="Helvetica" w:hAnsi="Helvetica"/>
                <w:color w:val="000000" w:themeColor="text1"/>
                <w:sz w:val="22"/>
                <w:szCs w:val="22"/>
              </w:rPr>
              <w:t xml:space="preserve"> (1.12), </w:t>
            </w:r>
            <w:r w:rsidRPr="006B2F31">
              <w:rPr>
                <w:rFonts w:ascii="Helvetica" w:hAnsi="Helvetica"/>
                <w:i/>
                <w:iCs/>
                <w:color w:val="000000" w:themeColor="text1"/>
                <w:sz w:val="22"/>
                <w:szCs w:val="22"/>
              </w:rPr>
              <w:t>TTN</w:t>
            </w:r>
            <w:r w:rsidRPr="006B2F31">
              <w:rPr>
                <w:rFonts w:ascii="Helvetica" w:hAnsi="Helvetica"/>
                <w:color w:val="000000" w:themeColor="text1"/>
                <w:sz w:val="22"/>
                <w:szCs w:val="22"/>
              </w:rPr>
              <w:t xml:space="preserve"> (0.63), </w:t>
            </w:r>
            <w:r w:rsidRPr="006B2F31">
              <w:rPr>
                <w:rFonts w:ascii="Helvetica" w:hAnsi="Helvetica"/>
                <w:i/>
                <w:iCs/>
                <w:color w:val="000000" w:themeColor="text1"/>
                <w:sz w:val="22"/>
                <w:szCs w:val="22"/>
              </w:rPr>
              <w:t>ANKRD1</w:t>
            </w:r>
            <w:r w:rsidRPr="006B2F31">
              <w:rPr>
                <w:rFonts w:ascii="Helvetica" w:hAnsi="Helvetica"/>
                <w:color w:val="000000" w:themeColor="text1"/>
                <w:sz w:val="22"/>
                <w:szCs w:val="22"/>
              </w:rPr>
              <w:t xml:space="preserve"> (0.63), </w:t>
            </w:r>
            <w:r w:rsidRPr="006B2F31">
              <w:rPr>
                <w:rFonts w:ascii="Helvetica" w:hAnsi="Helvetica"/>
                <w:i/>
                <w:iCs/>
                <w:color w:val="000000" w:themeColor="text1"/>
                <w:sz w:val="22"/>
                <w:szCs w:val="22"/>
              </w:rPr>
              <w:t>PDK4</w:t>
            </w:r>
            <w:r w:rsidRPr="006B2F31">
              <w:rPr>
                <w:rFonts w:ascii="Helvetica" w:hAnsi="Helvetica"/>
                <w:color w:val="000000" w:themeColor="text1"/>
                <w:sz w:val="22"/>
                <w:szCs w:val="22"/>
              </w:rPr>
              <w:t xml:space="preserve"> (1.00), </w:t>
            </w:r>
            <w:r w:rsidRPr="006B2F31">
              <w:rPr>
                <w:rFonts w:ascii="Helvetica" w:hAnsi="Helvetica"/>
                <w:i/>
                <w:iCs/>
                <w:color w:val="000000" w:themeColor="text1"/>
                <w:sz w:val="22"/>
                <w:szCs w:val="22"/>
              </w:rPr>
              <w:lastRenderedPageBreak/>
              <w:t>DNAJC6</w:t>
            </w:r>
            <w:r w:rsidRPr="006B2F31">
              <w:rPr>
                <w:rFonts w:ascii="Helvetica" w:hAnsi="Helvetica"/>
                <w:color w:val="000000" w:themeColor="text1"/>
                <w:sz w:val="22"/>
                <w:szCs w:val="22"/>
              </w:rPr>
              <w:t xml:space="preserve"> (0.67), </w:t>
            </w:r>
            <w:r w:rsidRPr="006B2F31">
              <w:rPr>
                <w:rFonts w:ascii="Helvetica" w:hAnsi="Helvetica"/>
                <w:i/>
                <w:iCs/>
                <w:color w:val="000000" w:themeColor="text1"/>
                <w:sz w:val="22"/>
                <w:szCs w:val="22"/>
              </w:rPr>
              <w:t>PCNXL3</w:t>
            </w:r>
            <w:r w:rsidRPr="006B2F31">
              <w:rPr>
                <w:rFonts w:ascii="Helvetica" w:hAnsi="Helvetica"/>
                <w:color w:val="000000" w:themeColor="text1"/>
                <w:sz w:val="22"/>
                <w:szCs w:val="22"/>
              </w:rPr>
              <w:t xml:space="preserve"> (0.40), </w:t>
            </w:r>
            <w:r w:rsidRPr="006B2F31">
              <w:rPr>
                <w:rFonts w:ascii="Helvetica" w:hAnsi="Helvetica"/>
                <w:i/>
                <w:iCs/>
                <w:color w:val="000000" w:themeColor="text1"/>
                <w:sz w:val="22"/>
                <w:szCs w:val="22"/>
              </w:rPr>
              <w:t>TCEB2P2</w:t>
            </w:r>
            <w:r w:rsidRPr="006B2F31">
              <w:rPr>
                <w:rFonts w:ascii="Helvetica" w:hAnsi="Helvetica"/>
                <w:color w:val="000000" w:themeColor="text1"/>
                <w:sz w:val="22"/>
                <w:szCs w:val="22"/>
              </w:rPr>
              <w:t xml:space="preserve"> (0.60), </w:t>
            </w:r>
            <w:r w:rsidRPr="006B2F31">
              <w:rPr>
                <w:rFonts w:ascii="Helvetica" w:hAnsi="Helvetica"/>
                <w:i/>
                <w:iCs/>
                <w:color w:val="000000" w:themeColor="text1"/>
                <w:sz w:val="22"/>
                <w:szCs w:val="22"/>
              </w:rPr>
              <w:t>ANKRD36C</w:t>
            </w:r>
            <w:r w:rsidRPr="006B2F31">
              <w:rPr>
                <w:rFonts w:ascii="Helvetica" w:hAnsi="Helvetica"/>
                <w:color w:val="000000" w:themeColor="text1"/>
                <w:sz w:val="22"/>
                <w:szCs w:val="22"/>
              </w:rPr>
              <w:t xml:space="preserve"> (1.34), </w:t>
            </w:r>
            <w:r w:rsidRPr="006B2F31">
              <w:rPr>
                <w:rFonts w:ascii="Helvetica" w:hAnsi="Helvetica"/>
                <w:i/>
                <w:iCs/>
                <w:color w:val="000000" w:themeColor="text1"/>
                <w:sz w:val="22"/>
                <w:szCs w:val="22"/>
              </w:rPr>
              <w:t>RN7SKP71</w:t>
            </w:r>
            <w:r w:rsidRPr="006B2F31">
              <w:rPr>
                <w:rFonts w:ascii="Helvetica" w:hAnsi="Helvetica"/>
                <w:color w:val="000000" w:themeColor="text1"/>
                <w:sz w:val="22"/>
                <w:szCs w:val="22"/>
              </w:rPr>
              <w:t xml:space="preserve"> (1.16)</w:t>
            </w:r>
          </w:p>
        </w:tc>
        <w:tc>
          <w:tcPr>
            <w:tcW w:w="4110" w:type="dxa"/>
            <w:vMerge w:val="restart"/>
            <w:vAlign w:val="center"/>
          </w:tcPr>
          <w:p w14:paraId="6C3E394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lastRenderedPageBreak/>
              <w:t>MSRB3</w:t>
            </w:r>
            <w:r w:rsidRPr="006B2F31">
              <w:rPr>
                <w:rFonts w:ascii="Helvetica" w:hAnsi="Helvetica"/>
                <w:color w:val="000000" w:themeColor="text1"/>
                <w:sz w:val="22"/>
                <w:szCs w:val="22"/>
              </w:rPr>
              <w:t xml:space="preserve"> (1.18/1.04), </w:t>
            </w:r>
            <w:r w:rsidRPr="006B2F31">
              <w:rPr>
                <w:rFonts w:ascii="Helvetica" w:hAnsi="Helvetica"/>
                <w:i/>
                <w:iCs/>
                <w:color w:val="000000" w:themeColor="text1"/>
                <w:sz w:val="22"/>
                <w:szCs w:val="22"/>
              </w:rPr>
              <w:t>MYH6</w:t>
            </w:r>
            <w:r w:rsidRPr="006B2F31">
              <w:rPr>
                <w:rFonts w:ascii="Helvetica" w:hAnsi="Helvetica"/>
                <w:color w:val="000000" w:themeColor="text1"/>
                <w:sz w:val="22"/>
                <w:szCs w:val="22"/>
              </w:rPr>
              <w:t xml:space="preserve"> (0.68/0.26), </w:t>
            </w:r>
            <w:r w:rsidRPr="006B2F31">
              <w:rPr>
                <w:rFonts w:ascii="Helvetica" w:hAnsi="Helvetica"/>
                <w:i/>
                <w:iCs/>
                <w:color w:val="000000" w:themeColor="text1"/>
                <w:sz w:val="22"/>
                <w:szCs w:val="22"/>
              </w:rPr>
              <w:t>MTATP8P1</w:t>
            </w:r>
            <w:r w:rsidRPr="006B2F31">
              <w:rPr>
                <w:rFonts w:ascii="Helvetica" w:hAnsi="Helvetica"/>
                <w:color w:val="000000" w:themeColor="text1"/>
                <w:sz w:val="22"/>
                <w:szCs w:val="22"/>
              </w:rPr>
              <w:t xml:space="preserve"> (1.11/1.19), </w:t>
            </w:r>
            <w:r w:rsidRPr="006B2F31">
              <w:rPr>
                <w:rFonts w:ascii="Helvetica" w:hAnsi="Helvetica"/>
                <w:i/>
                <w:iCs/>
                <w:color w:val="000000" w:themeColor="text1"/>
                <w:sz w:val="22"/>
                <w:szCs w:val="22"/>
              </w:rPr>
              <w:t xml:space="preserve">SMARCA4 </w:t>
            </w:r>
            <w:r w:rsidRPr="006B2F31">
              <w:rPr>
                <w:rFonts w:ascii="Helvetica" w:hAnsi="Helvetica"/>
                <w:color w:val="000000" w:themeColor="text1"/>
                <w:sz w:val="22"/>
                <w:szCs w:val="22"/>
              </w:rPr>
              <w:lastRenderedPageBreak/>
              <w:t xml:space="preserve">(0.83/1.06), </w:t>
            </w:r>
            <w:r w:rsidRPr="006B2F31">
              <w:rPr>
                <w:rFonts w:ascii="Helvetica" w:hAnsi="Helvetica"/>
                <w:i/>
                <w:iCs/>
                <w:color w:val="000000" w:themeColor="text1"/>
                <w:sz w:val="22"/>
                <w:szCs w:val="22"/>
              </w:rPr>
              <w:t>KANK2</w:t>
            </w:r>
            <w:r w:rsidRPr="006B2F31">
              <w:rPr>
                <w:rFonts w:ascii="Helvetica" w:hAnsi="Helvetica"/>
                <w:color w:val="000000" w:themeColor="text1"/>
                <w:sz w:val="22"/>
                <w:szCs w:val="22"/>
              </w:rPr>
              <w:t xml:space="preserve"> (0.89/0.61), </w:t>
            </w:r>
            <w:r w:rsidRPr="006B2F31">
              <w:rPr>
                <w:rFonts w:ascii="Helvetica" w:hAnsi="Helvetica"/>
                <w:i/>
                <w:iCs/>
                <w:color w:val="000000" w:themeColor="text1"/>
                <w:sz w:val="22"/>
                <w:szCs w:val="22"/>
              </w:rPr>
              <w:t>MYL7</w:t>
            </w:r>
            <w:r w:rsidRPr="006B2F31">
              <w:rPr>
                <w:rFonts w:ascii="Helvetica" w:hAnsi="Helvetica"/>
                <w:color w:val="000000" w:themeColor="text1"/>
                <w:sz w:val="22"/>
                <w:szCs w:val="22"/>
              </w:rPr>
              <w:t xml:space="preserve">(0.52/0.39), </w:t>
            </w:r>
            <w:r w:rsidRPr="006B2F31">
              <w:rPr>
                <w:rFonts w:ascii="Helvetica" w:hAnsi="Helvetica"/>
                <w:i/>
                <w:iCs/>
                <w:color w:val="000000" w:themeColor="text1"/>
                <w:sz w:val="22"/>
                <w:szCs w:val="22"/>
              </w:rPr>
              <w:t>DOCK6</w:t>
            </w:r>
            <w:r w:rsidRPr="006B2F31">
              <w:rPr>
                <w:rFonts w:ascii="Helvetica" w:hAnsi="Helvetica"/>
                <w:color w:val="000000" w:themeColor="text1"/>
                <w:sz w:val="22"/>
                <w:szCs w:val="22"/>
              </w:rPr>
              <w:t xml:space="preserve"> (0.74/0.85), </w:t>
            </w:r>
            <w:r w:rsidRPr="006B2F31">
              <w:rPr>
                <w:rFonts w:ascii="Helvetica" w:hAnsi="Helvetica"/>
                <w:i/>
                <w:iCs/>
                <w:color w:val="000000" w:themeColor="text1"/>
                <w:sz w:val="22"/>
                <w:szCs w:val="22"/>
              </w:rPr>
              <w:t>NOTCH3</w:t>
            </w:r>
            <w:r w:rsidRPr="006B2F31">
              <w:rPr>
                <w:rFonts w:ascii="Helvetica" w:hAnsi="Helvetica"/>
                <w:color w:val="000000" w:themeColor="text1"/>
                <w:sz w:val="22"/>
                <w:szCs w:val="22"/>
              </w:rPr>
              <w:t xml:space="preserve"> (0.39/0.28), </w:t>
            </w:r>
            <w:r w:rsidRPr="006B2F31">
              <w:rPr>
                <w:rFonts w:ascii="Helvetica" w:hAnsi="Helvetica"/>
                <w:i/>
                <w:iCs/>
                <w:color w:val="000000" w:themeColor="text1"/>
                <w:sz w:val="22"/>
                <w:szCs w:val="22"/>
              </w:rPr>
              <w:t>SYNE3</w:t>
            </w:r>
            <w:r w:rsidRPr="006B2F31">
              <w:rPr>
                <w:rFonts w:ascii="Helvetica" w:hAnsi="Helvetica"/>
                <w:color w:val="000000" w:themeColor="text1"/>
                <w:sz w:val="22"/>
                <w:szCs w:val="22"/>
              </w:rPr>
              <w:t xml:space="preserve"> (0.37/0.48), </w:t>
            </w:r>
            <w:r w:rsidRPr="006B2F31">
              <w:rPr>
                <w:rFonts w:ascii="Helvetica" w:hAnsi="Helvetica"/>
                <w:i/>
                <w:iCs/>
                <w:color w:val="000000" w:themeColor="text1"/>
                <w:sz w:val="22"/>
                <w:szCs w:val="22"/>
              </w:rPr>
              <w:t>CANX</w:t>
            </w:r>
            <w:r w:rsidRPr="006B2F31">
              <w:rPr>
                <w:rFonts w:ascii="Helvetica" w:hAnsi="Helvetica"/>
                <w:color w:val="000000" w:themeColor="text1"/>
                <w:sz w:val="22"/>
                <w:szCs w:val="22"/>
              </w:rPr>
              <w:t xml:space="preserve"> (0.45/0.38), </w:t>
            </w:r>
            <w:r w:rsidRPr="006B2F31">
              <w:rPr>
                <w:rFonts w:ascii="Helvetica" w:hAnsi="Helvetica"/>
                <w:i/>
                <w:iCs/>
                <w:color w:val="000000" w:themeColor="text1"/>
                <w:sz w:val="22"/>
                <w:szCs w:val="22"/>
              </w:rPr>
              <w:t>GAS5</w:t>
            </w:r>
            <w:r w:rsidRPr="006B2F31">
              <w:rPr>
                <w:rFonts w:ascii="Helvetica" w:hAnsi="Helvetica"/>
                <w:color w:val="000000" w:themeColor="text1"/>
                <w:sz w:val="22"/>
                <w:szCs w:val="22"/>
              </w:rPr>
              <w:t xml:space="preserve"> (0.29/0.43), </w:t>
            </w:r>
            <w:r w:rsidRPr="006B2F31">
              <w:rPr>
                <w:rFonts w:ascii="Helvetica" w:hAnsi="Helvetica"/>
                <w:i/>
                <w:iCs/>
                <w:color w:val="000000" w:themeColor="text1"/>
                <w:sz w:val="22"/>
                <w:szCs w:val="22"/>
              </w:rPr>
              <w:t>ONECUT3</w:t>
            </w:r>
            <w:r w:rsidRPr="006B2F31">
              <w:rPr>
                <w:rFonts w:ascii="Helvetica" w:hAnsi="Helvetica"/>
                <w:color w:val="000000" w:themeColor="text1"/>
                <w:sz w:val="22"/>
                <w:szCs w:val="22"/>
              </w:rPr>
              <w:t xml:space="preserve"> (0.58/0.35), </w:t>
            </w:r>
            <w:r w:rsidRPr="006B2F31">
              <w:rPr>
                <w:rFonts w:ascii="Helvetica" w:hAnsi="Helvetica"/>
                <w:i/>
                <w:iCs/>
                <w:color w:val="000000" w:themeColor="text1"/>
                <w:sz w:val="22"/>
                <w:szCs w:val="22"/>
              </w:rPr>
              <w:t>PTMAP5</w:t>
            </w:r>
            <w:r w:rsidRPr="006B2F31">
              <w:rPr>
                <w:rFonts w:ascii="Helvetica" w:hAnsi="Helvetica"/>
                <w:color w:val="000000" w:themeColor="text1"/>
                <w:sz w:val="22"/>
                <w:szCs w:val="22"/>
              </w:rPr>
              <w:t xml:space="preserve"> (0.75/0.89), </w:t>
            </w:r>
            <w:r w:rsidRPr="006B2F31">
              <w:rPr>
                <w:rFonts w:ascii="Helvetica" w:hAnsi="Helvetica"/>
                <w:i/>
                <w:iCs/>
                <w:color w:val="000000" w:themeColor="text1"/>
                <w:sz w:val="22"/>
                <w:szCs w:val="22"/>
              </w:rPr>
              <w:t>MALAT1</w:t>
            </w:r>
            <w:r w:rsidRPr="006B2F31">
              <w:rPr>
                <w:rFonts w:ascii="Helvetica" w:hAnsi="Helvetica"/>
                <w:color w:val="000000" w:themeColor="text1"/>
                <w:sz w:val="22"/>
                <w:szCs w:val="22"/>
              </w:rPr>
              <w:t xml:space="preserve"> (0.41/0.38), </w:t>
            </w:r>
            <w:r w:rsidRPr="006B2F31">
              <w:rPr>
                <w:rFonts w:ascii="Helvetica" w:hAnsi="Helvetica"/>
                <w:i/>
                <w:iCs/>
                <w:color w:val="000000" w:themeColor="text1"/>
                <w:sz w:val="22"/>
                <w:szCs w:val="22"/>
              </w:rPr>
              <w:t>UACA</w:t>
            </w:r>
            <w:r w:rsidRPr="006B2F31">
              <w:rPr>
                <w:rFonts w:ascii="Helvetica" w:hAnsi="Helvetica"/>
                <w:color w:val="000000" w:themeColor="text1"/>
                <w:sz w:val="22"/>
                <w:szCs w:val="22"/>
              </w:rPr>
              <w:t xml:space="preserve"> (0.80/0.32), </w:t>
            </w:r>
            <w:r w:rsidRPr="006B2F31">
              <w:rPr>
                <w:rFonts w:ascii="Helvetica" w:hAnsi="Helvetica"/>
                <w:i/>
                <w:iCs/>
                <w:color w:val="000000" w:themeColor="text1"/>
                <w:sz w:val="22"/>
                <w:szCs w:val="22"/>
              </w:rPr>
              <w:t>SCN5A</w:t>
            </w:r>
            <w:r w:rsidRPr="006B2F31">
              <w:rPr>
                <w:rFonts w:ascii="Helvetica" w:hAnsi="Helvetica"/>
                <w:color w:val="000000" w:themeColor="text1"/>
                <w:sz w:val="22"/>
                <w:szCs w:val="22"/>
              </w:rPr>
              <w:t xml:space="preserve"> (0.44/0.35), </w:t>
            </w:r>
            <w:r w:rsidRPr="006B2F31">
              <w:rPr>
                <w:rFonts w:ascii="Helvetica" w:hAnsi="Helvetica"/>
                <w:i/>
                <w:iCs/>
                <w:color w:val="000000" w:themeColor="text1"/>
                <w:sz w:val="22"/>
                <w:szCs w:val="22"/>
              </w:rPr>
              <w:t>NBL1</w:t>
            </w:r>
            <w:r w:rsidRPr="006B2F31">
              <w:rPr>
                <w:rFonts w:ascii="Helvetica" w:hAnsi="Helvetica"/>
                <w:color w:val="000000" w:themeColor="text1"/>
                <w:sz w:val="22"/>
                <w:szCs w:val="22"/>
              </w:rPr>
              <w:t xml:space="preserve"> (0.92/0.84), </w:t>
            </w:r>
            <w:r w:rsidRPr="006B2F31">
              <w:rPr>
                <w:rFonts w:ascii="Helvetica" w:hAnsi="Helvetica"/>
                <w:i/>
                <w:iCs/>
                <w:color w:val="000000" w:themeColor="text1"/>
                <w:sz w:val="22"/>
                <w:szCs w:val="22"/>
              </w:rPr>
              <w:t>WDR31</w:t>
            </w:r>
            <w:r w:rsidRPr="006B2F31">
              <w:rPr>
                <w:rFonts w:ascii="Helvetica" w:hAnsi="Helvetica"/>
                <w:color w:val="000000" w:themeColor="text1"/>
                <w:sz w:val="22"/>
                <w:szCs w:val="22"/>
              </w:rPr>
              <w:t xml:space="preserve"> (0.49/0.66)</w:t>
            </w:r>
          </w:p>
        </w:tc>
      </w:tr>
      <w:tr w:rsidR="00BF5828" w:rsidRPr="006B2F31" w14:paraId="58C05948" w14:textId="77777777" w:rsidTr="00085A7E">
        <w:tc>
          <w:tcPr>
            <w:tcW w:w="1034" w:type="dxa"/>
            <w:vAlign w:val="center"/>
          </w:tcPr>
          <w:p w14:paraId="5E151D4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lastRenderedPageBreak/>
              <w:t xml:space="preserve">dHF </w:t>
            </w:r>
          </w:p>
        </w:tc>
        <w:tc>
          <w:tcPr>
            <w:tcW w:w="3923" w:type="dxa"/>
            <w:vAlign w:val="center"/>
          </w:tcPr>
          <w:p w14:paraId="6B10475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ITLN1</w:t>
            </w:r>
            <w:r w:rsidRPr="006B2F31">
              <w:rPr>
                <w:rFonts w:ascii="Helvetica" w:hAnsi="Helvetica"/>
                <w:color w:val="000000" w:themeColor="text1"/>
                <w:sz w:val="22"/>
                <w:szCs w:val="22"/>
              </w:rPr>
              <w:t xml:space="preserve"> (2.38), </w:t>
            </w:r>
            <w:r w:rsidRPr="006B2F31">
              <w:rPr>
                <w:rFonts w:ascii="Helvetica" w:hAnsi="Helvetica"/>
                <w:i/>
                <w:iCs/>
                <w:color w:val="000000" w:themeColor="text1"/>
                <w:sz w:val="22"/>
                <w:szCs w:val="22"/>
              </w:rPr>
              <w:t>RP11-475J5.10</w:t>
            </w:r>
            <w:r w:rsidRPr="006B2F31">
              <w:rPr>
                <w:rFonts w:ascii="Helvetica" w:hAnsi="Helvetica"/>
                <w:color w:val="000000" w:themeColor="text1"/>
                <w:sz w:val="22"/>
                <w:szCs w:val="22"/>
              </w:rPr>
              <w:t xml:space="preserve"> (1.01), </w:t>
            </w:r>
            <w:r w:rsidRPr="006B2F31">
              <w:rPr>
                <w:rFonts w:ascii="Helvetica" w:hAnsi="Helvetica"/>
                <w:i/>
                <w:iCs/>
                <w:color w:val="000000" w:themeColor="text1"/>
                <w:sz w:val="22"/>
                <w:szCs w:val="22"/>
              </w:rPr>
              <w:t>HP</w:t>
            </w:r>
            <w:r w:rsidRPr="006B2F31">
              <w:rPr>
                <w:rFonts w:ascii="Helvetica" w:hAnsi="Helvetica"/>
                <w:color w:val="000000" w:themeColor="text1"/>
                <w:sz w:val="22"/>
                <w:szCs w:val="22"/>
              </w:rPr>
              <w:t xml:space="preserve"> (1.20), </w:t>
            </w:r>
            <w:r w:rsidRPr="006B2F31">
              <w:rPr>
                <w:rFonts w:ascii="Helvetica" w:hAnsi="Helvetica"/>
                <w:i/>
                <w:iCs/>
                <w:color w:val="000000" w:themeColor="text1"/>
                <w:sz w:val="22"/>
                <w:szCs w:val="22"/>
              </w:rPr>
              <w:t>FOSB</w:t>
            </w:r>
            <w:r w:rsidRPr="006B2F31">
              <w:rPr>
                <w:rFonts w:ascii="Helvetica" w:hAnsi="Helvetica"/>
                <w:color w:val="000000" w:themeColor="text1"/>
                <w:sz w:val="22"/>
                <w:szCs w:val="22"/>
              </w:rPr>
              <w:t xml:space="preserve"> (1.09), </w:t>
            </w:r>
            <w:r w:rsidRPr="006B2F31">
              <w:rPr>
                <w:rFonts w:ascii="Helvetica" w:hAnsi="Helvetica"/>
                <w:i/>
                <w:iCs/>
                <w:color w:val="000000" w:themeColor="text1"/>
                <w:sz w:val="22"/>
                <w:szCs w:val="22"/>
              </w:rPr>
              <w:t>MTND4P12</w:t>
            </w:r>
            <w:r w:rsidRPr="006B2F31">
              <w:rPr>
                <w:rFonts w:ascii="Helvetica" w:hAnsi="Helvetica"/>
                <w:color w:val="000000" w:themeColor="text1"/>
                <w:sz w:val="22"/>
                <w:szCs w:val="22"/>
              </w:rPr>
              <w:t xml:space="preserve"> (0.90), </w:t>
            </w:r>
            <w:r w:rsidRPr="006B2F31">
              <w:rPr>
                <w:rFonts w:ascii="Helvetica" w:hAnsi="Helvetica"/>
                <w:i/>
                <w:iCs/>
                <w:color w:val="000000" w:themeColor="text1"/>
                <w:sz w:val="22"/>
                <w:szCs w:val="22"/>
              </w:rPr>
              <w:t>RP11-475J5.6</w:t>
            </w:r>
            <w:r w:rsidRPr="006B2F31">
              <w:rPr>
                <w:rFonts w:ascii="Helvetica" w:hAnsi="Helvetica"/>
                <w:color w:val="000000" w:themeColor="text1"/>
                <w:sz w:val="22"/>
                <w:szCs w:val="22"/>
              </w:rPr>
              <w:t xml:space="preserve"> (0.84), </w:t>
            </w:r>
            <w:r w:rsidRPr="006B2F31">
              <w:rPr>
                <w:rFonts w:ascii="Helvetica" w:hAnsi="Helvetica"/>
                <w:i/>
                <w:iCs/>
                <w:color w:val="000000" w:themeColor="text1"/>
                <w:sz w:val="22"/>
                <w:szCs w:val="22"/>
              </w:rPr>
              <w:t>MTRNR2L7</w:t>
            </w:r>
            <w:r w:rsidRPr="006B2F31">
              <w:rPr>
                <w:rFonts w:ascii="Helvetica" w:hAnsi="Helvetica"/>
                <w:color w:val="000000" w:themeColor="text1"/>
                <w:sz w:val="22"/>
                <w:szCs w:val="22"/>
              </w:rPr>
              <w:t xml:space="preserve">, </w:t>
            </w:r>
            <w:r w:rsidRPr="006B2F31">
              <w:rPr>
                <w:rFonts w:ascii="Helvetica" w:hAnsi="Helvetica"/>
                <w:i/>
                <w:iCs/>
                <w:color w:val="000000" w:themeColor="text1"/>
                <w:sz w:val="22"/>
                <w:szCs w:val="22"/>
              </w:rPr>
              <w:t>RP5-857K21.6</w:t>
            </w:r>
            <w:r w:rsidRPr="006B2F31">
              <w:rPr>
                <w:rFonts w:ascii="Helvetica" w:hAnsi="Helvetica"/>
                <w:color w:val="000000" w:themeColor="text1"/>
                <w:sz w:val="22"/>
                <w:szCs w:val="22"/>
              </w:rPr>
              <w:t xml:space="preserve">, </w:t>
            </w:r>
            <w:r w:rsidRPr="006B2F31">
              <w:rPr>
                <w:rFonts w:ascii="Helvetica" w:hAnsi="Helvetica"/>
                <w:i/>
                <w:iCs/>
                <w:color w:val="000000" w:themeColor="text1"/>
                <w:sz w:val="22"/>
                <w:szCs w:val="22"/>
              </w:rPr>
              <w:t>MTRNR2L13</w:t>
            </w:r>
            <w:r w:rsidRPr="006B2F31">
              <w:rPr>
                <w:rFonts w:ascii="Helvetica" w:hAnsi="Helvetica"/>
                <w:color w:val="000000" w:themeColor="text1"/>
                <w:sz w:val="22"/>
                <w:szCs w:val="22"/>
              </w:rPr>
              <w:t xml:space="preserve">, </w:t>
            </w:r>
            <w:r w:rsidRPr="006B2F31">
              <w:rPr>
                <w:rFonts w:ascii="Helvetica" w:hAnsi="Helvetica"/>
                <w:i/>
                <w:iCs/>
                <w:color w:val="000000" w:themeColor="text1"/>
                <w:sz w:val="22"/>
                <w:szCs w:val="22"/>
              </w:rPr>
              <w:t>JUN</w:t>
            </w:r>
          </w:p>
        </w:tc>
        <w:tc>
          <w:tcPr>
            <w:tcW w:w="4110" w:type="dxa"/>
            <w:vMerge/>
            <w:vAlign w:val="center"/>
          </w:tcPr>
          <w:p w14:paraId="6A8DB0B1" w14:textId="77777777" w:rsidR="00BF5828" w:rsidRPr="006B2F31" w:rsidRDefault="00BF5828" w:rsidP="00085A7E">
            <w:pPr>
              <w:spacing w:line="360" w:lineRule="auto"/>
              <w:jc w:val="both"/>
              <w:rPr>
                <w:rFonts w:ascii="Helvetica" w:hAnsi="Helvetica"/>
                <w:color w:val="000000" w:themeColor="text1"/>
                <w:sz w:val="22"/>
                <w:szCs w:val="22"/>
              </w:rPr>
            </w:pPr>
          </w:p>
        </w:tc>
      </w:tr>
    </w:tbl>
    <w:p w14:paraId="662DF6F8" w14:textId="77777777" w:rsidR="00BF5828" w:rsidRPr="006B2F31" w:rsidRDefault="00BF5828" w:rsidP="00BF5828">
      <w:pPr>
        <w:spacing w:line="360" w:lineRule="auto"/>
        <w:jc w:val="both"/>
        <w:rPr>
          <w:rFonts w:ascii="Helvetica" w:hAnsi="Helvetica"/>
          <w:b/>
          <w:bCs/>
          <w:color w:val="000000" w:themeColor="text1"/>
          <w:sz w:val="22"/>
          <w:szCs w:val="22"/>
        </w:rPr>
      </w:pPr>
    </w:p>
    <w:p w14:paraId="0C6883CE"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t xml:space="preserve">Supplementary Table </w:t>
      </w:r>
      <w:r>
        <w:rPr>
          <w:rFonts w:ascii="Helvetica" w:hAnsi="Helvetica"/>
          <w:b/>
          <w:bCs/>
          <w:color w:val="000000" w:themeColor="text1"/>
          <w:sz w:val="22"/>
          <w:szCs w:val="22"/>
        </w:rPr>
        <w:t>9</w:t>
      </w:r>
      <w:r w:rsidRPr="006B2F31">
        <w:rPr>
          <w:rFonts w:ascii="Helvetica" w:hAnsi="Helvetica"/>
          <w:b/>
          <w:bCs/>
          <w:color w:val="000000" w:themeColor="text1"/>
          <w:sz w:val="22"/>
          <w:szCs w:val="22"/>
        </w:rPr>
        <w:t xml:space="preserve">. Common upregulated DEGs in fetal and dHF adult heart ECs compared to the uninjured adult heart. </w:t>
      </w:r>
      <w:r w:rsidRPr="006B2F31">
        <w:rPr>
          <w:rFonts w:ascii="Helvetica" w:hAnsi="Helvetica"/>
          <w:color w:val="000000" w:themeColor="text1"/>
          <w:sz w:val="22"/>
          <w:szCs w:val="22"/>
        </w:rPr>
        <w:t xml:space="preserve">DEGs were ranked according to both the adjusted P values and the average log2 fold change. </w:t>
      </w:r>
    </w:p>
    <w:tbl>
      <w:tblPr>
        <w:tblStyle w:val="TableGrid"/>
        <w:tblW w:w="8926" w:type="dxa"/>
        <w:tblLook w:val="04A0" w:firstRow="1" w:lastRow="0" w:firstColumn="1" w:lastColumn="0" w:noHBand="0" w:noVBand="1"/>
      </w:tblPr>
      <w:tblGrid>
        <w:gridCol w:w="2263"/>
        <w:gridCol w:w="6663"/>
      </w:tblGrid>
      <w:tr w:rsidR="00BF5828" w:rsidRPr="006B2F31" w14:paraId="5F7478EB" w14:textId="77777777" w:rsidTr="00085A7E">
        <w:trPr>
          <w:trHeight w:val="1199"/>
        </w:trPr>
        <w:tc>
          <w:tcPr>
            <w:tcW w:w="2263" w:type="dxa"/>
            <w:vAlign w:val="center"/>
          </w:tcPr>
          <w:p w14:paraId="2095250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Comparison</w:t>
            </w:r>
          </w:p>
        </w:tc>
        <w:tc>
          <w:tcPr>
            <w:tcW w:w="6663" w:type="dxa"/>
            <w:vAlign w:val="center"/>
          </w:tcPr>
          <w:p w14:paraId="14BADB1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Upregulated (log2 fold change, dHF/fetal)</w:t>
            </w:r>
          </w:p>
        </w:tc>
      </w:tr>
      <w:tr w:rsidR="00BF5828" w:rsidRPr="006B2F31" w14:paraId="57650E66" w14:textId="77777777" w:rsidTr="00085A7E">
        <w:trPr>
          <w:trHeight w:val="1199"/>
        </w:trPr>
        <w:tc>
          <w:tcPr>
            <w:tcW w:w="2263" w:type="dxa"/>
            <w:vAlign w:val="center"/>
          </w:tcPr>
          <w:p w14:paraId="124FAE9C"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Common DEGs between healthy fetal and dHF adult (vs uninjured adult)</w:t>
            </w:r>
          </w:p>
        </w:tc>
        <w:tc>
          <w:tcPr>
            <w:tcW w:w="6663" w:type="dxa"/>
            <w:vAlign w:val="center"/>
          </w:tcPr>
          <w:p w14:paraId="15EA44FB"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RPL39</w:t>
            </w:r>
            <w:r w:rsidRPr="006B2F31">
              <w:rPr>
                <w:rFonts w:ascii="Helvetica" w:hAnsi="Helvetica"/>
                <w:color w:val="000000" w:themeColor="text1"/>
                <w:sz w:val="22"/>
                <w:szCs w:val="22"/>
              </w:rPr>
              <w:t xml:space="preserve"> (0.35/2.61), </w:t>
            </w:r>
            <w:r w:rsidRPr="006B2F31">
              <w:rPr>
                <w:rFonts w:ascii="Helvetica" w:hAnsi="Helvetica"/>
                <w:i/>
                <w:iCs/>
                <w:color w:val="000000" w:themeColor="text1"/>
                <w:sz w:val="22"/>
                <w:szCs w:val="22"/>
              </w:rPr>
              <w:t>RPL11</w:t>
            </w:r>
            <w:r w:rsidRPr="006B2F31">
              <w:rPr>
                <w:rFonts w:ascii="Helvetica" w:hAnsi="Helvetica"/>
                <w:color w:val="000000" w:themeColor="text1"/>
                <w:sz w:val="22"/>
                <w:szCs w:val="22"/>
              </w:rPr>
              <w:t xml:space="preserve"> (0.36/1.91), </w:t>
            </w:r>
            <w:r w:rsidRPr="006B2F31">
              <w:rPr>
                <w:rFonts w:ascii="Helvetica" w:hAnsi="Helvetica"/>
                <w:i/>
                <w:iCs/>
                <w:color w:val="000000" w:themeColor="text1"/>
                <w:sz w:val="22"/>
                <w:szCs w:val="22"/>
              </w:rPr>
              <w:t>PTMA</w:t>
            </w:r>
            <w:r w:rsidRPr="006B2F31">
              <w:rPr>
                <w:rFonts w:ascii="Helvetica" w:hAnsi="Helvetica"/>
                <w:color w:val="000000" w:themeColor="text1"/>
                <w:sz w:val="22"/>
                <w:szCs w:val="22"/>
              </w:rPr>
              <w:t xml:space="preserve"> (0.40/1.16), </w:t>
            </w:r>
            <w:r w:rsidRPr="006B2F31">
              <w:rPr>
                <w:rFonts w:ascii="Helvetica" w:hAnsi="Helvetica"/>
                <w:i/>
                <w:iCs/>
                <w:color w:val="000000" w:themeColor="text1"/>
                <w:sz w:val="22"/>
                <w:szCs w:val="22"/>
              </w:rPr>
              <w:t>RPS11</w:t>
            </w:r>
            <w:r w:rsidRPr="006B2F31">
              <w:rPr>
                <w:rFonts w:ascii="Helvetica" w:hAnsi="Helvetica"/>
                <w:color w:val="000000" w:themeColor="text1"/>
                <w:sz w:val="22"/>
                <w:szCs w:val="22"/>
              </w:rPr>
              <w:t xml:space="preserve"> (0.37/1.19), </w:t>
            </w:r>
            <w:r w:rsidRPr="006B2F31">
              <w:rPr>
                <w:rFonts w:ascii="Helvetica" w:hAnsi="Helvetica"/>
                <w:i/>
                <w:iCs/>
                <w:color w:val="000000" w:themeColor="text1"/>
                <w:sz w:val="22"/>
                <w:szCs w:val="22"/>
              </w:rPr>
              <w:t>FN1</w:t>
            </w:r>
            <w:r w:rsidRPr="006B2F31">
              <w:rPr>
                <w:rFonts w:ascii="Helvetica" w:hAnsi="Helvetica"/>
                <w:color w:val="000000" w:themeColor="text1"/>
                <w:sz w:val="22"/>
                <w:szCs w:val="22"/>
              </w:rPr>
              <w:t xml:space="preserve"> (0.25/2.23), </w:t>
            </w:r>
            <w:r w:rsidRPr="006B2F31">
              <w:rPr>
                <w:rFonts w:ascii="Helvetica" w:hAnsi="Helvetica"/>
                <w:i/>
                <w:iCs/>
                <w:color w:val="000000" w:themeColor="text1"/>
                <w:sz w:val="22"/>
                <w:szCs w:val="22"/>
              </w:rPr>
              <w:t>NAP1L1</w:t>
            </w:r>
            <w:r w:rsidRPr="006B2F31">
              <w:rPr>
                <w:rFonts w:ascii="Helvetica" w:hAnsi="Helvetica"/>
                <w:color w:val="000000" w:themeColor="text1"/>
                <w:sz w:val="22"/>
                <w:szCs w:val="22"/>
              </w:rPr>
              <w:t xml:space="preserve"> (0.37/0.93), </w:t>
            </w:r>
            <w:r w:rsidRPr="006B2F31">
              <w:rPr>
                <w:rFonts w:ascii="Helvetica" w:hAnsi="Helvetica"/>
                <w:i/>
                <w:iCs/>
                <w:color w:val="000000" w:themeColor="text1"/>
                <w:sz w:val="22"/>
                <w:szCs w:val="22"/>
              </w:rPr>
              <w:t>EFNB2</w:t>
            </w:r>
            <w:r w:rsidRPr="006B2F31">
              <w:rPr>
                <w:rFonts w:ascii="Helvetica" w:hAnsi="Helvetica"/>
                <w:color w:val="000000" w:themeColor="text1"/>
                <w:sz w:val="22"/>
                <w:szCs w:val="22"/>
              </w:rPr>
              <w:t xml:space="preserve"> (0.47/0.63), </w:t>
            </w:r>
            <w:r w:rsidRPr="006B2F31">
              <w:rPr>
                <w:rFonts w:ascii="Helvetica" w:hAnsi="Helvetica"/>
                <w:i/>
                <w:iCs/>
                <w:color w:val="000000" w:themeColor="text1"/>
                <w:sz w:val="22"/>
                <w:szCs w:val="22"/>
              </w:rPr>
              <w:t>RPL10AP6</w:t>
            </w:r>
            <w:r w:rsidRPr="006B2F31">
              <w:rPr>
                <w:rFonts w:ascii="Helvetica" w:hAnsi="Helvetica"/>
                <w:color w:val="000000" w:themeColor="text1"/>
                <w:sz w:val="22"/>
                <w:szCs w:val="22"/>
              </w:rPr>
              <w:t xml:space="preserve"> (0.51/0.25), </w:t>
            </w:r>
            <w:r w:rsidRPr="006B2F31">
              <w:rPr>
                <w:rFonts w:ascii="Helvetica" w:hAnsi="Helvetica"/>
                <w:i/>
                <w:iCs/>
                <w:color w:val="000000" w:themeColor="text1"/>
                <w:sz w:val="22"/>
                <w:szCs w:val="22"/>
              </w:rPr>
              <w:t>LTBP4</w:t>
            </w:r>
            <w:r w:rsidRPr="006B2F31">
              <w:rPr>
                <w:rFonts w:ascii="Helvetica" w:hAnsi="Helvetica"/>
                <w:color w:val="000000" w:themeColor="text1"/>
                <w:sz w:val="22"/>
                <w:szCs w:val="22"/>
              </w:rPr>
              <w:t xml:space="preserve"> (0.55/1.02), </w:t>
            </w:r>
            <w:r w:rsidRPr="006B2F31">
              <w:rPr>
                <w:rFonts w:ascii="Helvetica" w:hAnsi="Helvetica"/>
                <w:i/>
                <w:iCs/>
                <w:color w:val="000000" w:themeColor="text1"/>
                <w:sz w:val="22"/>
                <w:szCs w:val="22"/>
              </w:rPr>
              <w:t>CCDC80</w:t>
            </w:r>
            <w:r w:rsidRPr="006B2F31">
              <w:rPr>
                <w:rFonts w:ascii="Helvetica" w:hAnsi="Helvetica"/>
                <w:color w:val="000000" w:themeColor="text1"/>
                <w:sz w:val="22"/>
                <w:szCs w:val="22"/>
              </w:rPr>
              <w:t xml:space="preserve"> (0.33/1.03), </w:t>
            </w:r>
            <w:r w:rsidRPr="006B2F31">
              <w:rPr>
                <w:rFonts w:ascii="Helvetica" w:hAnsi="Helvetica"/>
                <w:i/>
                <w:iCs/>
                <w:color w:val="000000" w:themeColor="text1"/>
                <w:sz w:val="22"/>
                <w:szCs w:val="22"/>
              </w:rPr>
              <w:t>SOX4</w:t>
            </w:r>
            <w:r w:rsidRPr="006B2F31">
              <w:rPr>
                <w:rFonts w:ascii="Helvetica" w:hAnsi="Helvetica"/>
                <w:color w:val="000000" w:themeColor="text1"/>
                <w:sz w:val="22"/>
                <w:szCs w:val="22"/>
              </w:rPr>
              <w:t xml:space="preserve"> (1.08/0.63), </w:t>
            </w:r>
            <w:r w:rsidRPr="006B2F31">
              <w:rPr>
                <w:rFonts w:ascii="Helvetica" w:hAnsi="Helvetica"/>
                <w:i/>
                <w:iCs/>
                <w:color w:val="000000" w:themeColor="text1"/>
                <w:sz w:val="22"/>
                <w:szCs w:val="22"/>
              </w:rPr>
              <w:t xml:space="preserve">EEF2 </w:t>
            </w:r>
            <w:r w:rsidRPr="006B2F31">
              <w:rPr>
                <w:rFonts w:ascii="Helvetica" w:hAnsi="Helvetica"/>
                <w:color w:val="000000" w:themeColor="text1"/>
                <w:sz w:val="22"/>
                <w:szCs w:val="22"/>
              </w:rPr>
              <w:t xml:space="preserve">(0.61/1.01), </w:t>
            </w:r>
            <w:r w:rsidRPr="006B2F31">
              <w:rPr>
                <w:rFonts w:ascii="Helvetica" w:hAnsi="Helvetica"/>
                <w:i/>
                <w:iCs/>
                <w:color w:val="000000" w:themeColor="text1"/>
                <w:sz w:val="22"/>
                <w:szCs w:val="22"/>
              </w:rPr>
              <w:t>HSPA5</w:t>
            </w:r>
            <w:r w:rsidRPr="006B2F31">
              <w:rPr>
                <w:rFonts w:ascii="Helvetica" w:hAnsi="Helvetica"/>
                <w:color w:val="000000" w:themeColor="text1"/>
                <w:sz w:val="22"/>
                <w:szCs w:val="22"/>
              </w:rPr>
              <w:t xml:space="preserve"> (0.40/0.86), </w:t>
            </w:r>
            <w:r w:rsidRPr="006B2F31">
              <w:rPr>
                <w:rFonts w:ascii="Helvetica" w:hAnsi="Helvetica"/>
                <w:i/>
                <w:iCs/>
                <w:color w:val="000000" w:themeColor="text1"/>
                <w:sz w:val="22"/>
                <w:szCs w:val="22"/>
              </w:rPr>
              <w:t>FUS</w:t>
            </w:r>
            <w:r w:rsidRPr="006B2F31">
              <w:rPr>
                <w:rFonts w:ascii="Helvetica" w:hAnsi="Helvetica"/>
                <w:color w:val="000000" w:themeColor="text1"/>
                <w:sz w:val="22"/>
                <w:szCs w:val="22"/>
              </w:rPr>
              <w:t xml:space="preserve"> (0.76/0.77), </w:t>
            </w:r>
            <w:r w:rsidRPr="006B2F31">
              <w:rPr>
                <w:rFonts w:ascii="Helvetica" w:hAnsi="Helvetica"/>
                <w:i/>
                <w:iCs/>
                <w:color w:val="000000" w:themeColor="text1"/>
                <w:sz w:val="22"/>
                <w:szCs w:val="22"/>
              </w:rPr>
              <w:t>PABPC1</w:t>
            </w:r>
            <w:r w:rsidRPr="006B2F31">
              <w:rPr>
                <w:rFonts w:ascii="Helvetica" w:hAnsi="Helvetica"/>
                <w:color w:val="000000" w:themeColor="text1"/>
                <w:sz w:val="22"/>
                <w:szCs w:val="22"/>
              </w:rPr>
              <w:t xml:space="preserve"> (0.75/0.58), </w:t>
            </w:r>
            <w:r w:rsidRPr="006B2F31">
              <w:rPr>
                <w:rFonts w:ascii="Helvetica" w:hAnsi="Helvetica"/>
                <w:i/>
                <w:iCs/>
                <w:color w:val="000000" w:themeColor="text1"/>
                <w:sz w:val="22"/>
                <w:szCs w:val="22"/>
              </w:rPr>
              <w:t>RTF1</w:t>
            </w:r>
            <w:r w:rsidRPr="006B2F31">
              <w:rPr>
                <w:rFonts w:ascii="Helvetica" w:hAnsi="Helvetica"/>
                <w:color w:val="000000" w:themeColor="text1"/>
                <w:sz w:val="22"/>
                <w:szCs w:val="22"/>
              </w:rPr>
              <w:t xml:space="preserve"> (0.27/0.43), </w:t>
            </w:r>
            <w:r w:rsidRPr="006B2F31">
              <w:rPr>
                <w:rFonts w:ascii="Helvetica" w:hAnsi="Helvetica"/>
                <w:i/>
                <w:iCs/>
                <w:color w:val="000000" w:themeColor="text1"/>
                <w:sz w:val="22"/>
                <w:szCs w:val="22"/>
              </w:rPr>
              <w:t>TIMP2</w:t>
            </w:r>
            <w:r w:rsidRPr="006B2F31">
              <w:rPr>
                <w:rFonts w:ascii="Helvetica" w:hAnsi="Helvetica"/>
                <w:color w:val="000000" w:themeColor="text1"/>
                <w:sz w:val="22"/>
                <w:szCs w:val="22"/>
              </w:rPr>
              <w:t xml:space="preserve"> (0.39/0.29)</w:t>
            </w:r>
          </w:p>
        </w:tc>
      </w:tr>
    </w:tbl>
    <w:p w14:paraId="5AE64841" w14:textId="77777777" w:rsidR="00BF5828" w:rsidRPr="006B2F31" w:rsidRDefault="00BF5828" w:rsidP="00BF5828">
      <w:pPr>
        <w:spacing w:line="360" w:lineRule="auto"/>
        <w:jc w:val="both"/>
        <w:rPr>
          <w:rFonts w:ascii="Helvetica" w:hAnsi="Helvetica"/>
          <w:color w:val="000000" w:themeColor="text1"/>
          <w:sz w:val="22"/>
          <w:szCs w:val="22"/>
        </w:rPr>
      </w:pPr>
    </w:p>
    <w:p w14:paraId="4F6EC05A"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t xml:space="preserve">Supplementary Table </w:t>
      </w:r>
      <w:r>
        <w:rPr>
          <w:rFonts w:ascii="Helvetica" w:hAnsi="Helvetica"/>
          <w:b/>
          <w:bCs/>
          <w:color w:val="000000" w:themeColor="text1"/>
          <w:sz w:val="22"/>
          <w:szCs w:val="22"/>
        </w:rPr>
        <w:t>10</w:t>
      </w:r>
      <w:r w:rsidRPr="006B2F31">
        <w:rPr>
          <w:rFonts w:ascii="Helvetica" w:hAnsi="Helvetica"/>
          <w:b/>
          <w:bCs/>
          <w:color w:val="000000" w:themeColor="text1"/>
          <w:sz w:val="22"/>
          <w:szCs w:val="22"/>
        </w:rPr>
        <w:t xml:space="preserve">. Common and species-specific upregulated genes in injured mouse and human cardiac ECs. </w:t>
      </w:r>
      <w:r w:rsidRPr="006B2F31">
        <w:rPr>
          <w:rFonts w:ascii="Helvetica" w:hAnsi="Helvetica"/>
          <w:color w:val="000000" w:themeColor="text1"/>
          <w:sz w:val="22"/>
          <w:szCs w:val="22"/>
        </w:rPr>
        <w:t>DEGs were ranked according to the adjusted P values and the average log2 fold change.</w:t>
      </w:r>
    </w:p>
    <w:tbl>
      <w:tblPr>
        <w:tblStyle w:val="TableGrid"/>
        <w:tblW w:w="0" w:type="auto"/>
        <w:tblLook w:val="04A0" w:firstRow="1" w:lastRow="0" w:firstColumn="1" w:lastColumn="0" w:noHBand="0" w:noVBand="1"/>
      </w:tblPr>
      <w:tblGrid>
        <w:gridCol w:w="1122"/>
        <w:gridCol w:w="5536"/>
        <w:gridCol w:w="2268"/>
      </w:tblGrid>
      <w:tr w:rsidR="00BF5828" w:rsidRPr="006B2F31" w14:paraId="4D195B4C" w14:textId="77777777" w:rsidTr="00085A7E">
        <w:tc>
          <w:tcPr>
            <w:tcW w:w="1122" w:type="dxa"/>
            <w:vMerge w:val="restart"/>
            <w:vAlign w:val="center"/>
          </w:tcPr>
          <w:p w14:paraId="66D61542" w14:textId="77777777" w:rsidR="00BF5828" w:rsidRPr="006B2F31" w:rsidRDefault="00BF5828" w:rsidP="00085A7E">
            <w:pPr>
              <w:spacing w:line="360" w:lineRule="auto"/>
              <w:jc w:val="both"/>
              <w:rPr>
                <w:rFonts w:ascii="Helvetica" w:hAnsi="Helvetica"/>
                <w:color w:val="000000" w:themeColor="text1"/>
                <w:sz w:val="22"/>
                <w:szCs w:val="22"/>
              </w:rPr>
            </w:pPr>
          </w:p>
        </w:tc>
        <w:tc>
          <w:tcPr>
            <w:tcW w:w="7804" w:type="dxa"/>
            <w:gridSpan w:val="2"/>
            <w:vAlign w:val="center"/>
          </w:tcPr>
          <w:p w14:paraId="3DFA79A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Upregulated DEGs (log2 fold change, mouse/human)</w:t>
            </w:r>
          </w:p>
        </w:tc>
      </w:tr>
      <w:tr w:rsidR="00BF5828" w:rsidRPr="006B2F31" w14:paraId="5DD6C8FF" w14:textId="77777777" w:rsidTr="00085A7E">
        <w:tc>
          <w:tcPr>
            <w:tcW w:w="1122" w:type="dxa"/>
            <w:vMerge/>
          </w:tcPr>
          <w:p w14:paraId="60D060D4" w14:textId="77777777" w:rsidR="00BF5828" w:rsidRPr="006B2F31" w:rsidRDefault="00BF5828" w:rsidP="00085A7E">
            <w:pPr>
              <w:spacing w:line="360" w:lineRule="auto"/>
              <w:jc w:val="both"/>
              <w:rPr>
                <w:rFonts w:ascii="Helvetica" w:hAnsi="Helvetica"/>
                <w:color w:val="000000" w:themeColor="text1"/>
                <w:sz w:val="22"/>
                <w:szCs w:val="22"/>
              </w:rPr>
            </w:pPr>
          </w:p>
        </w:tc>
        <w:tc>
          <w:tcPr>
            <w:tcW w:w="5536" w:type="dxa"/>
            <w:vAlign w:val="center"/>
          </w:tcPr>
          <w:p w14:paraId="351F864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Common</w:t>
            </w:r>
          </w:p>
        </w:tc>
        <w:tc>
          <w:tcPr>
            <w:tcW w:w="2268" w:type="dxa"/>
            <w:vAlign w:val="center"/>
          </w:tcPr>
          <w:p w14:paraId="156EFC6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Species-specific</w:t>
            </w:r>
          </w:p>
        </w:tc>
      </w:tr>
      <w:tr w:rsidR="00BF5828" w:rsidRPr="006B2F31" w14:paraId="74F23FD9" w14:textId="77777777" w:rsidTr="00085A7E">
        <w:tc>
          <w:tcPr>
            <w:tcW w:w="1122" w:type="dxa"/>
            <w:vAlign w:val="center"/>
          </w:tcPr>
          <w:p w14:paraId="13E9D1F4"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Mouse injured vs uninjured</w:t>
            </w:r>
          </w:p>
        </w:tc>
        <w:tc>
          <w:tcPr>
            <w:tcW w:w="5536" w:type="dxa"/>
            <w:vMerge w:val="restart"/>
          </w:tcPr>
          <w:p w14:paraId="0C28460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Cebpd</w:t>
            </w:r>
            <w:r w:rsidRPr="006B2F31">
              <w:rPr>
                <w:rFonts w:ascii="Helvetica" w:hAnsi="Helvetica"/>
                <w:color w:val="000000" w:themeColor="text1"/>
                <w:sz w:val="22"/>
                <w:szCs w:val="22"/>
              </w:rPr>
              <w:t>(1.75) /</w:t>
            </w:r>
            <w:r w:rsidRPr="006B2F31">
              <w:rPr>
                <w:rFonts w:ascii="Helvetica" w:hAnsi="Helvetica"/>
                <w:i/>
                <w:iCs/>
                <w:color w:val="000000" w:themeColor="text1"/>
                <w:sz w:val="22"/>
                <w:szCs w:val="22"/>
              </w:rPr>
              <w:t>CEBPD</w:t>
            </w:r>
            <w:r w:rsidRPr="006B2F31">
              <w:rPr>
                <w:rFonts w:ascii="Helvetica" w:hAnsi="Helvetica"/>
                <w:color w:val="000000" w:themeColor="text1"/>
                <w:sz w:val="22"/>
                <w:szCs w:val="22"/>
              </w:rPr>
              <w:t xml:space="preserve"> (0.90), </w:t>
            </w:r>
            <w:r w:rsidRPr="006B2F31">
              <w:rPr>
                <w:rFonts w:ascii="Helvetica" w:hAnsi="Helvetica"/>
                <w:i/>
                <w:iCs/>
                <w:color w:val="000000" w:themeColor="text1"/>
                <w:sz w:val="22"/>
                <w:szCs w:val="22"/>
              </w:rPr>
              <w:t>Fos</w:t>
            </w:r>
            <w:r w:rsidRPr="006B2F31">
              <w:rPr>
                <w:rFonts w:ascii="Helvetica" w:hAnsi="Helvetica"/>
                <w:color w:val="000000" w:themeColor="text1"/>
                <w:sz w:val="22"/>
                <w:szCs w:val="22"/>
              </w:rPr>
              <w:t xml:space="preserve"> (1.54)/</w:t>
            </w:r>
            <w:r w:rsidRPr="006B2F31">
              <w:rPr>
                <w:rFonts w:ascii="Helvetica" w:hAnsi="Helvetica"/>
                <w:i/>
                <w:iCs/>
                <w:color w:val="000000" w:themeColor="text1"/>
                <w:sz w:val="22"/>
                <w:szCs w:val="22"/>
              </w:rPr>
              <w:t>FOS</w:t>
            </w:r>
            <w:r w:rsidRPr="006B2F31">
              <w:rPr>
                <w:rFonts w:ascii="Helvetica" w:hAnsi="Helvetica"/>
                <w:color w:val="000000" w:themeColor="text1"/>
                <w:sz w:val="22"/>
                <w:szCs w:val="22"/>
              </w:rPr>
              <w:t xml:space="preserve"> (0.52), </w:t>
            </w:r>
            <w:r w:rsidRPr="006B2F31">
              <w:rPr>
                <w:rFonts w:ascii="Helvetica" w:hAnsi="Helvetica"/>
                <w:i/>
                <w:iCs/>
                <w:color w:val="000000" w:themeColor="text1"/>
                <w:sz w:val="22"/>
                <w:szCs w:val="22"/>
              </w:rPr>
              <w:t>Jund</w:t>
            </w:r>
            <w:r w:rsidRPr="006B2F31">
              <w:rPr>
                <w:rFonts w:ascii="Helvetica" w:hAnsi="Helvetica"/>
                <w:color w:val="000000" w:themeColor="text1"/>
                <w:sz w:val="22"/>
                <w:szCs w:val="22"/>
              </w:rPr>
              <w:t xml:space="preserve"> (0.82)/</w:t>
            </w:r>
            <w:r w:rsidRPr="006B2F31">
              <w:rPr>
                <w:rFonts w:ascii="Helvetica" w:hAnsi="Helvetica"/>
                <w:i/>
                <w:iCs/>
                <w:color w:val="000000" w:themeColor="text1"/>
                <w:sz w:val="22"/>
                <w:szCs w:val="22"/>
              </w:rPr>
              <w:t>JUND</w:t>
            </w:r>
            <w:r w:rsidRPr="006B2F31">
              <w:rPr>
                <w:rFonts w:ascii="Helvetica" w:hAnsi="Helvetica"/>
                <w:color w:val="000000" w:themeColor="text1"/>
                <w:sz w:val="22"/>
                <w:szCs w:val="22"/>
              </w:rPr>
              <w:t xml:space="preserve"> (0.56), </w:t>
            </w:r>
            <w:r w:rsidRPr="006B2F31">
              <w:rPr>
                <w:rFonts w:ascii="Helvetica" w:hAnsi="Helvetica"/>
                <w:i/>
                <w:iCs/>
                <w:color w:val="000000" w:themeColor="text1"/>
                <w:sz w:val="22"/>
                <w:szCs w:val="22"/>
              </w:rPr>
              <w:t>Jun</w:t>
            </w:r>
            <w:r w:rsidRPr="006B2F31">
              <w:rPr>
                <w:rFonts w:ascii="Helvetica" w:hAnsi="Helvetica"/>
                <w:color w:val="000000" w:themeColor="text1"/>
                <w:sz w:val="22"/>
                <w:szCs w:val="22"/>
              </w:rPr>
              <w:t xml:space="preserve"> (1.09)/</w:t>
            </w:r>
            <w:r w:rsidRPr="006B2F31">
              <w:rPr>
                <w:rFonts w:ascii="Helvetica" w:hAnsi="Helvetica"/>
                <w:i/>
                <w:iCs/>
                <w:color w:val="000000" w:themeColor="text1"/>
                <w:sz w:val="22"/>
                <w:szCs w:val="22"/>
              </w:rPr>
              <w:t>JUN</w:t>
            </w:r>
            <w:r w:rsidRPr="006B2F31">
              <w:rPr>
                <w:rFonts w:ascii="Helvetica" w:hAnsi="Helvetica"/>
                <w:color w:val="000000" w:themeColor="text1"/>
                <w:sz w:val="22"/>
                <w:szCs w:val="22"/>
              </w:rPr>
              <w:t xml:space="preserve"> (1.62), </w:t>
            </w:r>
            <w:r w:rsidRPr="006B2F31">
              <w:rPr>
                <w:rFonts w:ascii="Helvetica" w:hAnsi="Helvetica"/>
                <w:i/>
                <w:iCs/>
                <w:color w:val="000000" w:themeColor="text1"/>
                <w:sz w:val="22"/>
                <w:szCs w:val="22"/>
              </w:rPr>
              <w:t>Rps4x</w:t>
            </w:r>
            <w:r w:rsidRPr="006B2F31">
              <w:rPr>
                <w:rFonts w:ascii="Helvetica" w:hAnsi="Helvetica"/>
                <w:color w:val="000000" w:themeColor="text1"/>
                <w:sz w:val="22"/>
                <w:szCs w:val="22"/>
              </w:rPr>
              <w:t xml:space="preserve"> (0.69)/</w:t>
            </w:r>
            <w:r w:rsidRPr="006B2F31">
              <w:rPr>
                <w:rFonts w:ascii="Helvetica" w:hAnsi="Helvetica"/>
                <w:i/>
                <w:iCs/>
                <w:color w:val="000000" w:themeColor="text1"/>
                <w:sz w:val="22"/>
                <w:szCs w:val="22"/>
              </w:rPr>
              <w:t>RPS4Y1</w:t>
            </w:r>
            <w:r w:rsidRPr="006B2F31">
              <w:rPr>
                <w:rFonts w:ascii="Helvetica" w:hAnsi="Helvetica"/>
                <w:color w:val="000000" w:themeColor="text1"/>
                <w:sz w:val="22"/>
                <w:szCs w:val="22"/>
              </w:rPr>
              <w:t xml:space="preserve"> (0.57), </w:t>
            </w:r>
            <w:r w:rsidRPr="006B2F31">
              <w:rPr>
                <w:rFonts w:ascii="Helvetica" w:hAnsi="Helvetica"/>
                <w:i/>
                <w:iCs/>
                <w:color w:val="000000" w:themeColor="text1"/>
                <w:sz w:val="22"/>
                <w:szCs w:val="22"/>
              </w:rPr>
              <w:t>Lgals3bp</w:t>
            </w:r>
            <w:r w:rsidRPr="006B2F31">
              <w:rPr>
                <w:rFonts w:ascii="Helvetica" w:hAnsi="Helvetica"/>
                <w:color w:val="000000" w:themeColor="text1"/>
                <w:sz w:val="22"/>
                <w:szCs w:val="22"/>
              </w:rPr>
              <w:t xml:space="preserve"> (0.90)/</w:t>
            </w:r>
            <w:r w:rsidRPr="006B2F31">
              <w:rPr>
                <w:rFonts w:ascii="Helvetica" w:hAnsi="Helvetica"/>
                <w:i/>
                <w:iCs/>
                <w:color w:val="000000" w:themeColor="text1"/>
                <w:sz w:val="22"/>
                <w:szCs w:val="22"/>
              </w:rPr>
              <w:t>LGALS3BP</w:t>
            </w:r>
            <w:r w:rsidRPr="006B2F31">
              <w:rPr>
                <w:rFonts w:ascii="Helvetica" w:hAnsi="Helvetica"/>
                <w:color w:val="000000" w:themeColor="text1"/>
                <w:sz w:val="22"/>
                <w:szCs w:val="22"/>
              </w:rPr>
              <w:t xml:space="preserve"> (0.35), </w:t>
            </w:r>
            <w:r w:rsidRPr="006B2F31">
              <w:rPr>
                <w:rFonts w:ascii="Helvetica" w:hAnsi="Helvetica"/>
                <w:i/>
                <w:iCs/>
                <w:color w:val="000000" w:themeColor="text1"/>
                <w:sz w:val="22"/>
                <w:szCs w:val="22"/>
              </w:rPr>
              <w:t>Cd74</w:t>
            </w:r>
            <w:r w:rsidRPr="006B2F31">
              <w:rPr>
                <w:rFonts w:ascii="Helvetica" w:hAnsi="Helvetica"/>
                <w:color w:val="000000" w:themeColor="text1"/>
                <w:sz w:val="22"/>
                <w:szCs w:val="22"/>
              </w:rPr>
              <w:t xml:space="preserve"> (0.92)/</w:t>
            </w:r>
            <w:r w:rsidRPr="006B2F31">
              <w:rPr>
                <w:rFonts w:ascii="Helvetica" w:hAnsi="Helvetica"/>
                <w:i/>
                <w:iCs/>
                <w:color w:val="000000" w:themeColor="text1"/>
                <w:sz w:val="22"/>
                <w:szCs w:val="22"/>
              </w:rPr>
              <w:t>CD74</w:t>
            </w:r>
            <w:r w:rsidRPr="006B2F31">
              <w:rPr>
                <w:rFonts w:ascii="Helvetica" w:hAnsi="Helvetica"/>
                <w:color w:val="000000" w:themeColor="text1"/>
                <w:sz w:val="22"/>
                <w:szCs w:val="22"/>
              </w:rPr>
              <w:t xml:space="preserve"> (0.66), </w:t>
            </w:r>
            <w:r w:rsidRPr="006B2F31">
              <w:rPr>
                <w:rFonts w:ascii="Helvetica" w:hAnsi="Helvetica"/>
                <w:i/>
                <w:iCs/>
                <w:color w:val="000000" w:themeColor="text1"/>
                <w:sz w:val="22"/>
                <w:szCs w:val="22"/>
              </w:rPr>
              <w:t>B2m</w:t>
            </w:r>
            <w:r w:rsidRPr="006B2F31">
              <w:rPr>
                <w:rFonts w:ascii="Helvetica" w:hAnsi="Helvetica"/>
                <w:color w:val="000000" w:themeColor="text1"/>
                <w:sz w:val="22"/>
                <w:szCs w:val="22"/>
              </w:rPr>
              <w:t xml:space="preserve"> (0.67)/</w:t>
            </w:r>
            <w:r w:rsidRPr="006B2F31">
              <w:rPr>
                <w:rFonts w:ascii="Helvetica" w:hAnsi="Helvetica"/>
                <w:i/>
                <w:iCs/>
                <w:color w:val="000000" w:themeColor="text1"/>
                <w:sz w:val="22"/>
                <w:szCs w:val="22"/>
              </w:rPr>
              <w:t>B2M</w:t>
            </w:r>
            <w:r w:rsidRPr="006B2F31">
              <w:rPr>
                <w:rFonts w:ascii="Helvetica" w:hAnsi="Helvetica"/>
                <w:color w:val="000000" w:themeColor="text1"/>
                <w:sz w:val="22"/>
                <w:szCs w:val="22"/>
              </w:rPr>
              <w:t xml:space="preserve"> (0.54), </w:t>
            </w:r>
            <w:r w:rsidRPr="006B2F31">
              <w:rPr>
                <w:rFonts w:ascii="Helvetica" w:hAnsi="Helvetica"/>
                <w:i/>
                <w:iCs/>
                <w:color w:val="000000" w:themeColor="text1"/>
                <w:sz w:val="22"/>
                <w:szCs w:val="22"/>
              </w:rPr>
              <w:t>Dnaja1</w:t>
            </w:r>
            <w:r w:rsidRPr="006B2F31">
              <w:rPr>
                <w:rFonts w:ascii="Helvetica" w:hAnsi="Helvetica"/>
                <w:color w:val="000000" w:themeColor="text1"/>
                <w:sz w:val="22"/>
                <w:szCs w:val="22"/>
              </w:rPr>
              <w:t xml:space="preserve"> (0.75)/</w:t>
            </w:r>
            <w:r w:rsidRPr="006B2F31">
              <w:rPr>
                <w:rFonts w:ascii="Helvetica" w:hAnsi="Helvetica"/>
                <w:i/>
                <w:iCs/>
                <w:color w:val="000000" w:themeColor="text1"/>
                <w:sz w:val="22"/>
                <w:szCs w:val="22"/>
              </w:rPr>
              <w:t>DNAJB1</w:t>
            </w:r>
            <w:r w:rsidRPr="006B2F31">
              <w:rPr>
                <w:rFonts w:ascii="Helvetica" w:hAnsi="Helvetica"/>
                <w:color w:val="000000" w:themeColor="text1"/>
                <w:sz w:val="22"/>
                <w:szCs w:val="22"/>
              </w:rPr>
              <w:t xml:space="preserve"> (1.15), </w:t>
            </w:r>
            <w:r w:rsidRPr="006B2F31">
              <w:rPr>
                <w:rFonts w:ascii="Helvetica" w:hAnsi="Helvetica"/>
                <w:i/>
                <w:iCs/>
                <w:color w:val="000000" w:themeColor="text1"/>
                <w:sz w:val="22"/>
                <w:szCs w:val="22"/>
              </w:rPr>
              <w:t>Zfp36</w:t>
            </w:r>
            <w:r w:rsidRPr="006B2F31">
              <w:rPr>
                <w:rFonts w:ascii="Helvetica" w:hAnsi="Helvetica"/>
                <w:color w:val="000000" w:themeColor="text1"/>
                <w:sz w:val="22"/>
                <w:szCs w:val="22"/>
              </w:rPr>
              <w:t xml:space="preserve"> </w:t>
            </w:r>
            <w:r w:rsidRPr="006B2F31">
              <w:rPr>
                <w:rFonts w:ascii="Helvetica" w:hAnsi="Helvetica"/>
                <w:color w:val="000000" w:themeColor="text1"/>
                <w:sz w:val="22"/>
                <w:szCs w:val="22"/>
              </w:rPr>
              <w:lastRenderedPageBreak/>
              <w:t>(1.20)/</w:t>
            </w:r>
            <w:r w:rsidRPr="006B2F31">
              <w:rPr>
                <w:rFonts w:ascii="Helvetica" w:hAnsi="Helvetica"/>
                <w:i/>
                <w:iCs/>
                <w:color w:val="000000" w:themeColor="text1"/>
                <w:sz w:val="22"/>
                <w:szCs w:val="22"/>
              </w:rPr>
              <w:t>ZFP36</w:t>
            </w:r>
            <w:r w:rsidRPr="006B2F31">
              <w:rPr>
                <w:rFonts w:ascii="Helvetica" w:hAnsi="Helvetica"/>
                <w:color w:val="000000" w:themeColor="text1"/>
                <w:sz w:val="22"/>
                <w:szCs w:val="22"/>
              </w:rPr>
              <w:t xml:space="preserve"> (0.77), </w:t>
            </w:r>
            <w:r w:rsidRPr="006B2F31">
              <w:rPr>
                <w:rFonts w:ascii="Helvetica" w:hAnsi="Helvetica"/>
                <w:i/>
                <w:iCs/>
                <w:color w:val="000000" w:themeColor="text1"/>
                <w:sz w:val="22"/>
                <w:szCs w:val="22"/>
              </w:rPr>
              <w:t>Zfp36l2</w:t>
            </w:r>
            <w:r w:rsidRPr="006B2F31">
              <w:rPr>
                <w:rFonts w:ascii="Helvetica" w:hAnsi="Helvetica"/>
                <w:color w:val="000000" w:themeColor="text1"/>
                <w:sz w:val="22"/>
                <w:szCs w:val="22"/>
              </w:rPr>
              <w:t xml:space="preserve"> (0.80)/</w:t>
            </w:r>
            <w:r w:rsidRPr="006B2F31">
              <w:rPr>
                <w:rFonts w:ascii="Helvetica" w:hAnsi="Helvetica"/>
                <w:i/>
                <w:iCs/>
                <w:color w:val="000000" w:themeColor="text1"/>
                <w:sz w:val="22"/>
                <w:szCs w:val="22"/>
              </w:rPr>
              <w:t>ZFP36L2</w:t>
            </w:r>
            <w:r w:rsidRPr="006B2F31">
              <w:rPr>
                <w:rFonts w:ascii="Helvetica" w:hAnsi="Helvetica"/>
                <w:color w:val="000000" w:themeColor="text1"/>
                <w:sz w:val="22"/>
                <w:szCs w:val="22"/>
              </w:rPr>
              <w:t xml:space="preserve"> (0.79), </w:t>
            </w:r>
            <w:r w:rsidRPr="006B2F31">
              <w:rPr>
                <w:rFonts w:ascii="Helvetica" w:hAnsi="Helvetica"/>
                <w:i/>
                <w:iCs/>
                <w:color w:val="000000" w:themeColor="text1"/>
                <w:sz w:val="22"/>
                <w:szCs w:val="22"/>
              </w:rPr>
              <w:t>Adamts1</w:t>
            </w:r>
            <w:r w:rsidRPr="006B2F31">
              <w:rPr>
                <w:rFonts w:ascii="Helvetica" w:hAnsi="Helvetica"/>
                <w:color w:val="000000" w:themeColor="text1"/>
                <w:sz w:val="22"/>
                <w:szCs w:val="22"/>
              </w:rPr>
              <w:t xml:space="preserve"> (1.05)/</w:t>
            </w:r>
            <w:r w:rsidRPr="006B2F31">
              <w:rPr>
                <w:rFonts w:ascii="Helvetica" w:hAnsi="Helvetica"/>
                <w:i/>
                <w:iCs/>
                <w:color w:val="000000" w:themeColor="text1"/>
                <w:sz w:val="22"/>
                <w:szCs w:val="22"/>
              </w:rPr>
              <w:t>ADAMTS1</w:t>
            </w:r>
            <w:r w:rsidRPr="006B2F31">
              <w:rPr>
                <w:rFonts w:ascii="Helvetica" w:hAnsi="Helvetica"/>
                <w:color w:val="000000" w:themeColor="text1"/>
                <w:sz w:val="22"/>
                <w:szCs w:val="22"/>
              </w:rPr>
              <w:t xml:space="preserve"> (0.69), </w:t>
            </w:r>
            <w:r w:rsidRPr="006B2F31">
              <w:rPr>
                <w:rFonts w:ascii="Helvetica" w:hAnsi="Helvetica"/>
                <w:i/>
                <w:iCs/>
                <w:color w:val="000000" w:themeColor="text1"/>
                <w:sz w:val="22"/>
                <w:szCs w:val="22"/>
              </w:rPr>
              <w:t>Hes1</w:t>
            </w:r>
            <w:r w:rsidRPr="006B2F31">
              <w:rPr>
                <w:rFonts w:ascii="Helvetica" w:hAnsi="Helvetica"/>
                <w:color w:val="000000" w:themeColor="text1"/>
                <w:sz w:val="22"/>
                <w:szCs w:val="22"/>
              </w:rPr>
              <w:t xml:space="preserve"> (0.84)/</w:t>
            </w:r>
            <w:r w:rsidRPr="006B2F31">
              <w:rPr>
                <w:rFonts w:ascii="Helvetica" w:hAnsi="Helvetica"/>
                <w:i/>
                <w:iCs/>
                <w:color w:val="000000" w:themeColor="text1"/>
                <w:sz w:val="22"/>
                <w:szCs w:val="22"/>
              </w:rPr>
              <w:t>HES1</w:t>
            </w:r>
            <w:r w:rsidRPr="006B2F31">
              <w:rPr>
                <w:rFonts w:ascii="Helvetica" w:hAnsi="Helvetica"/>
                <w:color w:val="000000" w:themeColor="text1"/>
                <w:sz w:val="22"/>
                <w:szCs w:val="22"/>
              </w:rPr>
              <w:t xml:space="preserve"> (0.88), </w:t>
            </w:r>
            <w:r w:rsidRPr="006B2F31">
              <w:rPr>
                <w:rFonts w:ascii="Helvetica" w:hAnsi="Helvetica"/>
                <w:i/>
                <w:iCs/>
                <w:color w:val="000000" w:themeColor="text1"/>
                <w:sz w:val="22"/>
                <w:szCs w:val="22"/>
              </w:rPr>
              <w:t>Ubc</w:t>
            </w:r>
            <w:r w:rsidRPr="006B2F31">
              <w:rPr>
                <w:rFonts w:ascii="Helvetica" w:hAnsi="Helvetica"/>
                <w:color w:val="000000" w:themeColor="text1"/>
                <w:sz w:val="22"/>
                <w:szCs w:val="22"/>
              </w:rPr>
              <w:t xml:space="preserve"> (0.70)/</w:t>
            </w:r>
            <w:r w:rsidRPr="006B2F31">
              <w:rPr>
                <w:rFonts w:ascii="Helvetica" w:hAnsi="Helvetica"/>
                <w:i/>
                <w:iCs/>
                <w:color w:val="000000" w:themeColor="text1"/>
                <w:sz w:val="22"/>
                <w:szCs w:val="22"/>
              </w:rPr>
              <w:t>UBC</w:t>
            </w:r>
            <w:r w:rsidRPr="006B2F31">
              <w:rPr>
                <w:rFonts w:ascii="Helvetica" w:hAnsi="Helvetica"/>
                <w:color w:val="000000" w:themeColor="text1"/>
                <w:sz w:val="22"/>
                <w:szCs w:val="22"/>
              </w:rPr>
              <w:t xml:space="preserve"> (0.46), </w:t>
            </w:r>
            <w:r w:rsidRPr="006B2F31">
              <w:rPr>
                <w:rFonts w:ascii="Helvetica" w:hAnsi="Helvetica"/>
                <w:i/>
                <w:iCs/>
                <w:color w:val="000000" w:themeColor="text1"/>
                <w:sz w:val="22"/>
                <w:szCs w:val="22"/>
              </w:rPr>
              <w:t>Rhob</w:t>
            </w:r>
            <w:r w:rsidRPr="006B2F31">
              <w:rPr>
                <w:rFonts w:ascii="Helvetica" w:hAnsi="Helvetica"/>
                <w:color w:val="000000" w:themeColor="text1"/>
                <w:sz w:val="22"/>
                <w:szCs w:val="22"/>
              </w:rPr>
              <w:t xml:space="preserve"> (0.75)/</w:t>
            </w:r>
            <w:r w:rsidRPr="006B2F31">
              <w:rPr>
                <w:rFonts w:ascii="Helvetica" w:hAnsi="Helvetica"/>
                <w:i/>
                <w:iCs/>
                <w:color w:val="000000" w:themeColor="text1"/>
                <w:sz w:val="22"/>
                <w:szCs w:val="22"/>
              </w:rPr>
              <w:t>RHOB</w:t>
            </w:r>
            <w:r w:rsidRPr="006B2F31">
              <w:rPr>
                <w:rFonts w:ascii="Helvetica" w:hAnsi="Helvetica"/>
                <w:color w:val="000000" w:themeColor="text1"/>
                <w:sz w:val="22"/>
                <w:szCs w:val="22"/>
              </w:rPr>
              <w:t xml:space="preserve"> (0.26), </w:t>
            </w:r>
            <w:r w:rsidRPr="006B2F31">
              <w:rPr>
                <w:rFonts w:ascii="Helvetica" w:hAnsi="Helvetica"/>
                <w:i/>
                <w:iCs/>
                <w:color w:val="000000" w:themeColor="text1"/>
                <w:sz w:val="22"/>
                <w:szCs w:val="22"/>
              </w:rPr>
              <w:t>Egr1</w:t>
            </w:r>
            <w:r w:rsidRPr="006B2F31">
              <w:rPr>
                <w:rFonts w:ascii="Helvetica" w:hAnsi="Helvetica"/>
                <w:color w:val="000000" w:themeColor="text1"/>
                <w:sz w:val="22"/>
                <w:szCs w:val="22"/>
              </w:rPr>
              <w:t xml:space="preserve"> (1.11)/</w:t>
            </w:r>
            <w:r w:rsidRPr="006B2F31">
              <w:rPr>
                <w:rFonts w:ascii="Helvetica" w:hAnsi="Helvetica"/>
                <w:i/>
                <w:iCs/>
                <w:color w:val="000000" w:themeColor="text1"/>
                <w:sz w:val="22"/>
                <w:szCs w:val="22"/>
              </w:rPr>
              <w:t>EGR1</w:t>
            </w:r>
            <w:r w:rsidRPr="006B2F31">
              <w:rPr>
                <w:rFonts w:ascii="Helvetica" w:hAnsi="Helvetica"/>
                <w:color w:val="000000" w:themeColor="text1"/>
                <w:sz w:val="22"/>
                <w:szCs w:val="22"/>
              </w:rPr>
              <w:t xml:space="preserve"> (1.47), </w:t>
            </w:r>
            <w:r w:rsidRPr="006B2F31">
              <w:rPr>
                <w:rFonts w:ascii="Helvetica" w:hAnsi="Helvetica"/>
                <w:i/>
                <w:iCs/>
                <w:color w:val="000000" w:themeColor="text1"/>
                <w:sz w:val="22"/>
                <w:szCs w:val="22"/>
              </w:rPr>
              <w:t>Nfkbia</w:t>
            </w:r>
            <w:r w:rsidRPr="006B2F31">
              <w:rPr>
                <w:rFonts w:ascii="Helvetica" w:hAnsi="Helvetica"/>
                <w:color w:val="000000" w:themeColor="text1"/>
                <w:sz w:val="22"/>
                <w:szCs w:val="22"/>
              </w:rPr>
              <w:t xml:space="preserve"> (0.91)/</w:t>
            </w:r>
            <w:r w:rsidRPr="006B2F31">
              <w:rPr>
                <w:rFonts w:ascii="Helvetica" w:hAnsi="Helvetica"/>
                <w:i/>
                <w:iCs/>
                <w:color w:val="000000" w:themeColor="text1"/>
                <w:sz w:val="22"/>
                <w:szCs w:val="22"/>
              </w:rPr>
              <w:t>NFKBIA</w:t>
            </w:r>
            <w:r w:rsidRPr="006B2F31">
              <w:rPr>
                <w:rFonts w:ascii="Helvetica" w:hAnsi="Helvetica"/>
                <w:color w:val="000000" w:themeColor="text1"/>
                <w:sz w:val="22"/>
                <w:szCs w:val="22"/>
              </w:rPr>
              <w:t xml:space="preserve"> (0.64), </w:t>
            </w:r>
            <w:r w:rsidRPr="006B2F31">
              <w:rPr>
                <w:rFonts w:ascii="Helvetica" w:hAnsi="Helvetica"/>
                <w:i/>
                <w:iCs/>
                <w:color w:val="000000" w:themeColor="text1"/>
                <w:sz w:val="22"/>
                <w:szCs w:val="22"/>
              </w:rPr>
              <w:t>Klf2</w:t>
            </w:r>
            <w:r w:rsidRPr="006B2F31">
              <w:rPr>
                <w:rFonts w:ascii="Helvetica" w:hAnsi="Helvetica"/>
                <w:color w:val="000000" w:themeColor="text1"/>
                <w:sz w:val="22"/>
                <w:szCs w:val="22"/>
              </w:rPr>
              <w:t xml:space="preserve"> (0.81)/</w:t>
            </w:r>
            <w:r w:rsidRPr="006B2F31">
              <w:rPr>
                <w:rFonts w:ascii="Helvetica" w:hAnsi="Helvetica"/>
                <w:i/>
                <w:iCs/>
                <w:color w:val="000000" w:themeColor="text1"/>
                <w:sz w:val="22"/>
                <w:szCs w:val="22"/>
              </w:rPr>
              <w:t>KLF2</w:t>
            </w:r>
            <w:r w:rsidRPr="006B2F31">
              <w:rPr>
                <w:rFonts w:ascii="Helvetica" w:hAnsi="Helvetica"/>
                <w:color w:val="000000" w:themeColor="text1"/>
                <w:sz w:val="22"/>
                <w:szCs w:val="22"/>
              </w:rPr>
              <w:t xml:space="preserve"> (0.75), </w:t>
            </w:r>
            <w:r w:rsidRPr="006B2F31">
              <w:rPr>
                <w:rFonts w:ascii="Helvetica" w:hAnsi="Helvetica"/>
                <w:i/>
                <w:iCs/>
                <w:color w:val="000000" w:themeColor="text1"/>
                <w:sz w:val="22"/>
                <w:szCs w:val="22"/>
              </w:rPr>
              <w:t>Cdkn1a</w:t>
            </w:r>
            <w:r w:rsidRPr="006B2F31">
              <w:rPr>
                <w:rFonts w:ascii="Helvetica" w:hAnsi="Helvetica"/>
                <w:color w:val="000000" w:themeColor="text1"/>
                <w:sz w:val="22"/>
                <w:szCs w:val="22"/>
              </w:rPr>
              <w:t xml:space="preserve"> (0.94)/</w:t>
            </w:r>
            <w:r w:rsidRPr="006B2F31">
              <w:rPr>
                <w:rFonts w:ascii="Helvetica" w:hAnsi="Helvetica"/>
                <w:i/>
                <w:iCs/>
                <w:color w:val="000000" w:themeColor="text1"/>
                <w:sz w:val="22"/>
                <w:szCs w:val="22"/>
              </w:rPr>
              <w:t>CDKN1A</w:t>
            </w:r>
            <w:r w:rsidRPr="006B2F31">
              <w:rPr>
                <w:rFonts w:ascii="Helvetica" w:hAnsi="Helvetica"/>
                <w:color w:val="000000" w:themeColor="text1"/>
                <w:sz w:val="22"/>
                <w:szCs w:val="22"/>
              </w:rPr>
              <w:t xml:space="preserve"> (0.38), </w:t>
            </w:r>
            <w:r w:rsidRPr="006B2F31">
              <w:rPr>
                <w:rFonts w:ascii="Helvetica" w:hAnsi="Helvetica"/>
                <w:i/>
                <w:iCs/>
                <w:color w:val="000000" w:themeColor="text1"/>
                <w:sz w:val="22"/>
                <w:szCs w:val="22"/>
              </w:rPr>
              <w:t>Fosb</w:t>
            </w:r>
            <w:r w:rsidRPr="006B2F31">
              <w:rPr>
                <w:rFonts w:ascii="Helvetica" w:hAnsi="Helvetica"/>
                <w:color w:val="000000" w:themeColor="text1"/>
                <w:sz w:val="22"/>
                <w:szCs w:val="22"/>
              </w:rPr>
              <w:t xml:space="preserve"> (1.06)/</w:t>
            </w:r>
            <w:r w:rsidRPr="006B2F31">
              <w:rPr>
                <w:rFonts w:ascii="Helvetica" w:hAnsi="Helvetica"/>
                <w:i/>
                <w:iCs/>
                <w:color w:val="000000" w:themeColor="text1"/>
                <w:sz w:val="22"/>
                <w:szCs w:val="22"/>
              </w:rPr>
              <w:t>FOSB</w:t>
            </w:r>
            <w:r w:rsidRPr="006B2F31">
              <w:rPr>
                <w:rFonts w:ascii="Helvetica" w:hAnsi="Helvetica"/>
                <w:color w:val="000000" w:themeColor="text1"/>
                <w:sz w:val="22"/>
                <w:szCs w:val="22"/>
              </w:rPr>
              <w:t xml:space="preserve"> (1.23), </w:t>
            </w:r>
            <w:r w:rsidRPr="006B2F31">
              <w:rPr>
                <w:rFonts w:ascii="Helvetica" w:hAnsi="Helvetica"/>
                <w:i/>
                <w:iCs/>
                <w:color w:val="000000" w:themeColor="text1"/>
                <w:sz w:val="22"/>
                <w:szCs w:val="22"/>
              </w:rPr>
              <w:t>Gimap4</w:t>
            </w:r>
            <w:r w:rsidRPr="006B2F31">
              <w:rPr>
                <w:rFonts w:ascii="Helvetica" w:hAnsi="Helvetica"/>
                <w:color w:val="000000" w:themeColor="text1"/>
                <w:sz w:val="22"/>
                <w:szCs w:val="22"/>
              </w:rPr>
              <w:t xml:space="preserve"> (0.56)/</w:t>
            </w:r>
            <w:r w:rsidRPr="006B2F31">
              <w:rPr>
                <w:rFonts w:ascii="Helvetica" w:hAnsi="Helvetica"/>
                <w:i/>
                <w:iCs/>
                <w:color w:val="000000" w:themeColor="text1"/>
                <w:sz w:val="22"/>
                <w:szCs w:val="22"/>
              </w:rPr>
              <w:t>GIMAP4</w:t>
            </w:r>
            <w:r w:rsidRPr="006B2F31">
              <w:rPr>
                <w:rFonts w:ascii="Helvetica" w:hAnsi="Helvetica"/>
                <w:color w:val="000000" w:themeColor="text1"/>
                <w:sz w:val="22"/>
                <w:szCs w:val="22"/>
              </w:rPr>
              <w:t xml:space="preserve"> (0.76), </w:t>
            </w:r>
            <w:r w:rsidRPr="006B2F31">
              <w:rPr>
                <w:rFonts w:ascii="Helvetica" w:hAnsi="Helvetica"/>
                <w:i/>
                <w:iCs/>
                <w:color w:val="000000" w:themeColor="text1"/>
                <w:sz w:val="22"/>
                <w:szCs w:val="22"/>
              </w:rPr>
              <w:t>Ier5</w:t>
            </w:r>
            <w:r w:rsidRPr="006B2F31">
              <w:rPr>
                <w:rFonts w:ascii="Helvetica" w:hAnsi="Helvetica"/>
                <w:color w:val="000000" w:themeColor="text1"/>
                <w:sz w:val="22"/>
                <w:szCs w:val="22"/>
              </w:rPr>
              <w:t xml:space="preserve"> (0.68)/</w:t>
            </w:r>
            <w:r w:rsidRPr="006B2F31">
              <w:rPr>
                <w:rFonts w:ascii="Helvetica" w:hAnsi="Helvetica"/>
                <w:i/>
                <w:iCs/>
                <w:color w:val="000000" w:themeColor="text1"/>
                <w:sz w:val="22"/>
                <w:szCs w:val="22"/>
              </w:rPr>
              <w:t>IER5</w:t>
            </w:r>
            <w:r w:rsidRPr="006B2F31">
              <w:rPr>
                <w:rFonts w:ascii="Helvetica" w:hAnsi="Helvetica"/>
                <w:color w:val="000000" w:themeColor="text1"/>
                <w:sz w:val="22"/>
                <w:szCs w:val="22"/>
              </w:rPr>
              <w:t xml:space="preserve"> (0.92), </w:t>
            </w:r>
            <w:r w:rsidRPr="006B2F31">
              <w:rPr>
                <w:rFonts w:ascii="Helvetica" w:hAnsi="Helvetica"/>
                <w:i/>
                <w:iCs/>
                <w:color w:val="000000" w:themeColor="text1"/>
                <w:sz w:val="22"/>
                <w:szCs w:val="22"/>
              </w:rPr>
              <w:t>Tsc22d1</w:t>
            </w:r>
            <w:r w:rsidRPr="006B2F31">
              <w:rPr>
                <w:rFonts w:ascii="Helvetica" w:hAnsi="Helvetica"/>
                <w:color w:val="000000" w:themeColor="text1"/>
                <w:sz w:val="22"/>
                <w:szCs w:val="22"/>
              </w:rPr>
              <w:t xml:space="preserve"> (0.53)/</w:t>
            </w:r>
            <w:r w:rsidRPr="006B2F31">
              <w:rPr>
                <w:rFonts w:ascii="Helvetica" w:hAnsi="Helvetica"/>
                <w:i/>
                <w:iCs/>
                <w:color w:val="000000" w:themeColor="text1"/>
                <w:sz w:val="22"/>
                <w:szCs w:val="22"/>
              </w:rPr>
              <w:t>TSC22D1</w:t>
            </w:r>
            <w:r w:rsidRPr="006B2F31">
              <w:rPr>
                <w:rFonts w:ascii="Helvetica" w:hAnsi="Helvetica"/>
                <w:color w:val="000000" w:themeColor="text1"/>
                <w:sz w:val="22"/>
                <w:szCs w:val="22"/>
              </w:rPr>
              <w:t xml:space="preserve"> (0.65), </w:t>
            </w:r>
            <w:r w:rsidRPr="006B2F31">
              <w:rPr>
                <w:rFonts w:ascii="Helvetica" w:hAnsi="Helvetica"/>
                <w:i/>
                <w:iCs/>
                <w:color w:val="000000" w:themeColor="text1"/>
                <w:sz w:val="22"/>
                <w:szCs w:val="22"/>
              </w:rPr>
              <w:t>Tmod3</w:t>
            </w:r>
            <w:r w:rsidRPr="006B2F31">
              <w:rPr>
                <w:rFonts w:ascii="Helvetica" w:hAnsi="Helvetica"/>
                <w:color w:val="000000" w:themeColor="text1"/>
                <w:sz w:val="22"/>
                <w:szCs w:val="22"/>
              </w:rPr>
              <w:t xml:space="preserve"> (0.41)/</w:t>
            </w:r>
            <w:r w:rsidRPr="006B2F31">
              <w:rPr>
                <w:rFonts w:ascii="Helvetica" w:hAnsi="Helvetica"/>
                <w:i/>
                <w:iCs/>
                <w:color w:val="000000" w:themeColor="text1"/>
                <w:sz w:val="22"/>
                <w:szCs w:val="22"/>
              </w:rPr>
              <w:t>TMOD3</w:t>
            </w:r>
            <w:r w:rsidRPr="006B2F31">
              <w:rPr>
                <w:rFonts w:ascii="Helvetica" w:hAnsi="Helvetica"/>
                <w:color w:val="000000" w:themeColor="text1"/>
                <w:sz w:val="22"/>
                <w:szCs w:val="22"/>
              </w:rPr>
              <w:t xml:space="preserve"> (0.78), </w:t>
            </w:r>
            <w:r w:rsidRPr="006B2F31">
              <w:rPr>
                <w:rFonts w:ascii="Helvetica" w:hAnsi="Helvetica"/>
                <w:i/>
                <w:iCs/>
                <w:color w:val="000000" w:themeColor="text1"/>
                <w:sz w:val="22"/>
                <w:szCs w:val="22"/>
              </w:rPr>
              <w:t xml:space="preserve">Hsp90aa1 </w:t>
            </w:r>
            <w:r w:rsidRPr="006B2F31">
              <w:rPr>
                <w:rFonts w:ascii="Helvetica" w:hAnsi="Helvetica"/>
                <w:color w:val="000000" w:themeColor="text1"/>
                <w:sz w:val="22"/>
                <w:szCs w:val="22"/>
              </w:rPr>
              <w:t>(0.61)/</w:t>
            </w:r>
            <w:r w:rsidRPr="006B2F31">
              <w:rPr>
                <w:rFonts w:ascii="Helvetica" w:hAnsi="Helvetica"/>
                <w:i/>
                <w:iCs/>
                <w:color w:val="000000" w:themeColor="text1"/>
                <w:sz w:val="22"/>
                <w:szCs w:val="22"/>
              </w:rPr>
              <w:t>HSP90AA1</w:t>
            </w:r>
            <w:r w:rsidRPr="006B2F31">
              <w:rPr>
                <w:rFonts w:ascii="Helvetica" w:hAnsi="Helvetica"/>
                <w:color w:val="000000" w:themeColor="text1"/>
                <w:sz w:val="22"/>
                <w:szCs w:val="22"/>
              </w:rPr>
              <w:t xml:space="preserve"> (0.87), </w:t>
            </w:r>
            <w:r w:rsidRPr="006B2F31">
              <w:rPr>
                <w:rFonts w:ascii="Helvetica" w:hAnsi="Helvetica"/>
                <w:i/>
                <w:iCs/>
                <w:color w:val="000000" w:themeColor="text1"/>
                <w:sz w:val="22"/>
                <w:szCs w:val="22"/>
              </w:rPr>
              <w:t>Apold1</w:t>
            </w:r>
            <w:r w:rsidRPr="006B2F31">
              <w:rPr>
                <w:rFonts w:ascii="Helvetica" w:hAnsi="Helvetica"/>
                <w:color w:val="000000" w:themeColor="text1"/>
                <w:sz w:val="22"/>
                <w:szCs w:val="22"/>
              </w:rPr>
              <w:t xml:space="preserve"> (0.51)/</w:t>
            </w:r>
            <w:r w:rsidRPr="006B2F31">
              <w:rPr>
                <w:rFonts w:ascii="Helvetica" w:hAnsi="Helvetica"/>
                <w:i/>
                <w:iCs/>
                <w:color w:val="000000" w:themeColor="text1"/>
                <w:sz w:val="22"/>
                <w:szCs w:val="22"/>
              </w:rPr>
              <w:t>APOLD1</w:t>
            </w:r>
            <w:r w:rsidRPr="006B2F31">
              <w:rPr>
                <w:rFonts w:ascii="Helvetica" w:hAnsi="Helvetica"/>
                <w:color w:val="000000" w:themeColor="text1"/>
                <w:sz w:val="22"/>
                <w:szCs w:val="22"/>
              </w:rPr>
              <w:t xml:space="preserve"> (0.53), </w:t>
            </w:r>
            <w:r w:rsidRPr="006B2F31">
              <w:rPr>
                <w:rFonts w:ascii="Helvetica" w:hAnsi="Helvetica"/>
                <w:i/>
                <w:iCs/>
                <w:color w:val="000000" w:themeColor="text1"/>
                <w:sz w:val="22"/>
                <w:szCs w:val="22"/>
              </w:rPr>
              <w:t>Dnajb1</w:t>
            </w:r>
            <w:r w:rsidRPr="006B2F31">
              <w:rPr>
                <w:rFonts w:ascii="Helvetica" w:hAnsi="Helvetica"/>
                <w:color w:val="000000" w:themeColor="text1"/>
                <w:sz w:val="22"/>
                <w:szCs w:val="22"/>
              </w:rPr>
              <w:t xml:space="preserve"> (0.77)/</w:t>
            </w:r>
            <w:r w:rsidRPr="006B2F31">
              <w:rPr>
                <w:rFonts w:ascii="Helvetica" w:hAnsi="Helvetica"/>
                <w:i/>
                <w:iCs/>
                <w:color w:val="000000" w:themeColor="text1"/>
                <w:sz w:val="22"/>
                <w:szCs w:val="22"/>
              </w:rPr>
              <w:t>DNAJB1</w:t>
            </w:r>
            <w:r w:rsidRPr="006B2F31">
              <w:rPr>
                <w:rFonts w:ascii="Helvetica" w:hAnsi="Helvetica"/>
                <w:color w:val="000000" w:themeColor="text1"/>
                <w:sz w:val="22"/>
                <w:szCs w:val="22"/>
              </w:rPr>
              <w:t xml:space="preserve"> (0.60), </w:t>
            </w:r>
            <w:r w:rsidRPr="006B2F31">
              <w:rPr>
                <w:rFonts w:ascii="Helvetica" w:hAnsi="Helvetica"/>
                <w:i/>
                <w:iCs/>
                <w:color w:val="000000" w:themeColor="text1"/>
                <w:sz w:val="22"/>
                <w:szCs w:val="22"/>
              </w:rPr>
              <w:t>Nedd9</w:t>
            </w:r>
            <w:r w:rsidRPr="006B2F31">
              <w:rPr>
                <w:rFonts w:ascii="Helvetica" w:hAnsi="Helvetica"/>
                <w:color w:val="000000" w:themeColor="text1"/>
                <w:sz w:val="22"/>
                <w:szCs w:val="22"/>
              </w:rPr>
              <w:t xml:space="preserve"> (0.35)/</w:t>
            </w:r>
            <w:r w:rsidRPr="006B2F31">
              <w:rPr>
                <w:rFonts w:ascii="Helvetica" w:hAnsi="Helvetica"/>
                <w:i/>
                <w:iCs/>
                <w:color w:val="000000" w:themeColor="text1"/>
                <w:sz w:val="22"/>
                <w:szCs w:val="22"/>
              </w:rPr>
              <w:t>NEDD9</w:t>
            </w:r>
            <w:r w:rsidRPr="006B2F31">
              <w:rPr>
                <w:rFonts w:ascii="Helvetica" w:hAnsi="Helvetica"/>
                <w:color w:val="000000" w:themeColor="text1"/>
                <w:sz w:val="22"/>
                <w:szCs w:val="22"/>
              </w:rPr>
              <w:t xml:space="preserve"> (0.62), </w:t>
            </w:r>
            <w:r w:rsidRPr="006B2F31">
              <w:rPr>
                <w:rFonts w:ascii="Helvetica" w:hAnsi="Helvetica"/>
                <w:i/>
                <w:iCs/>
                <w:color w:val="000000" w:themeColor="text1"/>
                <w:sz w:val="22"/>
                <w:szCs w:val="22"/>
              </w:rPr>
              <w:t xml:space="preserve">Gimap6 </w:t>
            </w:r>
            <w:r w:rsidRPr="006B2F31">
              <w:rPr>
                <w:rFonts w:ascii="Helvetica" w:hAnsi="Helvetica"/>
                <w:color w:val="000000" w:themeColor="text1"/>
                <w:sz w:val="22"/>
                <w:szCs w:val="22"/>
              </w:rPr>
              <w:t>(0.39)/</w:t>
            </w:r>
            <w:r w:rsidRPr="006B2F31">
              <w:rPr>
                <w:rFonts w:ascii="Helvetica" w:hAnsi="Helvetica"/>
                <w:i/>
                <w:iCs/>
                <w:color w:val="000000" w:themeColor="text1"/>
                <w:sz w:val="22"/>
                <w:szCs w:val="22"/>
              </w:rPr>
              <w:t>GIMAP6</w:t>
            </w:r>
            <w:r w:rsidRPr="006B2F31">
              <w:rPr>
                <w:rFonts w:ascii="Helvetica" w:hAnsi="Helvetica"/>
                <w:color w:val="000000" w:themeColor="text1"/>
                <w:sz w:val="22"/>
                <w:szCs w:val="22"/>
              </w:rPr>
              <w:t xml:space="preserve"> (0.47), </w:t>
            </w:r>
            <w:r w:rsidRPr="006B2F31">
              <w:rPr>
                <w:rFonts w:ascii="Helvetica" w:hAnsi="Helvetica"/>
                <w:i/>
                <w:iCs/>
                <w:color w:val="000000" w:themeColor="text1"/>
                <w:sz w:val="22"/>
                <w:szCs w:val="22"/>
              </w:rPr>
              <w:t>Tsc22d3</w:t>
            </w:r>
            <w:r w:rsidRPr="006B2F31">
              <w:rPr>
                <w:rFonts w:ascii="Helvetica" w:hAnsi="Helvetica"/>
                <w:color w:val="000000" w:themeColor="text1"/>
                <w:sz w:val="22"/>
                <w:szCs w:val="22"/>
              </w:rPr>
              <w:t xml:space="preserve"> (0.35)/</w:t>
            </w:r>
            <w:r w:rsidRPr="006B2F31">
              <w:rPr>
                <w:rFonts w:ascii="Helvetica" w:hAnsi="Helvetica"/>
                <w:i/>
                <w:iCs/>
                <w:color w:val="000000" w:themeColor="text1"/>
                <w:sz w:val="22"/>
                <w:szCs w:val="22"/>
              </w:rPr>
              <w:t>TSC22D3</w:t>
            </w:r>
            <w:r w:rsidRPr="006B2F31">
              <w:rPr>
                <w:rFonts w:ascii="Helvetica" w:hAnsi="Helvetica"/>
                <w:color w:val="000000" w:themeColor="text1"/>
                <w:sz w:val="22"/>
                <w:szCs w:val="22"/>
              </w:rPr>
              <w:t xml:space="preserve"> (0.73), </w:t>
            </w:r>
            <w:r w:rsidRPr="006B2F31">
              <w:rPr>
                <w:rFonts w:ascii="Helvetica" w:hAnsi="Helvetica"/>
                <w:i/>
                <w:iCs/>
                <w:color w:val="000000" w:themeColor="text1"/>
                <w:sz w:val="22"/>
                <w:szCs w:val="22"/>
              </w:rPr>
              <w:t>Gas6</w:t>
            </w:r>
            <w:r w:rsidRPr="006B2F31">
              <w:rPr>
                <w:rFonts w:ascii="Helvetica" w:hAnsi="Helvetica"/>
                <w:color w:val="000000" w:themeColor="text1"/>
                <w:sz w:val="22"/>
                <w:szCs w:val="22"/>
              </w:rPr>
              <w:t xml:space="preserve"> (0.45)/</w:t>
            </w:r>
            <w:r w:rsidRPr="006B2F31">
              <w:rPr>
                <w:rFonts w:ascii="Helvetica" w:hAnsi="Helvetica"/>
                <w:i/>
                <w:iCs/>
                <w:color w:val="000000" w:themeColor="text1"/>
                <w:sz w:val="22"/>
                <w:szCs w:val="22"/>
              </w:rPr>
              <w:t>GAS6</w:t>
            </w:r>
            <w:r w:rsidRPr="006B2F31">
              <w:rPr>
                <w:rFonts w:ascii="Helvetica" w:hAnsi="Helvetica"/>
                <w:color w:val="000000" w:themeColor="text1"/>
                <w:sz w:val="22"/>
                <w:szCs w:val="22"/>
              </w:rPr>
              <w:t xml:space="preserve"> (0.60), </w:t>
            </w:r>
            <w:r w:rsidRPr="006B2F31">
              <w:rPr>
                <w:rFonts w:ascii="Helvetica" w:hAnsi="Helvetica"/>
                <w:i/>
                <w:iCs/>
                <w:color w:val="000000" w:themeColor="text1"/>
                <w:sz w:val="22"/>
                <w:szCs w:val="22"/>
              </w:rPr>
              <w:t>Itga6</w:t>
            </w:r>
            <w:r w:rsidRPr="006B2F31">
              <w:rPr>
                <w:rFonts w:ascii="Helvetica" w:hAnsi="Helvetica"/>
                <w:color w:val="000000" w:themeColor="text1"/>
                <w:sz w:val="22"/>
                <w:szCs w:val="22"/>
              </w:rPr>
              <w:t xml:space="preserve"> (0.32)/</w:t>
            </w:r>
            <w:r w:rsidRPr="006B2F31">
              <w:rPr>
                <w:rFonts w:ascii="Helvetica" w:hAnsi="Helvetica"/>
                <w:i/>
                <w:iCs/>
                <w:color w:val="000000" w:themeColor="text1"/>
                <w:sz w:val="22"/>
                <w:szCs w:val="22"/>
              </w:rPr>
              <w:t>ITGA6</w:t>
            </w:r>
            <w:r w:rsidRPr="006B2F31">
              <w:rPr>
                <w:rFonts w:ascii="Helvetica" w:hAnsi="Helvetica"/>
                <w:color w:val="000000" w:themeColor="text1"/>
                <w:sz w:val="22"/>
                <w:szCs w:val="22"/>
              </w:rPr>
              <w:t xml:space="preserve"> (1.29), </w:t>
            </w:r>
            <w:r w:rsidRPr="006B2F31">
              <w:rPr>
                <w:rFonts w:ascii="Helvetica" w:hAnsi="Helvetica"/>
                <w:i/>
                <w:iCs/>
                <w:color w:val="000000" w:themeColor="text1"/>
                <w:sz w:val="22"/>
                <w:szCs w:val="22"/>
              </w:rPr>
              <w:t>Ddx3y</w:t>
            </w:r>
            <w:r w:rsidRPr="006B2F31">
              <w:rPr>
                <w:rFonts w:ascii="Helvetica" w:hAnsi="Helvetica"/>
                <w:color w:val="000000" w:themeColor="text1"/>
                <w:sz w:val="22"/>
                <w:szCs w:val="22"/>
              </w:rPr>
              <w:t xml:space="preserve"> (0.27)/</w:t>
            </w:r>
            <w:r w:rsidRPr="006B2F31">
              <w:rPr>
                <w:rFonts w:ascii="Helvetica" w:hAnsi="Helvetica"/>
                <w:i/>
                <w:iCs/>
                <w:color w:val="000000" w:themeColor="text1"/>
                <w:sz w:val="22"/>
                <w:szCs w:val="22"/>
              </w:rPr>
              <w:t>DDX3Y</w:t>
            </w:r>
            <w:r w:rsidRPr="006B2F31">
              <w:rPr>
                <w:rFonts w:ascii="Helvetica" w:hAnsi="Helvetica"/>
                <w:color w:val="000000" w:themeColor="text1"/>
                <w:sz w:val="22"/>
                <w:szCs w:val="22"/>
              </w:rPr>
              <w:t xml:space="preserve"> (0.93), </w:t>
            </w:r>
            <w:r w:rsidRPr="006B2F31">
              <w:rPr>
                <w:rFonts w:ascii="Helvetica" w:hAnsi="Helvetica"/>
                <w:i/>
                <w:iCs/>
                <w:color w:val="000000" w:themeColor="text1"/>
                <w:sz w:val="22"/>
                <w:szCs w:val="22"/>
              </w:rPr>
              <w:t>Tinagl1</w:t>
            </w:r>
            <w:r w:rsidRPr="006B2F31">
              <w:rPr>
                <w:rFonts w:ascii="Helvetica" w:hAnsi="Helvetica"/>
                <w:color w:val="000000" w:themeColor="text1"/>
                <w:sz w:val="22"/>
                <w:szCs w:val="22"/>
              </w:rPr>
              <w:t xml:space="preserve"> (0.35)/</w:t>
            </w:r>
            <w:r w:rsidRPr="006B2F31">
              <w:rPr>
                <w:rFonts w:ascii="Helvetica" w:hAnsi="Helvetica"/>
                <w:i/>
                <w:iCs/>
                <w:color w:val="000000" w:themeColor="text1"/>
                <w:sz w:val="22"/>
                <w:szCs w:val="22"/>
              </w:rPr>
              <w:t>TINAGL1</w:t>
            </w:r>
            <w:r w:rsidRPr="006B2F31">
              <w:rPr>
                <w:rFonts w:ascii="Helvetica" w:hAnsi="Helvetica"/>
                <w:color w:val="000000" w:themeColor="text1"/>
                <w:sz w:val="22"/>
                <w:szCs w:val="22"/>
              </w:rPr>
              <w:t xml:space="preserve"> (0.39), </w:t>
            </w:r>
            <w:r w:rsidRPr="006B2F31">
              <w:rPr>
                <w:rFonts w:ascii="Helvetica" w:hAnsi="Helvetica"/>
                <w:i/>
                <w:iCs/>
                <w:color w:val="000000" w:themeColor="text1"/>
                <w:sz w:val="22"/>
                <w:szCs w:val="22"/>
              </w:rPr>
              <w:t>Ets1</w:t>
            </w:r>
            <w:r w:rsidRPr="006B2F31">
              <w:rPr>
                <w:rFonts w:ascii="Helvetica" w:hAnsi="Helvetica"/>
                <w:color w:val="000000" w:themeColor="text1"/>
                <w:sz w:val="22"/>
                <w:szCs w:val="22"/>
              </w:rPr>
              <w:t xml:space="preserve"> (0.28)/</w:t>
            </w:r>
            <w:r w:rsidRPr="006B2F31">
              <w:rPr>
                <w:rFonts w:ascii="Helvetica" w:hAnsi="Helvetica"/>
                <w:i/>
                <w:iCs/>
                <w:color w:val="000000" w:themeColor="text1"/>
                <w:sz w:val="22"/>
                <w:szCs w:val="22"/>
              </w:rPr>
              <w:t>ETS1</w:t>
            </w:r>
            <w:r w:rsidRPr="006B2F31">
              <w:rPr>
                <w:rFonts w:ascii="Helvetica" w:hAnsi="Helvetica"/>
                <w:color w:val="000000" w:themeColor="text1"/>
                <w:sz w:val="22"/>
                <w:szCs w:val="22"/>
              </w:rPr>
              <w:t xml:space="preserve"> (0.66), </w:t>
            </w:r>
            <w:r w:rsidRPr="006B2F31">
              <w:rPr>
                <w:rFonts w:ascii="Helvetica" w:hAnsi="Helvetica"/>
                <w:i/>
                <w:iCs/>
                <w:color w:val="000000" w:themeColor="text1"/>
                <w:sz w:val="22"/>
                <w:szCs w:val="22"/>
              </w:rPr>
              <w:t>Timp3</w:t>
            </w:r>
            <w:r w:rsidRPr="006B2F31">
              <w:rPr>
                <w:rFonts w:ascii="Helvetica" w:hAnsi="Helvetica"/>
                <w:color w:val="000000" w:themeColor="text1"/>
                <w:sz w:val="22"/>
                <w:szCs w:val="22"/>
              </w:rPr>
              <w:t xml:space="preserve"> (0.44)/</w:t>
            </w:r>
            <w:r w:rsidRPr="006B2F31">
              <w:rPr>
                <w:rFonts w:ascii="Helvetica" w:hAnsi="Helvetica"/>
                <w:i/>
                <w:iCs/>
                <w:color w:val="000000" w:themeColor="text1"/>
                <w:sz w:val="22"/>
                <w:szCs w:val="22"/>
              </w:rPr>
              <w:t>TIMP3</w:t>
            </w:r>
            <w:r w:rsidRPr="006B2F31">
              <w:rPr>
                <w:rFonts w:ascii="Helvetica" w:hAnsi="Helvetica"/>
                <w:color w:val="000000" w:themeColor="text1"/>
                <w:sz w:val="22"/>
                <w:szCs w:val="22"/>
              </w:rPr>
              <w:t xml:space="preserve"> (0.57), </w:t>
            </w:r>
            <w:r w:rsidRPr="006B2F31">
              <w:rPr>
                <w:rFonts w:ascii="Helvetica" w:hAnsi="Helvetica"/>
                <w:i/>
                <w:iCs/>
                <w:color w:val="000000" w:themeColor="text1"/>
                <w:sz w:val="22"/>
                <w:szCs w:val="22"/>
              </w:rPr>
              <w:t>Slfn5</w:t>
            </w:r>
            <w:r w:rsidRPr="006B2F31">
              <w:rPr>
                <w:rFonts w:ascii="Helvetica" w:hAnsi="Helvetica"/>
                <w:color w:val="000000" w:themeColor="text1"/>
                <w:sz w:val="22"/>
                <w:szCs w:val="22"/>
              </w:rPr>
              <w:t xml:space="preserve"> (0.34)/</w:t>
            </w:r>
            <w:r w:rsidRPr="006B2F31">
              <w:rPr>
                <w:rFonts w:ascii="Helvetica" w:hAnsi="Helvetica"/>
                <w:i/>
                <w:iCs/>
                <w:color w:val="000000" w:themeColor="text1"/>
                <w:sz w:val="22"/>
                <w:szCs w:val="22"/>
              </w:rPr>
              <w:t>SLFN5</w:t>
            </w:r>
            <w:r w:rsidRPr="006B2F31">
              <w:rPr>
                <w:rFonts w:ascii="Helvetica" w:hAnsi="Helvetica"/>
                <w:color w:val="000000" w:themeColor="text1"/>
                <w:sz w:val="22"/>
                <w:szCs w:val="22"/>
              </w:rPr>
              <w:t xml:space="preserve"> (0.75), </w:t>
            </w:r>
            <w:r w:rsidRPr="006B2F31">
              <w:rPr>
                <w:rFonts w:ascii="Helvetica" w:hAnsi="Helvetica"/>
                <w:i/>
                <w:iCs/>
                <w:color w:val="000000" w:themeColor="text1"/>
                <w:sz w:val="22"/>
                <w:szCs w:val="22"/>
              </w:rPr>
              <w:t>Sparcl1</w:t>
            </w:r>
            <w:r w:rsidRPr="006B2F31">
              <w:rPr>
                <w:rFonts w:ascii="Helvetica" w:hAnsi="Helvetica"/>
                <w:color w:val="000000" w:themeColor="text1"/>
                <w:sz w:val="22"/>
                <w:szCs w:val="22"/>
              </w:rPr>
              <w:t xml:space="preserve"> (0.47)/</w:t>
            </w:r>
            <w:r w:rsidRPr="006B2F31">
              <w:rPr>
                <w:rFonts w:ascii="Helvetica" w:hAnsi="Helvetica"/>
                <w:i/>
                <w:iCs/>
                <w:color w:val="000000" w:themeColor="text1"/>
                <w:sz w:val="22"/>
                <w:szCs w:val="22"/>
              </w:rPr>
              <w:t>SPARCL1</w:t>
            </w:r>
            <w:r w:rsidRPr="006B2F31">
              <w:rPr>
                <w:rFonts w:ascii="Helvetica" w:hAnsi="Helvetica"/>
                <w:color w:val="000000" w:themeColor="text1"/>
                <w:sz w:val="22"/>
                <w:szCs w:val="22"/>
              </w:rPr>
              <w:t xml:space="preserve"> (1.04), </w:t>
            </w:r>
            <w:r w:rsidRPr="006B2F31">
              <w:rPr>
                <w:rFonts w:ascii="Helvetica" w:hAnsi="Helvetica"/>
                <w:i/>
                <w:iCs/>
                <w:color w:val="000000" w:themeColor="text1"/>
                <w:sz w:val="22"/>
                <w:szCs w:val="22"/>
              </w:rPr>
              <w:t>Klf4</w:t>
            </w:r>
            <w:r w:rsidRPr="006B2F31">
              <w:rPr>
                <w:rFonts w:ascii="Helvetica" w:hAnsi="Helvetica"/>
                <w:color w:val="000000" w:themeColor="text1"/>
                <w:sz w:val="22"/>
                <w:szCs w:val="22"/>
              </w:rPr>
              <w:t xml:space="preserve"> (0.49)/</w:t>
            </w:r>
            <w:r w:rsidRPr="006B2F31">
              <w:rPr>
                <w:rFonts w:ascii="Helvetica" w:hAnsi="Helvetica"/>
                <w:i/>
                <w:iCs/>
                <w:color w:val="000000" w:themeColor="text1"/>
                <w:sz w:val="22"/>
                <w:szCs w:val="22"/>
              </w:rPr>
              <w:t>KLF4</w:t>
            </w:r>
            <w:r w:rsidRPr="006B2F31">
              <w:rPr>
                <w:rFonts w:ascii="Helvetica" w:hAnsi="Helvetica"/>
                <w:color w:val="000000" w:themeColor="text1"/>
                <w:sz w:val="22"/>
                <w:szCs w:val="22"/>
              </w:rPr>
              <w:t xml:space="preserve"> (1.12), </w:t>
            </w:r>
            <w:r w:rsidRPr="006B2F31">
              <w:rPr>
                <w:rFonts w:ascii="Helvetica" w:hAnsi="Helvetica"/>
                <w:i/>
                <w:iCs/>
                <w:color w:val="000000" w:themeColor="text1"/>
                <w:sz w:val="22"/>
                <w:szCs w:val="22"/>
              </w:rPr>
              <w:t>Sgk1</w:t>
            </w:r>
            <w:r w:rsidRPr="006B2F31">
              <w:rPr>
                <w:rFonts w:ascii="Helvetica" w:hAnsi="Helvetica"/>
                <w:color w:val="000000" w:themeColor="text1"/>
                <w:sz w:val="22"/>
                <w:szCs w:val="22"/>
              </w:rPr>
              <w:t xml:space="preserve"> (0.28)/</w:t>
            </w:r>
            <w:r w:rsidRPr="006B2F31">
              <w:rPr>
                <w:rFonts w:ascii="Helvetica" w:hAnsi="Helvetica"/>
                <w:i/>
                <w:iCs/>
                <w:color w:val="000000" w:themeColor="text1"/>
                <w:sz w:val="22"/>
                <w:szCs w:val="22"/>
              </w:rPr>
              <w:t>SGK1</w:t>
            </w:r>
            <w:r w:rsidRPr="006B2F31">
              <w:rPr>
                <w:rFonts w:ascii="Helvetica" w:hAnsi="Helvetica"/>
                <w:color w:val="000000" w:themeColor="text1"/>
                <w:sz w:val="22"/>
                <w:szCs w:val="22"/>
              </w:rPr>
              <w:t xml:space="preserve"> (0.81)</w:t>
            </w:r>
          </w:p>
        </w:tc>
        <w:tc>
          <w:tcPr>
            <w:tcW w:w="2268" w:type="dxa"/>
          </w:tcPr>
          <w:p w14:paraId="0013197E"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lastRenderedPageBreak/>
              <w:t>Cavin1</w:t>
            </w:r>
            <w:r w:rsidRPr="006B2F31">
              <w:rPr>
                <w:rFonts w:ascii="Helvetica" w:hAnsi="Helvetica"/>
                <w:color w:val="000000" w:themeColor="text1"/>
                <w:sz w:val="22"/>
                <w:szCs w:val="22"/>
              </w:rPr>
              <w:t xml:space="preserve"> (3.95), </w:t>
            </w:r>
            <w:r w:rsidRPr="006B2F31">
              <w:rPr>
                <w:rFonts w:ascii="Helvetica" w:hAnsi="Helvetica"/>
                <w:i/>
                <w:iCs/>
                <w:color w:val="000000" w:themeColor="text1"/>
                <w:sz w:val="22"/>
                <w:szCs w:val="22"/>
              </w:rPr>
              <w:t>Nme2</w:t>
            </w:r>
            <w:r w:rsidRPr="006B2F31">
              <w:rPr>
                <w:rFonts w:ascii="Helvetica" w:hAnsi="Helvetica"/>
                <w:color w:val="000000" w:themeColor="text1"/>
                <w:sz w:val="22"/>
                <w:szCs w:val="22"/>
              </w:rPr>
              <w:t xml:space="preserve"> (2.53), </w:t>
            </w:r>
            <w:r w:rsidRPr="006B2F31">
              <w:rPr>
                <w:rFonts w:ascii="Helvetica" w:hAnsi="Helvetica"/>
                <w:i/>
                <w:iCs/>
                <w:color w:val="000000" w:themeColor="text1"/>
                <w:sz w:val="22"/>
                <w:szCs w:val="22"/>
              </w:rPr>
              <w:t>Cavin3</w:t>
            </w:r>
            <w:r w:rsidRPr="006B2F31">
              <w:rPr>
                <w:rFonts w:ascii="Helvetica" w:hAnsi="Helvetica"/>
                <w:color w:val="000000" w:themeColor="text1"/>
                <w:sz w:val="22"/>
                <w:szCs w:val="22"/>
              </w:rPr>
              <w:t xml:space="preserve"> (2.43), </w:t>
            </w:r>
            <w:r w:rsidRPr="006B2F31">
              <w:rPr>
                <w:rFonts w:ascii="Helvetica" w:hAnsi="Helvetica"/>
                <w:i/>
                <w:iCs/>
                <w:color w:val="000000" w:themeColor="text1"/>
                <w:sz w:val="22"/>
                <w:szCs w:val="22"/>
              </w:rPr>
              <w:t>Selenow</w:t>
            </w:r>
            <w:r w:rsidRPr="006B2F31">
              <w:rPr>
                <w:rFonts w:ascii="Helvetica" w:hAnsi="Helvetica"/>
                <w:color w:val="000000" w:themeColor="text1"/>
                <w:sz w:val="22"/>
                <w:szCs w:val="22"/>
              </w:rPr>
              <w:t xml:space="preserve"> (2.36), </w:t>
            </w:r>
            <w:r w:rsidRPr="006B2F31">
              <w:rPr>
                <w:rFonts w:ascii="Helvetica" w:hAnsi="Helvetica"/>
                <w:i/>
                <w:iCs/>
                <w:color w:val="000000" w:themeColor="text1"/>
                <w:sz w:val="22"/>
                <w:szCs w:val="22"/>
              </w:rPr>
              <w:t>Ccn1</w:t>
            </w:r>
            <w:r w:rsidRPr="006B2F31">
              <w:rPr>
                <w:rFonts w:ascii="Helvetica" w:hAnsi="Helvetica"/>
                <w:color w:val="000000" w:themeColor="text1"/>
                <w:sz w:val="22"/>
                <w:szCs w:val="22"/>
              </w:rPr>
              <w:t xml:space="preserve"> (2.27), </w:t>
            </w:r>
            <w:r w:rsidRPr="006B2F31">
              <w:rPr>
                <w:rFonts w:ascii="Helvetica" w:hAnsi="Helvetica"/>
                <w:i/>
                <w:iCs/>
                <w:color w:val="000000" w:themeColor="text1"/>
                <w:sz w:val="22"/>
                <w:szCs w:val="22"/>
              </w:rPr>
              <w:t>Nop53</w:t>
            </w:r>
            <w:r w:rsidRPr="006B2F31">
              <w:rPr>
                <w:rFonts w:ascii="Helvetica" w:hAnsi="Helvetica"/>
                <w:color w:val="000000" w:themeColor="text1"/>
                <w:sz w:val="22"/>
                <w:szCs w:val="22"/>
              </w:rPr>
              <w:t xml:space="preserve"> (2.21), </w:t>
            </w:r>
            <w:r w:rsidRPr="006B2F31">
              <w:rPr>
                <w:rFonts w:ascii="Helvetica" w:hAnsi="Helvetica"/>
                <w:i/>
                <w:iCs/>
                <w:color w:val="000000" w:themeColor="text1"/>
                <w:sz w:val="22"/>
                <w:szCs w:val="22"/>
              </w:rPr>
              <w:t>Selenop</w:t>
            </w:r>
            <w:r w:rsidRPr="006B2F31">
              <w:rPr>
                <w:rFonts w:ascii="Helvetica" w:hAnsi="Helvetica"/>
                <w:color w:val="000000" w:themeColor="text1"/>
                <w:sz w:val="22"/>
                <w:szCs w:val="22"/>
              </w:rPr>
              <w:t xml:space="preserve"> </w:t>
            </w:r>
            <w:r w:rsidRPr="006B2F31">
              <w:rPr>
                <w:rFonts w:ascii="Helvetica" w:hAnsi="Helvetica"/>
                <w:color w:val="000000" w:themeColor="text1"/>
                <w:sz w:val="22"/>
                <w:szCs w:val="22"/>
              </w:rPr>
              <w:lastRenderedPageBreak/>
              <w:t xml:space="preserve">(2.18), </w:t>
            </w:r>
            <w:r w:rsidRPr="006B2F31">
              <w:rPr>
                <w:rFonts w:ascii="Helvetica" w:hAnsi="Helvetica"/>
                <w:i/>
                <w:iCs/>
                <w:color w:val="000000" w:themeColor="text1"/>
                <w:sz w:val="22"/>
                <w:szCs w:val="22"/>
              </w:rPr>
              <w:t>Atp6v0c</w:t>
            </w:r>
            <w:r w:rsidRPr="006B2F31">
              <w:rPr>
                <w:rFonts w:ascii="Helvetica" w:hAnsi="Helvetica"/>
                <w:color w:val="000000" w:themeColor="text1"/>
                <w:sz w:val="22"/>
                <w:szCs w:val="22"/>
              </w:rPr>
              <w:t xml:space="preserve"> (2.13), </w:t>
            </w:r>
            <w:r w:rsidRPr="006B2F31">
              <w:rPr>
                <w:rFonts w:ascii="Helvetica" w:hAnsi="Helvetica"/>
                <w:i/>
                <w:iCs/>
                <w:color w:val="000000" w:themeColor="text1"/>
                <w:sz w:val="22"/>
                <w:szCs w:val="22"/>
              </w:rPr>
              <w:t>Depp1</w:t>
            </w:r>
            <w:r w:rsidRPr="006B2F31">
              <w:rPr>
                <w:rFonts w:ascii="Helvetica" w:hAnsi="Helvetica"/>
                <w:color w:val="000000" w:themeColor="text1"/>
                <w:sz w:val="22"/>
                <w:szCs w:val="22"/>
              </w:rPr>
              <w:t xml:space="preserve"> (2.13), </w:t>
            </w:r>
            <w:r w:rsidRPr="006B2F31">
              <w:rPr>
                <w:rFonts w:ascii="Helvetica" w:hAnsi="Helvetica"/>
                <w:i/>
                <w:iCs/>
                <w:color w:val="000000" w:themeColor="text1"/>
                <w:sz w:val="22"/>
                <w:szCs w:val="22"/>
              </w:rPr>
              <w:t>Tcim</w:t>
            </w:r>
            <w:r w:rsidRPr="006B2F31">
              <w:rPr>
                <w:rFonts w:ascii="Helvetica" w:hAnsi="Helvetica"/>
                <w:color w:val="000000" w:themeColor="text1"/>
                <w:sz w:val="22"/>
                <w:szCs w:val="22"/>
              </w:rPr>
              <w:t xml:space="preserve"> (2.09)</w:t>
            </w:r>
          </w:p>
          <w:p w14:paraId="77C5AAEC" w14:textId="77777777" w:rsidR="00BF5828" w:rsidRPr="006B2F31" w:rsidRDefault="00BF5828" w:rsidP="00085A7E">
            <w:pPr>
              <w:spacing w:line="360" w:lineRule="auto"/>
              <w:jc w:val="both"/>
              <w:rPr>
                <w:rFonts w:ascii="Helvetica" w:hAnsi="Helvetica"/>
                <w:color w:val="000000" w:themeColor="text1"/>
                <w:sz w:val="22"/>
                <w:szCs w:val="22"/>
              </w:rPr>
            </w:pPr>
          </w:p>
          <w:p w14:paraId="753B09C2"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(889 in total)</w:t>
            </w:r>
          </w:p>
        </w:tc>
      </w:tr>
      <w:tr w:rsidR="00BF5828" w:rsidRPr="006B2F31" w14:paraId="7B44F469" w14:textId="77777777" w:rsidTr="00085A7E">
        <w:tc>
          <w:tcPr>
            <w:tcW w:w="1122" w:type="dxa"/>
            <w:vAlign w:val="center"/>
          </w:tcPr>
          <w:p w14:paraId="0C886916"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lastRenderedPageBreak/>
              <w:t>Human injured vs uninjured</w:t>
            </w:r>
          </w:p>
        </w:tc>
        <w:tc>
          <w:tcPr>
            <w:tcW w:w="5536" w:type="dxa"/>
            <w:vMerge/>
          </w:tcPr>
          <w:p w14:paraId="68343134" w14:textId="77777777" w:rsidR="00BF5828" w:rsidRPr="006B2F31" w:rsidRDefault="00BF5828" w:rsidP="00085A7E">
            <w:pPr>
              <w:spacing w:line="360" w:lineRule="auto"/>
              <w:jc w:val="both"/>
              <w:rPr>
                <w:rFonts w:ascii="Helvetica" w:hAnsi="Helvetica"/>
                <w:color w:val="000000" w:themeColor="text1"/>
                <w:sz w:val="22"/>
                <w:szCs w:val="22"/>
              </w:rPr>
            </w:pPr>
          </w:p>
        </w:tc>
        <w:tc>
          <w:tcPr>
            <w:tcW w:w="2268" w:type="dxa"/>
          </w:tcPr>
          <w:p w14:paraId="35508B48"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i/>
                <w:iCs/>
                <w:color w:val="000000" w:themeColor="text1"/>
                <w:sz w:val="22"/>
                <w:szCs w:val="22"/>
              </w:rPr>
              <w:t>AP000251.3</w:t>
            </w:r>
            <w:r w:rsidRPr="006B2F31">
              <w:rPr>
                <w:rFonts w:ascii="Helvetica" w:hAnsi="Helvetica"/>
                <w:color w:val="000000" w:themeColor="text1"/>
                <w:sz w:val="22"/>
                <w:szCs w:val="22"/>
              </w:rPr>
              <w:t xml:space="preserve"> (3.19), </w:t>
            </w:r>
            <w:r w:rsidRPr="006B2F31">
              <w:rPr>
                <w:rFonts w:ascii="Helvetica" w:hAnsi="Helvetica"/>
                <w:i/>
                <w:iCs/>
                <w:color w:val="000000" w:themeColor="text1"/>
                <w:sz w:val="22"/>
                <w:szCs w:val="22"/>
              </w:rPr>
              <w:t xml:space="preserve">MTRNR2L12 </w:t>
            </w:r>
            <w:r w:rsidRPr="006B2F31">
              <w:rPr>
                <w:rFonts w:ascii="Helvetica" w:hAnsi="Helvetica"/>
                <w:color w:val="000000" w:themeColor="text1"/>
                <w:sz w:val="22"/>
                <w:szCs w:val="22"/>
              </w:rPr>
              <w:t xml:space="preserve">(3.04), </w:t>
            </w:r>
            <w:r w:rsidRPr="006B2F31">
              <w:rPr>
                <w:rFonts w:ascii="Helvetica" w:hAnsi="Helvetica"/>
                <w:i/>
                <w:iCs/>
                <w:color w:val="000000" w:themeColor="text1"/>
                <w:sz w:val="22"/>
                <w:szCs w:val="22"/>
              </w:rPr>
              <w:t>RP11-777B9.5</w:t>
            </w:r>
            <w:r w:rsidRPr="006B2F31">
              <w:rPr>
                <w:rFonts w:ascii="Helvetica" w:hAnsi="Helvetica"/>
                <w:color w:val="000000" w:themeColor="text1"/>
                <w:sz w:val="22"/>
                <w:szCs w:val="22"/>
              </w:rPr>
              <w:t xml:space="preserve"> (2.96), </w:t>
            </w:r>
            <w:r w:rsidRPr="006B2F31">
              <w:rPr>
                <w:rFonts w:ascii="Helvetica" w:hAnsi="Helvetica"/>
                <w:i/>
                <w:iCs/>
                <w:color w:val="000000" w:themeColor="text1"/>
                <w:sz w:val="22"/>
                <w:szCs w:val="22"/>
              </w:rPr>
              <w:t>MTRNR2L8</w:t>
            </w:r>
            <w:r w:rsidRPr="006B2F31">
              <w:rPr>
                <w:rFonts w:ascii="Helvetica" w:hAnsi="Helvetica"/>
                <w:color w:val="000000" w:themeColor="text1"/>
                <w:sz w:val="22"/>
                <w:szCs w:val="22"/>
              </w:rPr>
              <w:t xml:space="preserve"> (2.93), </w:t>
            </w:r>
            <w:r w:rsidRPr="006B2F31">
              <w:rPr>
                <w:rFonts w:ascii="Helvetica" w:hAnsi="Helvetica"/>
                <w:i/>
                <w:iCs/>
                <w:color w:val="000000" w:themeColor="text1"/>
                <w:sz w:val="22"/>
                <w:szCs w:val="22"/>
              </w:rPr>
              <w:t>MTND6P3</w:t>
            </w:r>
            <w:r w:rsidRPr="006B2F31">
              <w:rPr>
                <w:rFonts w:ascii="Helvetica" w:hAnsi="Helvetica"/>
                <w:color w:val="000000" w:themeColor="text1"/>
                <w:sz w:val="22"/>
                <w:szCs w:val="22"/>
              </w:rPr>
              <w:t xml:space="preserve"> (2.61), </w:t>
            </w:r>
            <w:r w:rsidRPr="006B2F31">
              <w:rPr>
                <w:rFonts w:ascii="Helvetica" w:hAnsi="Helvetica"/>
                <w:i/>
                <w:iCs/>
                <w:color w:val="000000" w:themeColor="text1"/>
                <w:sz w:val="22"/>
                <w:szCs w:val="22"/>
              </w:rPr>
              <w:t>CH507-513H4.5</w:t>
            </w:r>
            <w:r w:rsidRPr="006B2F31">
              <w:rPr>
                <w:rFonts w:ascii="Helvetica" w:hAnsi="Helvetica"/>
                <w:color w:val="000000" w:themeColor="text1"/>
                <w:sz w:val="22"/>
                <w:szCs w:val="22"/>
              </w:rPr>
              <w:t xml:space="preserve"> (2.60), </w:t>
            </w:r>
            <w:r w:rsidRPr="006B2F31">
              <w:rPr>
                <w:rFonts w:ascii="Helvetica" w:hAnsi="Helvetica"/>
                <w:i/>
                <w:iCs/>
                <w:color w:val="000000" w:themeColor="text1"/>
                <w:sz w:val="22"/>
                <w:szCs w:val="22"/>
              </w:rPr>
              <w:t>MSRB3</w:t>
            </w:r>
            <w:r w:rsidRPr="006B2F31">
              <w:rPr>
                <w:rFonts w:ascii="Helvetica" w:hAnsi="Helvetica"/>
                <w:color w:val="000000" w:themeColor="text1"/>
                <w:sz w:val="22"/>
                <w:szCs w:val="22"/>
              </w:rPr>
              <w:t xml:space="preserve"> (2.44), </w:t>
            </w:r>
            <w:r w:rsidRPr="006B2F31">
              <w:rPr>
                <w:rFonts w:ascii="Helvetica" w:hAnsi="Helvetica"/>
                <w:i/>
                <w:iCs/>
                <w:color w:val="000000" w:themeColor="text1"/>
                <w:sz w:val="22"/>
                <w:szCs w:val="22"/>
              </w:rPr>
              <w:t>MTRNR2L10</w:t>
            </w:r>
            <w:r w:rsidRPr="006B2F31">
              <w:rPr>
                <w:rFonts w:ascii="Helvetica" w:hAnsi="Helvetica"/>
                <w:color w:val="000000" w:themeColor="text1"/>
                <w:sz w:val="22"/>
                <w:szCs w:val="22"/>
              </w:rPr>
              <w:t xml:space="preserve"> (2.35), </w:t>
            </w:r>
            <w:r w:rsidRPr="006B2F31">
              <w:rPr>
                <w:rFonts w:ascii="Helvetica" w:hAnsi="Helvetica"/>
                <w:i/>
                <w:iCs/>
                <w:color w:val="000000" w:themeColor="text1"/>
                <w:sz w:val="22"/>
                <w:szCs w:val="22"/>
              </w:rPr>
              <w:t>RP11-475J5.4</w:t>
            </w:r>
            <w:r w:rsidRPr="006B2F31">
              <w:rPr>
                <w:rFonts w:ascii="Helvetica" w:hAnsi="Helvetica"/>
                <w:color w:val="000000" w:themeColor="text1"/>
                <w:sz w:val="22"/>
                <w:szCs w:val="22"/>
              </w:rPr>
              <w:t xml:space="preserve"> (2.32), </w:t>
            </w:r>
            <w:r w:rsidRPr="006B2F31">
              <w:rPr>
                <w:rFonts w:ascii="Helvetica" w:hAnsi="Helvetica"/>
                <w:i/>
                <w:iCs/>
                <w:color w:val="000000" w:themeColor="text1"/>
                <w:sz w:val="22"/>
                <w:szCs w:val="22"/>
              </w:rPr>
              <w:t>AC002075.4</w:t>
            </w:r>
            <w:r w:rsidRPr="006B2F31">
              <w:rPr>
                <w:rFonts w:ascii="Helvetica" w:hAnsi="Helvetica"/>
                <w:color w:val="000000" w:themeColor="text1"/>
                <w:sz w:val="22"/>
                <w:szCs w:val="22"/>
              </w:rPr>
              <w:t xml:space="preserve"> (2.30)</w:t>
            </w:r>
          </w:p>
          <w:p w14:paraId="6DFC1881" w14:textId="77777777" w:rsidR="00BF5828" w:rsidRPr="006B2F31" w:rsidRDefault="00BF5828" w:rsidP="00085A7E">
            <w:pPr>
              <w:spacing w:line="360" w:lineRule="auto"/>
              <w:jc w:val="both"/>
              <w:rPr>
                <w:rFonts w:ascii="Helvetica" w:hAnsi="Helvetica"/>
                <w:color w:val="000000" w:themeColor="text1"/>
                <w:sz w:val="22"/>
                <w:szCs w:val="22"/>
              </w:rPr>
            </w:pPr>
            <w:r w:rsidRPr="006B2F31">
              <w:rPr>
                <w:rFonts w:ascii="Helvetica" w:hAnsi="Helvetica"/>
                <w:color w:val="000000" w:themeColor="text1"/>
                <w:sz w:val="22"/>
                <w:szCs w:val="22"/>
              </w:rPr>
              <w:t>(645 in total)</w:t>
            </w:r>
          </w:p>
        </w:tc>
      </w:tr>
    </w:tbl>
    <w:p w14:paraId="1F61618C" w14:textId="77777777" w:rsidR="00BF5828" w:rsidRPr="006B2F31" w:rsidRDefault="00BF5828" w:rsidP="00BF5828">
      <w:pPr>
        <w:spacing w:line="360" w:lineRule="auto"/>
        <w:jc w:val="both"/>
        <w:rPr>
          <w:rFonts w:ascii="Helvetica" w:hAnsi="Helvetica"/>
          <w:b/>
          <w:bCs/>
          <w:color w:val="000000" w:themeColor="text1"/>
          <w:sz w:val="22"/>
          <w:szCs w:val="22"/>
        </w:rPr>
      </w:pPr>
    </w:p>
    <w:p w14:paraId="75E80602" w14:textId="77777777" w:rsidR="00BF5828" w:rsidRDefault="00BF5828" w:rsidP="00BF5828">
      <w:pPr>
        <w:spacing w:line="360" w:lineRule="auto"/>
        <w:jc w:val="both"/>
        <w:rPr>
          <w:rFonts w:ascii="Helvetica" w:hAnsi="Helvetica"/>
          <w:color w:val="000000" w:themeColor="text1"/>
          <w:sz w:val="22"/>
          <w:szCs w:val="22"/>
        </w:rPr>
      </w:pPr>
      <w:r>
        <w:rPr>
          <w:rFonts w:ascii="Helvetica" w:hAnsi="Helvetica"/>
          <w:color w:val="000000" w:themeColor="text1"/>
          <w:sz w:val="22"/>
          <w:szCs w:val="22"/>
        </w:rPr>
        <w:br w:type="page"/>
      </w:r>
    </w:p>
    <w:p w14:paraId="613B65DF" w14:textId="77777777" w:rsidR="00BF5828" w:rsidRPr="006B2F31" w:rsidRDefault="00BF5828" w:rsidP="00BF5828">
      <w:pPr>
        <w:spacing w:line="360" w:lineRule="auto"/>
        <w:jc w:val="both"/>
        <w:rPr>
          <w:rFonts w:ascii="Helvetica" w:hAnsi="Helvetica"/>
          <w:b/>
          <w:bCs/>
          <w:color w:val="000000" w:themeColor="text1"/>
          <w:sz w:val="22"/>
          <w:szCs w:val="22"/>
        </w:rPr>
      </w:pPr>
      <w:r w:rsidRPr="006B2F31">
        <w:rPr>
          <w:rFonts w:ascii="Helvetica" w:hAnsi="Helvetica"/>
          <w:b/>
          <w:bCs/>
          <w:color w:val="000000" w:themeColor="text1"/>
          <w:sz w:val="22"/>
          <w:szCs w:val="22"/>
        </w:rPr>
        <w:lastRenderedPageBreak/>
        <w:t>Supplementary Figure</w:t>
      </w:r>
      <w:r>
        <w:rPr>
          <w:rFonts w:ascii="Helvetica" w:hAnsi="Helvetica"/>
          <w:b/>
          <w:bCs/>
          <w:color w:val="000000" w:themeColor="text1"/>
          <w:sz w:val="22"/>
          <w:szCs w:val="22"/>
        </w:rPr>
        <w:t>s</w:t>
      </w:r>
    </w:p>
    <w:p w14:paraId="3EC012A0" w14:textId="77777777" w:rsidR="00BF5828" w:rsidRPr="006B2F31" w:rsidRDefault="00BF5828" w:rsidP="00BF5828">
      <w:pPr>
        <w:spacing w:line="360" w:lineRule="auto"/>
        <w:jc w:val="both"/>
        <w:rPr>
          <w:rFonts w:ascii="Helvetica" w:hAnsi="Helvetica"/>
          <w:color w:val="000000" w:themeColor="text1"/>
          <w:sz w:val="22"/>
          <w:szCs w:val="22"/>
        </w:rPr>
      </w:pPr>
      <w:r w:rsidRPr="006B2F31">
        <w:rPr>
          <w:noProof/>
          <w:color w:val="000000" w:themeColor="text1"/>
        </w:rPr>
        <w:t xml:space="preserve"> </w:t>
      </w:r>
      <w:r>
        <w:rPr>
          <w:rFonts w:ascii="Helvetica" w:hAnsi="Helvetica"/>
          <w:noProof/>
          <w:color w:val="000000" w:themeColor="text1"/>
          <w:sz w:val="22"/>
          <w:szCs w:val="22"/>
        </w:rPr>
        <w:drawing>
          <wp:inline distT="0" distB="0" distL="0" distR="0" wp14:anchorId="55B565D8" wp14:editId="2B1100D6">
            <wp:extent cx="5731510" cy="751967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7519670"/>
                    </a:xfrm>
                    <a:prstGeom prst="rect">
                      <a:avLst/>
                    </a:prstGeom>
                  </pic:spPr>
                </pic:pic>
              </a:graphicData>
            </a:graphic>
          </wp:inline>
        </w:drawing>
      </w:r>
    </w:p>
    <w:p w14:paraId="69974C34" w14:textId="77777777" w:rsidR="00BF5828" w:rsidRPr="006B2F31" w:rsidRDefault="00BF5828" w:rsidP="00BF5828">
      <w:pPr>
        <w:spacing w:line="360" w:lineRule="auto"/>
        <w:jc w:val="both"/>
        <w:rPr>
          <w:color w:val="000000" w:themeColor="text1"/>
        </w:rPr>
      </w:pPr>
      <w:r w:rsidRPr="006B2F31">
        <w:rPr>
          <w:rFonts w:ascii="Helvetica" w:hAnsi="Helvetica"/>
          <w:b/>
          <w:bCs/>
          <w:color w:val="000000" w:themeColor="text1"/>
          <w:sz w:val="22"/>
          <w:szCs w:val="22"/>
        </w:rPr>
        <w:t>Supplementary Fig. 1 a</w:t>
      </w:r>
      <w:r w:rsidRPr="006B2F31">
        <w:rPr>
          <w:rFonts w:ascii="Helvetica" w:hAnsi="Helvetica"/>
          <w:color w:val="000000" w:themeColor="text1"/>
          <w:sz w:val="22"/>
          <w:szCs w:val="22"/>
        </w:rPr>
        <w:t xml:space="preserve">. Groups included in the meta-analysis of mouse and human coronary EC scRNA-seq data. </w:t>
      </w:r>
      <w:r w:rsidRPr="006B2F31">
        <w:rPr>
          <w:rFonts w:ascii="Helvetica" w:hAnsi="Helvetica"/>
          <w:b/>
          <w:bCs/>
          <w:color w:val="000000" w:themeColor="text1"/>
          <w:sz w:val="22"/>
          <w:szCs w:val="22"/>
        </w:rPr>
        <w:t>b</w:t>
      </w:r>
      <w:r w:rsidRPr="006B2F31">
        <w:rPr>
          <w:rFonts w:ascii="Helvetica" w:hAnsi="Helvetica"/>
          <w:color w:val="000000" w:themeColor="text1"/>
          <w:sz w:val="22"/>
          <w:szCs w:val="22"/>
        </w:rPr>
        <w:t xml:space="preserve">. An example of EC enrichment using AUCell package. Left, the Seurat </w:t>
      </w:r>
      <w:r w:rsidRPr="006B2F31">
        <w:rPr>
          <w:rFonts w:ascii="Helvetica" w:hAnsi="Helvetica"/>
          <w:color w:val="000000" w:themeColor="text1"/>
          <w:sz w:val="22"/>
          <w:szCs w:val="22"/>
        </w:rPr>
        <w:lastRenderedPageBreak/>
        <w:t>object generated from GSE134255 was subject to endothelial cell enrichment based on the expression of a panel of 45 endothelial markers</w:t>
      </w:r>
      <w:r w:rsidRPr="006B2F31">
        <w:rPr>
          <w:rFonts w:ascii="Helvetica" w:hAnsi="Helvetica"/>
          <w:color w:val="000000" w:themeColor="text1"/>
          <w:sz w:val="22"/>
          <w:szCs w:val="22"/>
        </w:rPr>
        <w:fldChar w:fldCharType="begin" w:fldLock="1"/>
      </w:r>
      <w:r w:rsidRPr="006B2F31">
        <w:rPr>
          <w:rFonts w:ascii="Helvetica" w:hAnsi="Helvetica"/>
          <w:color w:val="000000" w:themeColor="text1"/>
          <w:sz w:val="22"/>
          <w:szCs w:val="22"/>
        </w:rPr>
        <w:instrText>ADDIN CSL_CITATION {"citationItems":[{"id":"ITEM-1","itemData":{"DOI":"10.1155/2017/9759735","abstract":"Endothelium is a community of endothelial cells (ECs), which line the blood and lymphatic vessels, thus forming an interface between the tissues and the blood or lympha. This strategic position of endothelium infers its indispensable functional role in controlling vasoregulation, haemostasis, and inflammation. The state of endothelium is simultaneously the cause and effect of many diseases, and this is coupled with modifications of endothelial phenotype represented by markers and with biochemical profile of blood represented by biomarkers. In this paper, we briefly review data on the functional role of endothelium, give definitions of endothelial markers and biomarkers, touch on the methodological approaches for revealing biomarkers, present an implicit role of endothelium in some toxicological mechanistic studies, and survey the role of reactive oxygen species (ROS) in modulation of endothelial status.","author":[{"dropping-particle":"V.","family":"Goncharov","given":"Nikolay","non-dropping-particle":"","parse-names":false,"suffix":""},{"dropping-particle":"","family":"Nadeev","given":"Alexander D.","non-dropping-particle":"","parse-names":false,"suffix":""},{"dropping-particle":"","family":"Jenkins","given":"Richard O.","non-dropping-particle":"","parse-names":false,"suffix":""},{"dropping-particle":"V.","family":"Avdonin","given":"Pavel","non-dropping-particle":"","parse-names":false,"suffix":""}],"container-title":"Oxidative Medicine and Cellular Longevity","id":"ITEM-1","issued":{"date-parts":[["2017"]]},"publisher":"Hindawi Limited","title":"Markers and Biomarkers of Endothelium: When Something Is Rotten in the State","type":"article-journal","volume":"2017"},"uris":["http://www.mendeley.com/documents/?uuid=d8d6672d-f255-3b68-a61f-5a0f4abc3db8"]}],"mendeley":{"formattedCitation":"&lt;sup&gt;13&lt;/sup&gt;","plainTextFormattedCitation":"13","previouslyFormattedCitation":"&lt;sup&gt;13&lt;/sup&gt;"},"properties":{"noteIndex":0},"schema":"https://github.com/citation-style-language/schema/raw/master/csl-citation.json"}</w:instrText>
      </w:r>
      <w:r w:rsidRPr="006B2F31">
        <w:rPr>
          <w:rFonts w:ascii="Helvetica" w:hAnsi="Helvetica"/>
          <w:color w:val="000000" w:themeColor="text1"/>
          <w:sz w:val="22"/>
          <w:szCs w:val="22"/>
        </w:rPr>
        <w:fldChar w:fldCharType="separate"/>
      </w:r>
      <w:r w:rsidRPr="006B2F31">
        <w:rPr>
          <w:rFonts w:ascii="Helvetica" w:hAnsi="Helvetica"/>
          <w:noProof/>
          <w:color w:val="000000" w:themeColor="text1"/>
          <w:sz w:val="22"/>
          <w:szCs w:val="22"/>
          <w:vertAlign w:val="superscript"/>
        </w:rPr>
        <w:t>13</w:t>
      </w:r>
      <w:r w:rsidRPr="006B2F31">
        <w:rPr>
          <w:rFonts w:ascii="Helvetica" w:hAnsi="Helvetica"/>
          <w:color w:val="000000" w:themeColor="text1"/>
          <w:sz w:val="22"/>
          <w:szCs w:val="22"/>
        </w:rPr>
        <w:fldChar w:fldCharType="end"/>
      </w:r>
      <w:r w:rsidRPr="006B2F31">
        <w:rPr>
          <w:rFonts w:ascii="Helvetica" w:hAnsi="Helvetica"/>
          <w:color w:val="000000" w:themeColor="text1"/>
          <w:sz w:val="22"/>
          <w:szCs w:val="22"/>
        </w:rPr>
        <w:t>. Middle, all cells were scored for the expression of the endothelial markers and ranked using the AUCell package</w:t>
      </w:r>
      <w:r w:rsidRPr="006B2F31">
        <w:rPr>
          <w:rFonts w:ascii="Helvetica" w:hAnsi="Helvetica"/>
          <w:color w:val="000000" w:themeColor="text1"/>
          <w:sz w:val="22"/>
          <w:szCs w:val="22"/>
        </w:rPr>
        <w:fldChar w:fldCharType="begin" w:fldLock="1"/>
      </w:r>
      <w:r>
        <w:rPr>
          <w:rFonts w:ascii="Helvetica" w:hAnsi="Helvetica"/>
          <w:color w:val="000000" w:themeColor="text1"/>
          <w:sz w:val="22"/>
          <w:szCs w:val="22"/>
        </w:rPr>
        <w:instrText>ADDIN CSL_CITATION {"citationItems":[{"id":"ITEM-1","itemData":{"DOI":"10.1038/NMETH.4463","abstract":"We present SCENIC, a computational method for simultaneous gene regulatory network reconstruction and cell-state identification from single-cell RNA-seq data (http://scenic.aertslab.org). On a compendium of single-cell data from tumors and brain, we demonstrate that cis-regulatory analysis can be exploited to guide the identification of transcription factors and cell states. SCENIC provides critical biological insights into the mechanisms driving cellular heterogeneity.","author":[{"dropping-particle":"","family":"Aibar","given":"Sara","non-dropping-particle":"","parse-names":false,"suffix":""},{"dropping-particle":"","family":"González-Blas","given":"Carmen Bravo","non-dropping-particle":"","parse-names":false,"suffix":""},{"dropping-particle":"","family":"Moerman","given":"Thomas","non-dropping-particle":"","parse-names":false,"suffix":""},{"dropping-particle":"","family":"Huynh-Thu","given":"Vân Anh","non-dropping-particle":"","parse-names":false,"suffix":""},{"dropping-particle":"","family":"Imrichova","given":"Hana","non-dropping-particle":"","parse-names":false,"suffix":""},{"dropping-particle":"","family":"Hulselmans","given":"Gert","non-dropping-particle":"","parse-names":false,"suffix":""},{"dropping-particle":"","family":"Rambow","given":"Florian","non-dropping-particle":"","parse-names":false,"suffix":""},{"dropping-particle":"","family":"Marine","given":"Jean Christophe","non-dropping-particle":"","parse-names":false,"suffix":""},{"dropping-particle":"","family":"Geurts","given":"Pierre","non-dropping-particle":"","parse-names":false,"suffix":""},{"dropping-particle":"","family":"Aerts","given":"Jan","non-dropping-particle":"","parse-names":false,"suffix":""},{"dropping-particle":"","family":"Oord","given":"Joost","non-dropping-particle":"Van Den","parse-names":false,"suffix":""},{"dropping-particle":"","family":"Atak","given":"Zeynep Kalender","non-dropping-particle":"","parse-names":false,"suffix":""},{"dropping-particle":"","family":"Wouters","given":"Jasper","non-dropping-particle":"","parse-names":false,"suffix":""},{"dropping-particle":"","family":"Aerts","given":"Stein","non-dropping-particle":"","parse-names":false,"suffix":""}],"container-title":"Nature Methods","id":"ITEM-1","issue":"11","issued":{"date-parts":[["2017","10","31"]]},"page":"1083-1086","publisher":"Nature Publishing Group","title":"SCENIC: Single-cell regulatory network inference and clustering","type":"article-journal","volume":"14"},"uris":["http://www.mendeley.com/documents/?uuid=7c75d119-55db-346b-b37e-e856759f6ec1"]}],"mendeley":{"formattedCitation":"&lt;sup&gt;14&lt;/sup&gt;","plainTextFormattedCitation":"14","previouslyFormattedCitation":"&lt;sup&gt;14&lt;/sup&gt;"},"properties":{"noteIndex":0},"schema":"https://github.com/citation-style-language/schema/raw/master/csl-citation.json"}</w:instrText>
      </w:r>
      <w:r w:rsidRPr="006B2F31">
        <w:rPr>
          <w:rFonts w:ascii="Helvetica" w:hAnsi="Helvetica"/>
          <w:color w:val="000000" w:themeColor="text1"/>
          <w:sz w:val="22"/>
          <w:szCs w:val="22"/>
        </w:rPr>
        <w:fldChar w:fldCharType="separate"/>
      </w:r>
      <w:r w:rsidRPr="009C6B71">
        <w:rPr>
          <w:rFonts w:ascii="Helvetica" w:hAnsi="Helvetica"/>
          <w:noProof/>
          <w:color w:val="000000" w:themeColor="text1"/>
          <w:sz w:val="22"/>
          <w:szCs w:val="22"/>
          <w:vertAlign w:val="superscript"/>
        </w:rPr>
        <w:t>14</w:t>
      </w:r>
      <w:r w:rsidRPr="006B2F31">
        <w:rPr>
          <w:rFonts w:ascii="Helvetica" w:hAnsi="Helvetica"/>
          <w:color w:val="000000" w:themeColor="text1"/>
          <w:sz w:val="22"/>
          <w:szCs w:val="22"/>
        </w:rPr>
        <w:fldChar w:fldCharType="end"/>
      </w:r>
      <w:r w:rsidRPr="006B2F31">
        <w:rPr>
          <w:rFonts w:ascii="Helvetica" w:hAnsi="Helvetica"/>
          <w:color w:val="000000" w:themeColor="text1"/>
          <w:sz w:val="22"/>
          <w:szCs w:val="22"/>
        </w:rPr>
        <w:t xml:space="preserve"> (version 1.13.3). Right, cells that passed the calculated threshold were assigned as endothelial cells. Endothelial cells were subset from the original Seurat object to generate a new endothelial-specific Seurat object, containing all the raw counts and metadata for the selected cells. </w:t>
      </w:r>
      <w:r w:rsidRPr="006B2F31">
        <w:rPr>
          <w:rFonts w:ascii="Helvetica" w:hAnsi="Helvetica"/>
          <w:b/>
          <w:bCs/>
          <w:color w:val="000000" w:themeColor="text1"/>
          <w:sz w:val="22"/>
          <w:szCs w:val="22"/>
        </w:rPr>
        <w:t>c</w:t>
      </w:r>
      <w:r w:rsidRPr="006B2F31">
        <w:rPr>
          <w:rFonts w:ascii="Helvetica" w:hAnsi="Helvetica"/>
          <w:color w:val="000000" w:themeColor="text1"/>
          <w:sz w:val="22"/>
          <w:szCs w:val="22"/>
        </w:rPr>
        <w:t xml:space="preserve">. Dot plots shows the expression level of Vegfc receptors </w:t>
      </w:r>
      <w:r w:rsidRPr="006B2F31">
        <w:rPr>
          <w:rFonts w:ascii="Helvetica" w:hAnsi="Helvetica"/>
          <w:i/>
          <w:iCs/>
          <w:color w:val="000000" w:themeColor="text1"/>
          <w:sz w:val="22"/>
          <w:szCs w:val="22"/>
        </w:rPr>
        <w:t xml:space="preserve">Flt4 </w:t>
      </w:r>
      <w:r w:rsidRPr="006B2F31">
        <w:rPr>
          <w:rFonts w:ascii="Helvetica" w:hAnsi="Helvetica"/>
          <w:color w:val="000000" w:themeColor="text1"/>
          <w:sz w:val="22"/>
          <w:szCs w:val="22"/>
        </w:rPr>
        <w:t xml:space="preserve">and </w:t>
      </w:r>
      <w:r w:rsidRPr="006B2F31">
        <w:rPr>
          <w:rFonts w:ascii="Helvetica" w:hAnsi="Helvetica"/>
          <w:i/>
          <w:iCs/>
          <w:color w:val="000000" w:themeColor="text1"/>
          <w:sz w:val="22"/>
          <w:szCs w:val="22"/>
        </w:rPr>
        <w:t>Nrp2</w:t>
      </w:r>
      <w:r w:rsidRPr="006B2F31">
        <w:rPr>
          <w:rFonts w:ascii="Helvetica" w:hAnsi="Helvetica"/>
          <w:color w:val="000000" w:themeColor="text1"/>
          <w:sz w:val="22"/>
          <w:szCs w:val="22"/>
        </w:rPr>
        <w:t xml:space="preserve"> in mouse coronary ECs. </w:t>
      </w:r>
      <w:r w:rsidRPr="006B2F31">
        <w:rPr>
          <w:rFonts w:ascii="Helvetica" w:hAnsi="Helvetica"/>
          <w:b/>
          <w:bCs/>
          <w:color w:val="000000" w:themeColor="text1"/>
          <w:sz w:val="22"/>
          <w:szCs w:val="22"/>
        </w:rPr>
        <w:t>d</w:t>
      </w:r>
      <w:r w:rsidRPr="006B2F31">
        <w:rPr>
          <w:rFonts w:ascii="Helvetica" w:hAnsi="Helvetica"/>
          <w:color w:val="000000" w:themeColor="text1"/>
          <w:sz w:val="22"/>
          <w:szCs w:val="22"/>
        </w:rPr>
        <w:t xml:space="preserve">. </w:t>
      </w:r>
      <w:r w:rsidRPr="006B2F31">
        <w:rPr>
          <w:rFonts w:ascii="Helvetica" w:hAnsi="Helvetica"/>
          <w:iCs/>
          <w:color w:val="000000" w:themeColor="text1"/>
          <w:sz w:val="22"/>
          <w:szCs w:val="22"/>
        </w:rPr>
        <w:t xml:space="preserve">Workflow of the </w:t>
      </w:r>
      <w:r w:rsidRPr="006B2F31">
        <w:rPr>
          <w:rFonts w:ascii="Helvetica" w:hAnsi="Helvetica"/>
          <w:i/>
          <w:color w:val="000000" w:themeColor="text1"/>
          <w:sz w:val="22"/>
          <w:szCs w:val="22"/>
        </w:rPr>
        <w:t xml:space="preserve">in vivo </w:t>
      </w:r>
      <w:r w:rsidRPr="006B2F31">
        <w:rPr>
          <w:rFonts w:ascii="Helvetica" w:hAnsi="Helvetica"/>
          <w:iCs/>
          <w:color w:val="000000" w:themeColor="text1"/>
          <w:sz w:val="22"/>
          <w:szCs w:val="22"/>
        </w:rPr>
        <w:t xml:space="preserve">study using exogenous rhVEGF-C treatment to augment endogenous neovascularisation </w:t>
      </w:r>
      <w:r w:rsidRPr="006B2F31">
        <w:rPr>
          <w:rFonts w:ascii="Helvetica" w:hAnsi="Helvetica"/>
          <w:i/>
          <w:color w:val="000000" w:themeColor="text1"/>
          <w:sz w:val="22"/>
          <w:szCs w:val="22"/>
        </w:rPr>
        <w:t xml:space="preserve">via </w:t>
      </w:r>
      <w:r w:rsidRPr="006B2F31">
        <w:rPr>
          <w:rFonts w:ascii="Helvetica" w:hAnsi="Helvetica"/>
          <w:iCs/>
          <w:color w:val="000000" w:themeColor="text1"/>
          <w:sz w:val="22"/>
          <w:szCs w:val="22"/>
        </w:rPr>
        <w:t xml:space="preserve">endothelial cell clonal proliferation in the adult mouse heart. </w:t>
      </w:r>
      <w:r w:rsidRPr="006B2F31">
        <w:rPr>
          <w:rFonts w:ascii="Helvetica" w:hAnsi="Helvetica"/>
          <w:i/>
          <w:color w:val="000000" w:themeColor="text1"/>
          <w:sz w:val="22"/>
          <w:szCs w:val="22"/>
        </w:rPr>
        <w:t>Pdgfb-iCreER</w:t>
      </w:r>
      <w:r w:rsidRPr="006B2F31">
        <w:rPr>
          <w:rFonts w:ascii="Helvetica" w:hAnsi="Helvetica"/>
          <w:i/>
          <w:color w:val="000000" w:themeColor="text1"/>
          <w:sz w:val="22"/>
          <w:szCs w:val="22"/>
          <w:vertAlign w:val="superscript"/>
        </w:rPr>
        <w:t>T2</w:t>
      </w:r>
      <w:r w:rsidRPr="006B2F31">
        <w:rPr>
          <w:rFonts w:ascii="Helvetica" w:hAnsi="Helvetica"/>
          <w:i/>
          <w:color w:val="000000" w:themeColor="text1"/>
          <w:sz w:val="22"/>
          <w:szCs w:val="22"/>
        </w:rPr>
        <w:t xml:space="preserve">-R26R-Brainbow2.1 </w:t>
      </w:r>
      <w:r w:rsidRPr="006B2F31">
        <w:rPr>
          <w:rFonts w:ascii="Helvetica" w:hAnsi="Helvetica"/>
          <w:color w:val="000000" w:themeColor="text1"/>
          <w:sz w:val="22"/>
          <w:szCs w:val="22"/>
        </w:rPr>
        <w:t xml:space="preserve">mice underwent permanent coronary artery ligation and were administered either recombinant human (rh)VEGF-C or PBS control at days 0, 2 4 and 6 post-surgery. Hearts were collected at 7 days for histological profiling and 3D clonal proliferation analysis. </w:t>
      </w:r>
    </w:p>
    <w:p w14:paraId="6C535D0D" w14:textId="77777777" w:rsidR="00BF5828" w:rsidRDefault="00BF5828" w:rsidP="00BF5828">
      <w:pPr>
        <w:spacing w:line="360" w:lineRule="auto"/>
        <w:jc w:val="both"/>
        <w:rPr>
          <w:rFonts w:ascii="Helvetica" w:hAnsi="Helvetica"/>
          <w:color w:val="000000" w:themeColor="text1"/>
          <w:sz w:val="22"/>
          <w:szCs w:val="22"/>
        </w:rPr>
      </w:pPr>
      <w:r>
        <w:rPr>
          <w:rFonts w:ascii="Helvetica" w:hAnsi="Helvetica"/>
          <w:noProof/>
          <w:color w:val="000000" w:themeColor="text1"/>
          <w:sz w:val="22"/>
          <w:szCs w:val="22"/>
        </w:rPr>
        <w:lastRenderedPageBreak/>
        <w:drawing>
          <wp:inline distT="0" distB="0" distL="0" distR="0" wp14:anchorId="4659E4C3" wp14:editId="01A9F093">
            <wp:extent cx="5731510" cy="6553200"/>
            <wp:effectExtent l="0" t="0" r="0" b="0"/>
            <wp:docPr id="4" name="Picture 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alenda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6553200"/>
                    </a:xfrm>
                    <a:prstGeom prst="rect">
                      <a:avLst/>
                    </a:prstGeom>
                  </pic:spPr>
                </pic:pic>
              </a:graphicData>
            </a:graphic>
          </wp:inline>
        </w:drawing>
      </w:r>
    </w:p>
    <w:p w14:paraId="5525A6B8" w14:textId="77777777" w:rsidR="00BF5828" w:rsidRPr="006B2F31" w:rsidRDefault="00BF5828" w:rsidP="00BF5828">
      <w:pPr>
        <w:spacing w:line="360" w:lineRule="auto"/>
        <w:jc w:val="both"/>
        <w:rPr>
          <w:rFonts w:ascii="Helvetica" w:hAnsi="Helvetica"/>
          <w:color w:val="000000" w:themeColor="text1"/>
          <w:sz w:val="22"/>
          <w:szCs w:val="22"/>
        </w:rPr>
      </w:pPr>
      <w:r w:rsidRPr="006B2F31">
        <w:rPr>
          <w:rFonts w:ascii="Helvetica" w:hAnsi="Helvetica"/>
          <w:b/>
          <w:bCs/>
          <w:color w:val="000000" w:themeColor="text1"/>
          <w:sz w:val="22"/>
          <w:szCs w:val="22"/>
        </w:rPr>
        <w:t xml:space="preserve">Supplementary Fig. </w:t>
      </w:r>
      <w:r>
        <w:rPr>
          <w:rFonts w:ascii="Helvetica" w:hAnsi="Helvetica"/>
          <w:b/>
          <w:bCs/>
          <w:color w:val="000000" w:themeColor="text1"/>
          <w:sz w:val="22"/>
          <w:szCs w:val="22"/>
        </w:rPr>
        <w:t>2</w:t>
      </w:r>
      <w:r w:rsidRPr="006B2F31">
        <w:rPr>
          <w:rFonts w:ascii="Helvetica" w:hAnsi="Helvetica"/>
          <w:b/>
          <w:bCs/>
          <w:color w:val="000000" w:themeColor="text1"/>
          <w:sz w:val="22"/>
          <w:szCs w:val="22"/>
        </w:rPr>
        <w:t xml:space="preserve"> a</w:t>
      </w:r>
      <w:r w:rsidRPr="006B2F31">
        <w:rPr>
          <w:rFonts w:ascii="Helvetica" w:hAnsi="Helvetica"/>
          <w:color w:val="000000" w:themeColor="text1"/>
          <w:sz w:val="22"/>
          <w:szCs w:val="22"/>
        </w:rPr>
        <w:t xml:space="preserve">. All mouse and human coronary EC scRNA-seq data was integrated to identify conserved mechanisms underpinning vascular responses between the two species. 41 upregulated DEGs were shared by coronary ECs in the injured mouse and human heart compared to the healthy hearts. However, many DEGs were specific to one species (882 and 238 genes, respectively). </w:t>
      </w:r>
      <w:r w:rsidRPr="006B2F31">
        <w:rPr>
          <w:rFonts w:ascii="Helvetica" w:hAnsi="Helvetica"/>
          <w:b/>
          <w:bCs/>
          <w:color w:val="000000" w:themeColor="text1"/>
          <w:sz w:val="22"/>
          <w:szCs w:val="22"/>
        </w:rPr>
        <w:t>b</w:t>
      </w:r>
      <w:r w:rsidRPr="006B2F31">
        <w:rPr>
          <w:rFonts w:ascii="Helvetica" w:hAnsi="Helvetica"/>
          <w:color w:val="000000" w:themeColor="text1"/>
          <w:sz w:val="22"/>
          <w:szCs w:val="22"/>
        </w:rPr>
        <w:t xml:space="preserve">. Expression of </w:t>
      </w:r>
      <w:r w:rsidRPr="006B2F31">
        <w:rPr>
          <w:rFonts w:ascii="Helvetica" w:hAnsi="Helvetica"/>
          <w:i/>
          <w:iCs/>
          <w:color w:val="000000" w:themeColor="text1"/>
          <w:sz w:val="22"/>
          <w:szCs w:val="22"/>
        </w:rPr>
        <w:t>Klf4</w:t>
      </w:r>
      <w:r w:rsidRPr="006B2F31">
        <w:rPr>
          <w:rFonts w:ascii="Helvetica" w:hAnsi="Helvetica"/>
          <w:color w:val="000000" w:themeColor="text1"/>
          <w:sz w:val="22"/>
          <w:szCs w:val="22"/>
        </w:rPr>
        <w:t>,</w:t>
      </w:r>
      <w:r w:rsidRPr="006B2F31">
        <w:rPr>
          <w:rFonts w:ascii="Helvetica" w:hAnsi="Helvetica"/>
          <w:i/>
          <w:iCs/>
          <w:color w:val="000000" w:themeColor="text1"/>
          <w:sz w:val="22"/>
          <w:szCs w:val="22"/>
        </w:rPr>
        <w:t xml:space="preserve"> Gas6 </w:t>
      </w:r>
      <w:r w:rsidRPr="006B2F31">
        <w:rPr>
          <w:rFonts w:ascii="Helvetica" w:hAnsi="Helvetica"/>
          <w:color w:val="000000" w:themeColor="text1"/>
          <w:sz w:val="22"/>
          <w:szCs w:val="22"/>
        </w:rPr>
        <w:t xml:space="preserve">and </w:t>
      </w:r>
      <w:r w:rsidRPr="006B2F31">
        <w:rPr>
          <w:rFonts w:ascii="Helvetica" w:hAnsi="Helvetica"/>
          <w:i/>
          <w:iCs/>
          <w:color w:val="000000" w:themeColor="text1"/>
          <w:sz w:val="22"/>
          <w:szCs w:val="22"/>
        </w:rPr>
        <w:t>Tsc22d3</w:t>
      </w:r>
      <w:r w:rsidRPr="006B2F31">
        <w:rPr>
          <w:rFonts w:ascii="Helvetica" w:hAnsi="Helvetica"/>
          <w:color w:val="000000" w:themeColor="text1"/>
          <w:sz w:val="22"/>
          <w:szCs w:val="22"/>
        </w:rPr>
        <w:t xml:space="preserve"> was upregulated across all time-points in the injured mouse hearts and in both types of human heart failure. cHF, heart failure caused by ischaemic cardiomyopathy; dHF, heart failure caused by dilated cardiomyopathy. </w:t>
      </w:r>
      <w:r w:rsidRPr="006B2F31">
        <w:rPr>
          <w:rFonts w:ascii="Helvetica" w:hAnsi="Helvetica"/>
          <w:b/>
          <w:bCs/>
          <w:color w:val="000000" w:themeColor="text1"/>
          <w:sz w:val="22"/>
          <w:szCs w:val="22"/>
        </w:rPr>
        <w:t>c</w:t>
      </w:r>
      <w:r w:rsidRPr="006B2F31">
        <w:rPr>
          <w:rFonts w:ascii="Helvetica" w:hAnsi="Helvetica"/>
          <w:color w:val="000000" w:themeColor="text1"/>
          <w:sz w:val="22"/>
          <w:szCs w:val="22"/>
        </w:rPr>
        <w:t xml:space="preserve">. Dot plot shows the expression of Klf family members in human and mouse adult coronary ECs. Blue stars indicate enriched expression in coronary ECs in response to </w:t>
      </w:r>
      <w:r w:rsidRPr="006B2F31">
        <w:rPr>
          <w:rFonts w:ascii="Helvetica" w:hAnsi="Helvetica"/>
          <w:color w:val="000000" w:themeColor="text1"/>
          <w:sz w:val="22"/>
          <w:szCs w:val="22"/>
        </w:rPr>
        <w:lastRenderedPageBreak/>
        <w:t xml:space="preserve">injury e.g., </w:t>
      </w:r>
      <w:r w:rsidRPr="006B2F31">
        <w:rPr>
          <w:rFonts w:ascii="Helvetica" w:hAnsi="Helvetica"/>
          <w:i/>
          <w:iCs/>
          <w:color w:val="000000" w:themeColor="text1"/>
          <w:sz w:val="22"/>
          <w:szCs w:val="22"/>
        </w:rPr>
        <w:t>KLF4</w:t>
      </w:r>
      <w:r w:rsidRPr="006B2F31">
        <w:rPr>
          <w:rFonts w:ascii="Helvetica" w:hAnsi="Helvetica"/>
          <w:color w:val="000000" w:themeColor="text1"/>
          <w:sz w:val="22"/>
          <w:szCs w:val="22"/>
        </w:rPr>
        <w:t xml:space="preserve">, </w:t>
      </w:r>
      <w:r w:rsidRPr="006B2F31">
        <w:rPr>
          <w:rFonts w:ascii="Helvetica" w:hAnsi="Helvetica"/>
          <w:i/>
          <w:iCs/>
          <w:color w:val="000000" w:themeColor="text1"/>
          <w:sz w:val="22"/>
          <w:szCs w:val="22"/>
        </w:rPr>
        <w:t>KLF6</w:t>
      </w:r>
      <w:r w:rsidRPr="006B2F31">
        <w:rPr>
          <w:rFonts w:ascii="Helvetica" w:hAnsi="Helvetica"/>
          <w:color w:val="000000" w:themeColor="text1"/>
          <w:sz w:val="22"/>
          <w:szCs w:val="22"/>
        </w:rPr>
        <w:t xml:space="preserve"> and </w:t>
      </w:r>
      <w:r w:rsidRPr="006B2F31">
        <w:rPr>
          <w:rFonts w:ascii="Helvetica" w:hAnsi="Helvetica"/>
          <w:i/>
          <w:iCs/>
          <w:color w:val="000000" w:themeColor="text1"/>
          <w:sz w:val="22"/>
          <w:szCs w:val="22"/>
        </w:rPr>
        <w:t>KLF9</w:t>
      </w:r>
      <w:r w:rsidRPr="006B2F31">
        <w:rPr>
          <w:rFonts w:ascii="Helvetica" w:hAnsi="Helvetica"/>
          <w:color w:val="000000" w:themeColor="text1"/>
          <w:sz w:val="22"/>
          <w:szCs w:val="22"/>
        </w:rPr>
        <w:t xml:space="preserve"> in human heart failure and </w:t>
      </w:r>
      <w:r w:rsidRPr="006B2F31">
        <w:rPr>
          <w:rFonts w:ascii="Helvetica" w:hAnsi="Helvetica"/>
          <w:i/>
          <w:iCs/>
          <w:color w:val="000000" w:themeColor="text1"/>
          <w:sz w:val="22"/>
          <w:szCs w:val="22"/>
        </w:rPr>
        <w:t>Klf2</w:t>
      </w:r>
      <w:r w:rsidRPr="006B2F31">
        <w:rPr>
          <w:rFonts w:ascii="Helvetica" w:hAnsi="Helvetica"/>
          <w:color w:val="000000" w:themeColor="text1"/>
          <w:sz w:val="22"/>
          <w:szCs w:val="22"/>
        </w:rPr>
        <w:t xml:space="preserve">, </w:t>
      </w:r>
      <w:r w:rsidRPr="006B2F31">
        <w:rPr>
          <w:rFonts w:ascii="Helvetica" w:hAnsi="Helvetica"/>
          <w:i/>
          <w:iCs/>
          <w:color w:val="000000" w:themeColor="text1"/>
          <w:sz w:val="22"/>
          <w:szCs w:val="22"/>
        </w:rPr>
        <w:t>Klf4</w:t>
      </w:r>
      <w:r w:rsidRPr="006B2F31">
        <w:rPr>
          <w:rFonts w:ascii="Helvetica" w:hAnsi="Helvetica"/>
          <w:color w:val="000000" w:themeColor="text1"/>
          <w:sz w:val="22"/>
          <w:szCs w:val="22"/>
        </w:rPr>
        <w:t xml:space="preserve"> and </w:t>
      </w:r>
      <w:r w:rsidRPr="006B2F31">
        <w:rPr>
          <w:rFonts w:ascii="Helvetica" w:hAnsi="Helvetica"/>
          <w:i/>
          <w:iCs/>
          <w:color w:val="000000" w:themeColor="text1"/>
          <w:sz w:val="22"/>
          <w:szCs w:val="22"/>
        </w:rPr>
        <w:t xml:space="preserve">Klf10 </w:t>
      </w:r>
      <w:r w:rsidRPr="006B2F31">
        <w:rPr>
          <w:rFonts w:ascii="Helvetica" w:hAnsi="Helvetica"/>
          <w:color w:val="000000" w:themeColor="text1"/>
          <w:sz w:val="22"/>
          <w:szCs w:val="22"/>
        </w:rPr>
        <w:t>in mice post-MI.</w:t>
      </w:r>
      <w:r>
        <w:rPr>
          <w:rFonts w:ascii="Helvetica" w:hAnsi="Helvetica"/>
          <w:color w:val="000000" w:themeColor="text1"/>
          <w:sz w:val="22"/>
          <w:szCs w:val="22"/>
        </w:rPr>
        <w:t xml:space="preserve"> </w:t>
      </w:r>
      <w:r>
        <w:rPr>
          <w:rFonts w:ascii="Helvetica" w:hAnsi="Helvetica"/>
          <w:b/>
          <w:bCs/>
          <w:color w:val="000000" w:themeColor="text1"/>
          <w:sz w:val="22"/>
          <w:szCs w:val="22"/>
        </w:rPr>
        <w:t>d</w:t>
      </w:r>
      <w:r w:rsidRPr="006B2F31">
        <w:rPr>
          <w:rFonts w:ascii="Helvetica" w:hAnsi="Helvetica"/>
          <w:b/>
          <w:bCs/>
          <w:color w:val="000000" w:themeColor="text1"/>
          <w:sz w:val="22"/>
          <w:szCs w:val="22"/>
        </w:rPr>
        <w:t xml:space="preserve">. </w:t>
      </w:r>
      <w:r w:rsidRPr="006B2F31">
        <w:rPr>
          <w:rFonts w:ascii="Helvetica" w:hAnsi="Helvetica"/>
          <w:color w:val="000000" w:themeColor="text1"/>
          <w:sz w:val="22"/>
          <w:szCs w:val="22"/>
        </w:rPr>
        <w:t xml:space="preserve">Dot plot of 41 genes that were upregulated in both mouse and human cardiac ECs after ischaemic injury, compared to healthy heart coronary ECs. The greatest fold-change in expression in the highest percentage of cells was observed in </w:t>
      </w:r>
      <w:r w:rsidRPr="006B2F31">
        <w:rPr>
          <w:rFonts w:ascii="Helvetica" w:hAnsi="Helvetica"/>
          <w:i/>
          <w:iCs/>
          <w:color w:val="000000" w:themeColor="text1"/>
          <w:sz w:val="22"/>
          <w:szCs w:val="22"/>
        </w:rPr>
        <w:t>Jun</w:t>
      </w:r>
      <w:r w:rsidRPr="006B2F31">
        <w:rPr>
          <w:rFonts w:ascii="Helvetica" w:hAnsi="Helvetica"/>
          <w:color w:val="000000" w:themeColor="text1"/>
          <w:sz w:val="22"/>
          <w:szCs w:val="22"/>
        </w:rPr>
        <w:t xml:space="preserve">, </w:t>
      </w:r>
      <w:r w:rsidRPr="006B2F31">
        <w:rPr>
          <w:rFonts w:ascii="Helvetica" w:hAnsi="Helvetica"/>
          <w:i/>
          <w:iCs/>
          <w:color w:val="000000" w:themeColor="text1"/>
          <w:sz w:val="22"/>
          <w:szCs w:val="22"/>
        </w:rPr>
        <w:t>Zfp36</w:t>
      </w:r>
      <w:r w:rsidRPr="006B2F31">
        <w:rPr>
          <w:rFonts w:ascii="Helvetica" w:hAnsi="Helvetica"/>
          <w:color w:val="000000" w:themeColor="text1"/>
          <w:sz w:val="22"/>
          <w:szCs w:val="22"/>
        </w:rPr>
        <w:t xml:space="preserve">, </w:t>
      </w:r>
      <w:r w:rsidRPr="006B2F31">
        <w:rPr>
          <w:rFonts w:ascii="Helvetica" w:hAnsi="Helvetica"/>
          <w:i/>
          <w:iCs/>
          <w:color w:val="000000" w:themeColor="text1"/>
          <w:sz w:val="22"/>
          <w:szCs w:val="22"/>
        </w:rPr>
        <w:t>Egr1</w:t>
      </w:r>
      <w:r w:rsidRPr="006B2F31">
        <w:rPr>
          <w:rFonts w:ascii="Helvetica" w:hAnsi="Helvetica"/>
          <w:color w:val="000000" w:themeColor="text1"/>
          <w:sz w:val="22"/>
          <w:szCs w:val="22"/>
        </w:rPr>
        <w:t xml:space="preserve">, </w:t>
      </w:r>
      <w:r w:rsidRPr="006B2F31">
        <w:rPr>
          <w:rFonts w:ascii="Helvetica" w:hAnsi="Helvetica"/>
          <w:i/>
          <w:iCs/>
          <w:color w:val="000000" w:themeColor="text1"/>
          <w:sz w:val="22"/>
          <w:szCs w:val="22"/>
        </w:rPr>
        <w:t>Fosb</w:t>
      </w:r>
      <w:r w:rsidRPr="006B2F31">
        <w:rPr>
          <w:rFonts w:ascii="Helvetica" w:hAnsi="Helvetica"/>
          <w:color w:val="000000" w:themeColor="text1"/>
          <w:sz w:val="22"/>
          <w:szCs w:val="22"/>
        </w:rPr>
        <w:t xml:space="preserve">, and </w:t>
      </w:r>
      <w:r w:rsidRPr="006B2F31">
        <w:rPr>
          <w:rFonts w:ascii="Helvetica" w:hAnsi="Helvetica"/>
          <w:i/>
          <w:iCs/>
          <w:color w:val="000000" w:themeColor="text1"/>
          <w:sz w:val="22"/>
          <w:szCs w:val="22"/>
        </w:rPr>
        <w:t xml:space="preserve">Hsp90aa1 </w:t>
      </w:r>
      <w:r w:rsidRPr="006B2F31">
        <w:rPr>
          <w:rFonts w:ascii="Helvetica" w:hAnsi="Helvetica"/>
          <w:color w:val="000000" w:themeColor="text1"/>
          <w:sz w:val="22"/>
          <w:szCs w:val="22"/>
        </w:rPr>
        <w:t>(blue boxes).</w:t>
      </w:r>
    </w:p>
    <w:p w14:paraId="2079C95F" w14:textId="77777777" w:rsidR="00BF5828" w:rsidRPr="006B2F31" w:rsidRDefault="00BF5828" w:rsidP="00BF5828">
      <w:pPr>
        <w:spacing w:line="360" w:lineRule="auto"/>
        <w:jc w:val="both"/>
        <w:rPr>
          <w:rFonts w:ascii="Helvetica" w:hAnsi="Helvetica"/>
          <w:color w:val="000000" w:themeColor="text1"/>
          <w:sz w:val="22"/>
          <w:szCs w:val="22"/>
        </w:rPr>
      </w:pPr>
    </w:p>
    <w:p w14:paraId="7B2F03E5" w14:textId="77777777" w:rsidR="00BF5828" w:rsidRPr="00A84B35" w:rsidRDefault="00BF5828" w:rsidP="00BF5828">
      <w:pPr>
        <w:spacing w:after="0" w:line="240" w:lineRule="auto"/>
        <w:rPr>
          <w:rFonts w:ascii="Helvetica" w:hAnsi="Helvetica"/>
          <w:b/>
          <w:bCs/>
          <w:iCs/>
          <w:color w:val="000000" w:themeColor="text1"/>
          <w:sz w:val="22"/>
          <w:szCs w:val="22"/>
        </w:rPr>
      </w:pPr>
    </w:p>
    <w:p w14:paraId="652815FD" w14:textId="77777777" w:rsidR="00386883" w:rsidRDefault="00BF5828"/>
    <w:sectPr w:rsidR="00386883" w:rsidSect="001D62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828"/>
    <w:rsid w:val="003107CE"/>
    <w:rsid w:val="00316534"/>
    <w:rsid w:val="00373D83"/>
    <w:rsid w:val="005C224D"/>
    <w:rsid w:val="00622525"/>
    <w:rsid w:val="006B2C4D"/>
    <w:rsid w:val="00786892"/>
    <w:rsid w:val="007A60A6"/>
    <w:rsid w:val="00A0389B"/>
    <w:rsid w:val="00B1250C"/>
    <w:rsid w:val="00BF5828"/>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B591"/>
  <w15:chartTrackingRefBased/>
  <w15:docId w15:val="{33100087-3452-47E9-B4F3-7BCF4D50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828"/>
    <w:pPr>
      <w:spacing w:line="48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5828"/>
    <w:pPr>
      <w:spacing w:line="480" w:lineRule="auto"/>
    </w:pPr>
    <w:rPr>
      <w:rFonts w:eastAsiaTheme="minorEastAsia"/>
      <w:sz w:val="24"/>
      <w:szCs w:val="24"/>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9174</Words>
  <Characters>52296</Characters>
  <Application>Microsoft Office Word</Application>
  <DocSecurity>0</DocSecurity>
  <Lines>435</Lines>
  <Paragraphs>122</Paragraphs>
  <ScaleCrop>false</ScaleCrop>
  <Company/>
  <LinksUpToDate>false</LinksUpToDate>
  <CharactersWithSpaces>61348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2022-02-25T17:09:00Z</dcterms:created>
  <dcterms:modified xsi:type="dcterms:W3CDTF">2022-02-25T17:09:00Z</dcterms:modified>
</cp:coreProperties>
</file>