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5B9ADF" w14:textId="2EB2FEE5" w:rsidR="00135573" w:rsidRPr="0062360F" w:rsidRDefault="00135573" w:rsidP="00E71849">
      <w:pPr>
        <w:spacing w:after="240" w:line="480" w:lineRule="auto"/>
        <w:jc w:val="center"/>
        <w:rPr>
          <w:rFonts w:ascii="Times New Roman" w:eastAsia="Times New Roman" w:hAnsi="Times New Roman" w:cs="Times New Roman"/>
          <w:i/>
          <w:sz w:val="26"/>
          <w:szCs w:val="26"/>
          <w:lang w:val="en-US"/>
        </w:rPr>
      </w:pPr>
      <w:bookmarkStart w:id="0" w:name="_GoBack"/>
      <w:bookmarkEnd w:id="0"/>
      <w:r w:rsidRPr="00146B94">
        <w:rPr>
          <w:rFonts w:ascii="Times New Roman" w:eastAsia="Times New Roman" w:hAnsi="Times New Roman" w:cs="Times New Roman"/>
          <w:i/>
          <w:sz w:val="26"/>
          <w:szCs w:val="26"/>
          <w:lang w:val="en-US"/>
        </w:rPr>
        <w:t xml:space="preserve">SUPPLEMENTARY </w:t>
      </w:r>
      <w:r w:rsidR="00FD0734">
        <w:rPr>
          <w:rFonts w:ascii="Times New Roman" w:eastAsia="Times New Roman" w:hAnsi="Times New Roman" w:cs="Times New Roman"/>
          <w:i/>
          <w:sz w:val="26"/>
          <w:szCs w:val="26"/>
          <w:lang w:val="en-US"/>
        </w:rPr>
        <w:t>INFORMATION</w:t>
      </w:r>
    </w:p>
    <w:p w14:paraId="1B514C95" w14:textId="73C2EAFE" w:rsidR="00193AA9" w:rsidRPr="00193AA9" w:rsidRDefault="00C930EF" w:rsidP="00B82AA5">
      <w:pPr>
        <w:spacing w:after="0" w:line="360" w:lineRule="auto"/>
        <w:jc w:val="both"/>
        <w:rPr>
          <w:rFonts w:ascii="Times New Roman" w:eastAsiaTheme="minorHAnsi" w:hAnsi="Times New Roman" w:cs="Times New Roman"/>
          <w:b/>
          <w:bCs/>
          <w:sz w:val="26"/>
          <w:szCs w:val="26"/>
          <w:lang w:val="en-GB" w:eastAsia="en-US"/>
        </w:rPr>
      </w:pPr>
      <w:r>
        <w:rPr>
          <w:rFonts w:ascii="Times New Roman" w:eastAsiaTheme="minorHAnsi" w:hAnsi="Times New Roman" w:cs="Times New Roman"/>
          <w:b/>
          <w:bCs/>
          <w:sz w:val="26"/>
          <w:szCs w:val="26"/>
          <w:lang w:val="en-GB" w:eastAsia="en-US"/>
        </w:rPr>
        <w:t xml:space="preserve">Natural and anthropogenic sources of potentially toxic elements to aquatic environment: a systematic literature review. </w:t>
      </w:r>
    </w:p>
    <w:p w14:paraId="18F3B571" w14:textId="77777777" w:rsidR="00135573" w:rsidRPr="008A3752" w:rsidRDefault="00135573" w:rsidP="002F4B74">
      <w:pPr>
        <w:autoSpaceDE w:val="0"/>
        <w:autoSpaceDN w:val="0"/>
        <w:adjustRightInd w:val="0"/>
        <w:spacing w:after="0" w:line="480" w:lineRule="auto"/>
        <w:rPr>
          <w:rFonts w:ascii="Times New Roman" w:eastAsia="Times New Roman" w:hAnsi="Times New Roman" w:cs="Times New Roman"/>
          <w:color w:val="131413"/>
          <w:sz w:val="24"/>
          <w:szCs w:val="24"/>
          <w:lang w:val="en-GB"/>
        </w:rPr>
      </w:pPr>
    </w:p>
    <w:p w14:paraId="58846433" w14:textId="40A152C6" w:rsidR="00135573" w:rsidRPr="00C930EF" w:rsidRDefault="00C930EF" w:rsidP="00B82AA5">
      <w:pPr>
        <w:spacing w:after="0" w:line="360" w:lineRule="auto"/>
        <w:jc w:val="both"/>
        <w:rPr>
          <w:rFonts w:ascii="Times New Roman" w:eastAsia="Times New Roman" w:hAnsi="Times New Roman" w:cs="Times New Roman"/>
          <w:iCs/>
          <w:color w:val="131413"/>
          <w:sz w:val="24"/>
          <w:szCs w:val="24"/>
          <w:lang w:val="pt-BR"/>
        </w:rPr>
      </w:pPr>
      <w:r w:rsidRPr="00C930EF">
        <w:rPr>
          <w:rFonts w:ascii="Times New Roman" w:eastAsia="Times New Roman" w:hAnsi="Times New Roman" w:cs="Times New Roman"/>
          <w:color w:val="131413"/>
          <w:sz w:val="24"/>
          <w:szCs w:val="24"/>
          <w:lang w:val="pt-BR"/>
        </w:rPr>
        <w:t>Mayara de Almeida Ribeiro Carvalho</w:t>
      </w:r>
      <w:r w:rsidR="0062360F" w:rsidRPr="00C930EF">
        <w:rPr>
          <w:rFonts w:ascii="Times New Roman" w:eastAsia="Times New Roman" w:hAnsi="Times New Roman" w:cs="Times New Roman"/>
          <w:color w:val="131413"/>
          <w:sz w:val="24"/>
          <w:szCs w:val="24"/>
          <w:lang w:val="pt-BR"/>
        </w:rPr>
        <w:t xml:space="preserve"> </w:t>
      </w:r>
      <w:r w:rsidR="0062360F" w:rsidRPr="00C930EF">
        <w:rPr>
          <w:rFonts w:ascii="Times New Roman" w:eastAsia="Times New Roman" w:hAnsi="Times New Roman" w:cs="Times New Roman"/>
          <w:color w:val="131413"/>
          <w:sz w:val="24"/>
          <w:szCs w:val="24"/>
          <w:vertAlign w:val="superscript"/>
          <w:lang w:val="pt-BR"/>
        </w:rPr>
        <w:t>a</w:t>
      </w:r>
      <w:r w:rsidR="0062360F" w:rsidRPr="00C930EF">
        <w:rPr>
          <w:rFonts w:ascii="Times New Roman" w:eastAsia="Times New Roman" w:hAnsi="Times New Roman" w:cs="Times New Roman"/>
          <w:color w:val="131413"/>
          <w:sz w:val="24"/>
          <w:szCs w:val="24"/>
          <w:lang w:val="pt-BR"/>
        </w:rPr>
        <w:t xml:space="preserve">, </w:t>
      </w:r>
      <w:r w:rsidRPr="00C930EF">
        <w:rPr>
          <w:rFonts w:ascii="Times New Roman" w:eastAsia="Times New Roman" w:hAnsi="Times New Roman" w:cs="Times New Roman"/>
          <w:color w:val="131413"/>
          <w:sz w:val="24"/>
          <w:szCs w:val="24"/>
          <w:lang w:val="pt-BR"/>
        </w:rPr>
        <w:t xml:space="preserve">Wander Gustavo Botero </w:t>
      </w:r>
      <w:r w:rsidR="0062360F" w:rsidRPr="00C930EF">
        <w:rPr>
          <w:rFonts w:ascii="Times New Roman" w:eastAsia="Times New Roman" w:hAnsi="Times New Roman" w:cs="Times New Roman"/>
          <w:color w:val="131413"/>
          <w:sz w:val="24"/>
          <w:szCs w:val="24"/>
          <w:vertAlign w:val="superscript"/>
          <w:lang w:val="pt-BR"/>
        </w:rPr>
        <w:t>b</w:t>
      </w:r>
      <w:r w:rsidR="0062360F" w:rsidRPr="00C930EF">
        <w:rPr>
          <w:rFonts w:ascii="Times New Roman" w:eastAsia="Times New Roman" w:hAnsi="Times New Roman" w:cs="Times New Roman"/>
          <w:color w:val="131413"/>
          <w:sz w:val="24"/>
          <w:szCs w:val="24"/>
          <w:lang w:val="pt-BR"/>
        </w:rPr>
        <w:t xml:space="preserve">, </w:t>
      </w:r>
      <w:r w:rsidRPr="00C930EF">
        <w:rPr>
          <w:rFonts w:ascii="Times New Roman" w:eastAsia="Times New Roman" w:hAnsi="Times New Roman" w:cs="Times New Roman"/>
          <w:color w:val="131413"/>
          <w:sz w:val="24"/>
          <w:szCs w:val="24"/>
          <w:lang w:val="pt-BR"/>
        </w:rPr>
        <w:t>Luciana Camargo de Oliveir</w:t>
      </w:r>
      <w:r>
        <w:rPr>
          <w:rFonts w:ascii="Times New Roman" w:eastAsia="Times New Roman" w:hAnsi="Times New Roman" w:cs="Times New Roman"/>
          <w:color w:val="131413"/>
          <w:sz w:val="24"/>
          <w:szCs w:val="24"/>
          <w:lang w:val="pt-BR"/>
        </w:rPr>
        <w:t xml:space="preserve">a </w:t>
      </w:r>
      <w:r w:rsidRPr="00C930EF">
        <w:rPr>
          <w:rFonts w:ascii="Times New Roman" w:eastAsia="Times New Roman" w:hAnsi="Times New Roman" w:cs="Times New Roman"/>
          <w:color w:val="131413"/>
          <w:sz w:val="24"/>
          <w:szCs w:val="24"/>
          <w:vertAlign w:val="superscript"/>
          <w:lang w:val="pt-BR"/>
        </w:rPr>
        <w:t>a</w:t>
      </w:r>
      <w:r w:rsidR="00D6453D">
        <w:rPr>
          <w:rFonts w:ascii="Times New Roman" w:eastAsia="Times New Roman" w:hAnsi="Times New Roman" w:cs="Times New Roman"/>
          <w:color w:val="131413"/>
          <w:sz w:val="24"/>
          <w:szCs w:val="24"/>
          <w:vertAlign w:val="superscript"/>
          <w:lang w:val="pt-BR"/>
        </w:rPr>
        <w:t>, *</w:t>
      </w:r>
    </w:p>
    <w:p w14:paraId="6A04E28C" w14:textId="77777777" w:rsidR="00E71849" w:rsidRPr="00C930EF" w:rsidRDefault="00E71849" w:rsidP="00E71849">
      <w:pPr>
        <w:spacing w:after="0" w:line="480" w:lineRule="auto"/>
        <w:jc w:val="both"/>
        <w:rPr>
          <w:rFonts w:ascii="Times New Roman" w:eastAsia="Times New Roman" w:hAnsi="Times New Roman" w:cs="Times New Roman"/>
          <w:iCs/>
          <w:color w:val="131413"/>
          <w:sz w:val="24"/>
          <w:szCs w:val="24"/>
          <w:lang w:val="pt-BR"/>
        </w:rPr>
      </w:pPr>
    </w:p>
    <w:p w14:paraId="2476DD57" w14:textId="67B9A597" w:rsidR="00C930EF" w:rsidRDefault="00C930EF" w:rsidP="00C930EF">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vertAlign w:val="superscript"/>
          <w:lang w:val="en-US"/>
        </w:rPr>
        <w:t xml:space="preserve">a </w:t>
      </w:r>
      <w:r w:rsidRPr="009F3C89">
        <w:rPr>
          <w:rFonts w:ascii="Times New Roman" w:hAnsi="Times New Roman" w:cs="Times New Roman"/>
          <w:sz w:val="24"/>
          <w:szCs w:val="24"/>
          <w:lang w:val="en-US"/>
        </w:rPr>
        <w:t xml:space="preserve">Federal University of Sao Carlos, Sorocaba Campus, Graduate Program in </w:t>
      </w:r>
      <w:r>
        <w:rPr>
          <w:rFonts w:ascii="Times New Roman" w:hAnsi="Times New Roman" w:cs="Times New Roman"/>
          <w:sz w:val="24"/>
          <w:szCs w:val="24"/>
          <w:lang w:val="en-US"/>
        </w:rPr>
        <w:t>P</w:t>
      </w:r>
      <w:r w:rsidRPr="009F3C89">
        <w:rPr>
          <w:rFonts w:ascii="Times New Roman" w:hAnsi="Times New Roman" w:cs="Times New Roman"/>
          <w:sz w:val="24"/>
          <w:szCs w:val="24"/>
          <w:lang w:val="en-US"/>
        </w:rPr>
        <w:t xml:space="preserve">lanning and </w:t>
      </w:r>
      <w:r>
        <w:rPr>
          <w:rFonts w:ascii="Times New Roman" w:hAnsi="Times New Roman" w:cs="Times New Roman"/>
          <w:sz w:val="24"/>
          <w:szCs w:val="24"/>
          <w:lang w:val="en-US"/>
        </w:rPr>
        <w:t>U</w:t>
      </w:r>
      <w:r w:rsidRPr="009F3C89">
        <w:rPr>
          <w:rFonts w:ascii="Times New Roman" w:hAnsi="Times New Roman" w:cs="Times New Roman"/>
          <w:sz w:val="24"/>
          <w:szCs w:val="24"/>
          <w:lang w:val="en-US"/>
        </w:rPr>
        <w:t xml:space="preserve">se of </w:t>
      </w:r>
      <w:r>
        <w:rPr>
          <w:rFonts w:ascii="Times New Roman" w:hAnsi="Times New Roman" w:cs="Times New Roman"/>
          <w:sz w:val="24"/>
          <w:szCs w:val="24"/>
          <w:lang w:val="en-US"/>
        </w:rPr>
        <w:t>R</w:t>
      </w:r>
      <w:r w:rsidRPr="009F3C89">
        <w:rPr>
          <w:rFonts w:ascii="Times New Roman" w:hAnsi="Times New Roman" w:cs="Times New Roman"/>
          <w:sz w:val="24"/>
          <w:szCs w:val="24"/>
          <w:lang w:val="en-US"/>
        </w:rPr>
        <w:t xml:space="preserve">enewable </w:t>
      </w:r>
      <w:r>
        <w:rPr>
          <w:rFonts w:ascii="Times New Roman" w:hAnsi="Times New Roman" w:cs="Times New Roman"/>
          <w:sz w:val="24"/>
          <w:szCs w:val="24"/>
          <w:lang w:val="en-US"/>
        </w:rPr>
        <w:t>R</w:t>
      </w:r>
      <w:r w:rsidRPr="009F3C89">
        <w:rPr>
          <w:rFonts w:ascii="Times New Roman" w:hAnsi="Times New Roman" w:cs="Times New Roman"/>
          <w:sz w:val="24"/>
          <w:szCs w:val="24"/>
          <w:lang w:val="en-US"/>
        </w:rPr>
        <w:t>esources, Sao Paulo 18052-780, Brazil</w:t>
      </w:r>
      <w:r>
        <w:rPr>
          <w:rFonts w:ascii="Times New Roman" w:hAnsi="Times New Roman" w:cs="Times New Roman"/>
          <w:sz w:val="24"/>
          <w:szCs w:val="24"/>
          <w:lang w:val="en-US"/>
        </w:rPr>
        <w:t>.</w:t>
      </w:r>
    </w:p>
    <w:p w14:paraId="7F1615E3" w14:textId="77777777" w:rsidR="00C930EF" w:rsidRPr="009F3C89" w:rsidRDefault="00C930EF" w:rsidP="00C930EF">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vertAlign w:val="superscript"/>
          <w:lang w:val="en-US"/>
        </w:rPr>
        <w:t xml:space="preserve">b </w:t>
      </w:r>
      <w:r w:rsidRPr="009F3C89">
        <w:rPr>
          <w:rFonts w:ascii="Times New Roman" w:hAnsi="Times New Roman" w:cs="Times New Roman"/>
          <w:sz w:val="24"/>
          <w:szCs w:val="24"/>
          <w:lang w:val="en-US"/>
        </w:rPr>
        <w:t>Federal University of</w:t>
      </w:r>
      <w:r>
        <w:rPr>
          <w:rFonts w:ascii="Times New Roman" w:hAnsi="Times New Roman" w:cs="Times New Roman"/>
          <w:sz w:val="24"/>
          <w:szCs w:val="24"/>
          <w:lang w:val="en-US"/>
        </w:rPr>
        <w:t xml:space="preserve"> </w:t>
      </w:r>
      <w:r w:rsidRPr="009F3C89">
        <w:rPr>
          <w:rFonts w:ascii="Times New Roman" w:hAnsi="Times New Roman" w:cs="Times New Roman"/>
          <w:sz w:val="24"/>
          <w:szCs w:val="24"/>
          <w:lang w:val="en-US"/>
        </w:rPr>
        <w:t>Alagoas, Graduate Program in Chemistry and Biotechnology, Alagoas 57072-900, Brazil</w:t>
      </w:r>
      <w:r>
        <w:rPr>
          <w:rFonts w:ascii="Times New Roman" w:hAnsi="Times New Roman" w:cs="Times New Roman"/>
          <w:sz w:val="24"/>
          <w:szCs w:val="24"/>
          <w:lang w:val="en-US"/>
        </w:rPr>
        <w:t>.</w:t>
      </w:r>
    </w:p>
    <w:p w14:paraId="1B7A6420" w14:textId="77777777" w:rsidR="005B772F" w:rsidRPr="00C930EF" w:rsidRDefault="005B772F" w:rsidP="00E23295">
      <w:pPr>
        <w:tabs>
          <w:tab w:val="center" w:pos="4252"/>
          <w:tab w:val="left" w:pos="7710"/>
        </w:tabs>
        <w:spacing w:after="0" w:line="480" w:lineRule="auto"/>
        <w:rPr>
          <w:rFonts w:ascii="Times New Roman" w:hAnsi="Times New Roman" w:cs="Times New Roman"/>
          <w:sz w:val="24"/>
          <w:szCs w:val="24"/>
          <w:lang w:val="en-US"/>
        </w:rPr>
      </w:pPr>
    </w:p>
    <w:p w14:paraId="415FD1E7" w14:textId="04F5FF15" w:rsidR="0062360F" w:rsidRPr="00C930EF" w:rsidRDefault="000648A1" w:rsidP="00E23295">
      <w:pPr>
        <w:tabs>
          <w:tab w:val="center" w:pos="4252"/>
          <w:tab w:val="left" w:pos="7710"/>
        </w:tabs>
        <w:spacing w:after="0" w:line="480" w:lineRule="auto"/>
        <w:rPr>
          <w:rFonts w:ascii="Times New Roman" w:hAnsi="Times New Roman" w:cs="Times New Roman"/>
          <w:sz w:val="24"/>
          <w:szCs w:val="24"/>
        </w:rPr>
      </w:pPr>
      <w:bookmarkStart w:id="1" w:name="_Hlk96332251"/>
      <w:r w:rsidRPr="00C930EF">
        <w:rPr>
          <w:rFonts w:ascii="Times New Roman" w:hAnsi="Times New Roman" w:cs="Times New Roman"/>
          <w:sz w:val="24"/>
          <w:szCs w:val="24"/>
        </w:rPr>
        <w:t xml:space="preserve">*Corresponding author. Phone: </w:t>
      </w:r>
      <w:r w:rsidR="008A3752" w:rsidRPr="00C930EF">
        <w:rPr>
          <w:rFonts w:ascii="Times New Roman" w:hAnsi="Times New Roman" w:cs="Times New Roman"/>
          <w:sz w:val="24"/>
          <w:szCs w:val="24"/>
        </w:rPr>
        <w:t>+</w:t>
      </w:r>
      <w:r w:rsidR="00C930EF">
        <w:rPr>
          <w:rFonts w:ascii="Times New Roman" w:hAnsi="Times New Roman" w:cs="Times New Roman"/>
          <w:sz w:val="24"/>
          <w:szCs w:val="24"/>
        </w:rPr>
        <w:t>5515</w:t>
      </w:r>
      <w:r w:rsidR="00D6453D">
        <w:rPr>
          <w:rFonts w:ascii="Times New Roman" w:hAnsi="Times New Roman" w:cs="Times New Roman"/>
          <w:sz w:val="24"/>
          <w:szCs w:val="24"/>
        </w:rPr>
        <w:t>981155420</w:t>
      </w:r>
      <w:r w:rsidRPr="00C930EF">
        <w:rPr>
          <w:rFonts w:ascii="Times New Roman" w:hAnsi="Times New Roman" w:cs="Times New Roman"/>
          <w:bCs/>
          <w:sz w:val="24"/>
          <w:szCs w:val="24"/>
        </w:rPr>
        <w:t>;</w:t>
      </w:r>
      <w:r w:rsidR="00E23295" w:rsidRPr="00C930EF">
        <w:rPr>
          <w:rFonts w:ascii="Times New Roman" w:hAnsi="Times New Roman" w:cs="Times New Roman"/>
          <w:sz w:val="24"/>
          <w:szCs w:val="24"/>
        </w:rPr>
        <w:t xml:space="preserve"> </w:t>
      </w:r>
      <w:r w:rsidRPr="00C930EF">
        <w:rPr>
          <w:rFonts w:ascii="Times New Roman" w:hAnsi="Times New Roman" w:cs="Times New Roman"/>
          <w:bCs/>
          <w:sz w:val="24"/>
          <w:szCs w:val="24"/>
        </w:rPr>
        <w:t xml:space="preserve">E-mail: </w:t>
      </w:r>
      <w:r w:rsidR="00D6453D" w:rsidRPr="00FD0734">
        <w:rPr>
          <w:rFonts w:ascii="Times New Roman" w:eastAsia="Times New Roman" w:hAnsi="Times New Roman" w:cs="Times New Roman"/>
          <w:sz w:val="24"/>
          <w:szCs w:val="24"/>
        </w:rPr>
        <w:t>lcamargo@ufscar.br</w:t>
      </w:r>
    </w:p>
    <w:bookmarkEnd w:id="1"/>
    <w:p w14:paraId="14046030" w14:textId="77777777" w:rsidR="005B772F" w:rsidRDefault="005B772F" w:rsidP="00827089">
      <w:pPr>
        <w:spacing w:after="0" w:line="360" w:lineRule="auto"/>
        <w:jc w:val="both"/>
        <w:rPr>
          <w:rFonts w:ascii="Arial" w:hAnsi="Arial" w:cs="Arial"/>
          <w:sz w:val="24"/>
          <w:szCs w:val="24"/>
          <w:lang w:val="ro-RO"/>
        </w:rPr>
      </w:pPr>
    </w:p>
    <w:p w14:paraId="06EAE00B" w14:textId="77777777" w:rsidR="005B772F" w:rsidRDefault="005B772F" w:rsidP="00827089">
      <w:pPr>
        <w:spacing w:after="0" w:line="360" w:lineRule="auto"/>
        <w:jc w:val="both"/>
        <w:rPr>
          <w:rFonts w:ascii="Arial" w:hAnsi="Arial" w:cs="Arial"/>
          <w:sz w:val="24"/>
          <w:szCs w:val="24"/>
          <w:lang w:val="ro-RO"/>
        </w:rPr>
      </w:pPr>
    </w:p>
    <w:p w14:paraId="7BA1A7DC" w14:textId="009E9D57" w:rsidR="00135573" w:rsidRPr="00381B55" w:rsidRDefault="00135573" w:rsidP="000258A5">
      <w:pPr>
        <w:spacing w:after="0" w:line="360" w:lineRule="auto"/>
        <w:jc w:val="both"/>
        <w:rPr>
          <w:rFonts w:ascii="Times New Roman" w:hAnsi="Times New Roman" w:cs="Times New Roman"/>
          <w:sz w:val="24"/>
          <w:szCs w:val="24"/>
          <w:lang w:val="ro-RO"/>
        </w:rPr>
      </w:pPr>
      <w:r w:rsidRPr="00381B55">
        <w:rPr>
          <w:rFonts w:ascii="Times New Roman" w:hAnsi="Times New Roman" w:cs="Times New Roman"/>
          <w:sz w:val="24"/>
          <w:szCs w:val="24"/>
          <w:lang w:val="ro-RO"/>
        </w:rPr>
        <w:t xml:space="preserve">The </w:t>
      </w:r>
      <w:r w:rsidR="00FD0734">
        <w:rPr>
          <w:rFonts w:ascii="Times New Roman" w:hAnsi="Times New Roman" w:cs="Times New Roman"/>
          <w:sz w:val="24"/>
          <w:szCs w:val="24"/>
          <w:lang w:val="ro-RO"/>
        </w:rPr>
        <w:t>S</w:t>
      </w:r>
      <w:r w:rsidRPr="00381B55">
        <w:rPr>
          <w:rFonts w:ascii="Times New Roman" w:hAnsi="Times New Roman" w:cs="Times New Roman"/>
          <w:sz w:val="24"/>
          <w:szCs w:val="24"/>
          <w:lang w:val="ro-RO"/>
        </w:rPr>
        <w:t xml:space="preserve">upplementary </w:t>
      </w:r>
      <w:r w:rsidR="00FD0734">
        <w:rPr>
          <w:rFonts w:ascii="Times New Roman" w:hAnsi="Times New Roman" w:cs="Times New Roman"/>
          <w:sz w:val="24"/>
          <w:szCs w:val="24"/>
          <w:lang w:val="ro-RO"/>
        </w:rPr>
        <w:t xml:space="preserve">Information </w:t>
      </w:r>
      <w:r w:rsidRPr="00381B55">
        <w:rPr>
          <w:rFonts w:ascii="Times New Roman" w:hAnsi="Times New Roman" w:cs="Times New Roman"/>
          <w:sz w:val="24"/>
          <w:szCs w:val="24"/>
          <w:lang w:val="ro-RO"/>
        </w:rPr>
        <w:t xml:space="preserve">contains </w:t>
      </w:r>
      <w:r w:rsidR="00381B55" w:rsidRPr="00381B55">
        <w:rPr>
          <w:rFonts w:ascii="Times New Roman" w:hAnsi="Times New Roman" w:cs="Times New Roman"/>
          <w:sz w:val="24"/>
          <w:szCs w:val="24"/>
          <w:lang w:val="ro-RO"/>
        </w:rPr>
        <w:t>2</w:t>
      </w:r>
      <w:r w:rsidR="00D16881">
        <w:rPr>
          <w:rFonts w:ascii="Times New Roman" w:hAnsi="Times New Roman" w:cs="Times New Roman"/>
          <w:sz w:val="24"/>
          <w:szCs w:val="24"/>
          <w:lang w:val="ro-RO"/>
        </w:rPr>
        <w:t>2</w:t>
      </w:r>
      <w:r w:rsidR="002B6D3E" w:rsidRPr="00381B55">
        <w:rPr>
          <w:rFonts w:ascii="Times New Roman" w:hAnsi="Times New Roman" w:cs="Times New Roman"/>
          <w:sz w:val="24"/>
          <w:szCs w:val="24"/>
          <w:lang w:val="ro-RO"/>
        </w:rPr>
        <w:t xml:space="preserve"> </w:t>
      </w:r>
      <w:r w:rsidR="003609D2" w:rsidRPr="00381B55">
        <w:rPr>
          <w:rFonts w:ascii="Times New Roman" w:hAnsi="Times New Roman" w:cs="Times New Roman"/>
          <w:sz w:val="24"/>
          <w:szCs w:val="24"/>
          <w:lang w:val="ro-RO"/>
        </w:rPr>
        <w:t xml:space="preserve">pages, and includes </w:t>
      </w:r>
      <w:r w:rsidR="007D5629" w:rsidRPr="00381B55">
        <w:rPr>
          <w:rFonts w:ascii="Times New Roman" w:hAnsi="Times New Roman" w:cs="Times New Roman"/>
          <w:sz w:val="24"/>
          <w:szCs w:val="24"/>
          <w:lang w:val="ro-RO"/>
        </w:rPr>
        <w:t>two</w:t>
      </w:r>
      <w:r w:rsidR="003609D2" w:rsidRPr="00381B55">
        <w:rPr>
          <w:rFonts w:ascii="Times New Roman" w:hAnsi="Times New Roman" w:cs="Times New Roman"/>
          <w:sz w:val="24"/>
          <w:szCs w:val="24"/>
          <w:lang w:val="ro-RO"/>
        </w:rPr>
        <w:t xml:space="preserve"> t</w:t>
      </w:r>
      <w:r w:rsidR="00381B55" w:rsidRPr="00381B55">
        <w:rPr>
          <w:rFonts w:ascii="Times New Roman" w:hAnsi="Times New Roman" w:cs="Times New Roman"/>
          <w:sz w:val="24"/>
          <w:szCs w:val="24"/>
          <w:lang w:val="ro-RO"/>
        </w:rPr>
        <w:t>ables</w:t>
      </w:r>
      <w:r w:rsidRPr="00381B55">
        <w:rPr>
          <w:rFonts w:ascii="Times New Roman" w:hAnsi="Times New Roman" w:cs="Times New Roman"/>
          <w:sz w:val="24"/>
          <w:szCs w:val="24"/>
          <w:lang w:val="ro-RO"/>
        </w:rPr>
        <w:t xml:space="preserve"> and </w:t>
      </w:r>
      <w:r w:rsidR="00A41CF0" w:rsidRPr="00381B55">
        <w:rPr>
          <w:rFonts w:ascii="Times New Roman" w:hAnsi="Times New Roman" w:cs="Times New Roman"/>
          <w:sz w:val="24"/>
          <w:szCs w:val="24"/>
          <w:lang w:val="ro-RO"/>
        </w:rPr>
        <w:t>1</w:t>
      </w:r>
      <w:r w:rsidR="00381B55" w:rsidRPr="00381B55">
        <w:rPr>
          <w:rFonts w:ascii="Times New Roman" w:hAnsi="Times New Roman" w:cs="Times New Roman"/>
          <w:sz w:val="24"/>
          <w:szCs w:val="24"/>
          <w:lang w:val="ro-RO"/>
        </w:rPr>
        <w:t>6 figures.</w:t>
      </w:r>
    </w:p>
    <w:p w14:paraId="7D15B5EF" w14:textId="77777777" w:rsidR="00B82AA5" w:rsidRPr="003609D2" w:rsidRDefault="00B82AA5" w:rsidP="000258A5">
      <w:pPr>
        <w:spacing w:after="0" w:line="360" w:lineRule="auto"/>
        <w:jc w:val="both"/>
        <w:rPr>
          <w:rFonts w:ascii="Arial" w:hAnsi="Arial" w:cs="Arial"/>
          <w:sz w:val="24"/>
          <w:szCs w:val="24"/>
          <w:lang w:val="ro-RO"/>
        </w:rPr>
      </w:pPr>
    </w:p>
    <w:p w14:paraId="03B1A706" w14:textId="46A30E51" w:rsidR="00E04F30" w:rsidRPr="00381B55" w:rsidRDefault="00D711BE" w:rsidP="00333AA1">
      <w:pPr>
        <w:spacing w:after="0" w:line="480" w:lineRule="auto"/>
        <w:jc w:val="both"/>
        <w:rPr>
          <w:rFonts w:ascii="Times New Roman" w:hAnsi="Times New Roman" w:cs="Times New Roman"/>
          <w:b/>
          <w:sz w:val="28"/>
          <w:szCs w:val="28"/>
          <w:u w:val="single"/>
          <w:lang w:val="en-US"/>
        </w:rPr>
      </w:pPr>
      <w:r w:rsidRPr="00381B55">
        <w:rPr>
          <w:rFonts w:ascii="Times New Roman" w:hAnsi="Times New Roman" w:cs="Times New Roman"/>
          <w:b/>
          <w:sz w:val="28"/>
          <w:szCs w:val="28"/>
          <w:u w:val="single"/>
          <w:lang w:val="en-US"/>
        </w:rPr>
        <w:t xml:space="preserve">List of contents of the </w:t>
      </w:r>
      <w:r w:rsidR="00FD0734">
        <w:rPr>
          <w:rFonts w:ascii="Times New Roman" w:hAnsi="Times New Roman" w:cs="Times New Roman"/>
          <w:b/>
          <w:sz w:val="28"/>
          <w:szCs w:val="28"/>
          <w:u w:val="single"/>
          <w:lang w:val="en-US"/>
        </w:rPr>
        <w:t>S</w:t>
      </w:r>
      <w:r w:rsidRPr="00381B55">
        <w:rPr>
          <w:rFonts w:ascii="Times New Roman" w:hAnsi="Times New Roman" w:cs="Times New Roman"/>
          <w:b/>
          <w:sz w:val="28"/>
          <w:szCs w:val="28"/>
          <w:u w:val="single"/>
          <w:lang w:val="en-US"/>
        </w:rPr>
        <w:t xml:space="preserve">upplementary </w:t>
      </w:r>
      <w:r w:rsidR="00FD0734">
        <w:rPr>
          <w:rFonts w:ascii="Times New Roman" w:hAnsi="Times New Roman" w:cs="Times New Roman"/>
          <w:b/>
          <w:sz w:val="28"/>
          <w:szCs w:val="28"/>
          <w:u w:val="single"/>
          <w:lang w:val="en-US"/>
        </w:rPr>
        <w:t>I</w:t>
      </w:r>
      <w:r w:rsidRPr="00381B55">
        <w:rPr>
          <w:rFonts w:ascii="Times New Roman" w:hAnsi="Times New Roman" w:cs="Times New Roman"/>
          <w:b/>
          <w:sz w:val="28"/>
          <w:szCs w:val="28"/>
          <w:u w:val="single"/>
          <w:lang w:val="en-US"/>
        </w:rPr>
        <w:t>nformation:</w:t>
      </w:r>
    </w:p>
    <w:p w14:paraId="51614DA5" w14:textId="77777777" w:rsidR="00B62DDB" w:rsidRPr="00462BBA" w:rsidRDefault="00B62DDB" w:rsidP="00333AA1">
      <w:pPr>
        <w:spacing w:after="0" w:line="480" w:lineRule="auto"/>
        <w:jc w:val="both"/>
        <w:rPr>
          <w:rFonts w:ascii="Times New Roman" w:hAnsi="Times New Roman" w:cs="Times New Roman"/>
          <w:b/>
          <w:sz w:val="24"/>
          <w:szCs w:val="24"/>
          <w:u w:val="single"/>
          <w:lang w:val="en-US"/>
        </w:rPr>
      </w:pPr>
    </w:p>
    <w:p w14:paraId="4240A875" w14:textId="6BD7DA4B" w:rsidR="00977230" w:rsidRDefault="00AC788B" w:rsidP="00B82AA5">
      <w:pPr>
        <w:autoSpaceDE w:val="0"/>
        <w:autoSpaceDN w:val="0"/>
        <w:adjustRightInd w:val="0"/>
        <w:spacing w:line="360" w:lineRule="auto"/>
        <w:jc w:val="both"/>
        <w:rPr>
          <w:rFonts w:ascii="Times New Roman" w:hAnsi="Times New Roman" w:cs="Times New Roman"/>
          <w:sz w:val="24"/>
          <w:szCs w:val="24"/>
          <w:lang w:val="en-US"/>
        </w:rPr>
      </w:pPr>
      <w:r w:rsidRPr="00C41370">
        <w:rPr>
          <w:rFonts w:ascii="Times New Roman" w:eastAsiaTheme="minorHAnsi" w:hAnsi="Times New Roman" w:cs="Times New Roman"/>
          <w:b/>
          <w:color w:val="131413"/>
          <w:sz w:val="24"/>
          <w:szCs w:val="24"/>
          <w:lang w:val="en-GB" w:eastAsia="en-US"/>
        </w:rPr>
        <w:t>Figure</w:t>
      </w:r>
      <w:r w:rsidRPr="00AC788B">
        <w:rPr>
          <w:rFonts w:ascii="Times New Roman" w:eastAsiaTheme="minorHAnsi" w:hAnsi="Times New Roman" w:cs="Times New Roman"/>
          <w:b/>
          <w:color w:val="131413"/>
          <w:sz w:val="24"/>
          <w:szCs w:val="24"/>
          <w:lang w:val="en-GB" w:eastAsia="en-US"/>
        </w:rPr>
        <w:t xml:space="preserve"> S1.</w:t>
      </w:r>
      <w:r w:rsidRPr="00AC788B">
        <w:rPr>
          <w:rFonts w:ascii="Times New Roman" w:eastAsiaTheme="minorHAnsi" w:hAnsi="Times New Roman" w:cs="Times New Roman"/>
          <w:color w:val="131413"/>
          <w:sz w:val="24"/>
          <w:szCs w:val="24"/>
          <w:lang w:val="en-GB" w:eastAsia="en-US"/>
        </w:rPr>
        <w:t xml:space="preserve"> </w:t>
      </w:r>
      <w:r w:rsidR="00977230" w:rsidRPr="00E731C5">
        <w:rPr>
          <w:rFonts w:ascii="Times New Roman" w:hAnsi="Times New Roman" w:cs="Times New Roman"/>
          <w:sz w:val="24"/>
          <w:szCs w:val="24"/>
          <w:lang w:val="en-US"/>
        </w:rPr>
        <w:t>Systematic Literature Review process</w:t>
      </w:r>
      <w:r w:rsidR="00977230">
        <w:rPr>
          <w:rFonts w:ascii="Times New Roman" w:hAnsi="Times New Roman" w:cs="Times New Roman"/>
          <w:sz w:val="24"/>
          <w:szCs w:val="24"/>
          <w:lang w:val="en-US"/>
        </w:rPr>
        <w:t>.</w:t>
      </w:r>
    </w:p>
    <w:p w14:paraId="52DE70F2" w14:textId="7D0719B2" w:rsidR="00977230" w:rsidRDefault="00977230" w:rsidP="00B82AA5">
      <w:pPr>
        <w:autoSpaceDE w:val="0"/>
        <w:autoSpaceDN w:val="0"/>
        <w:adjustRightInd w:val="0"/>
        <w:spacing w:line="360" w:lineRule="auto"/>
        <w:jc w:val="both"/>
        <w:rPr>
          <w:rFonts w:ascii="Times New Roman" w:hAnsi="Times New Roman" w:cs="Times New Roman"/>
          <w:sz w:val="24"/>
          <w:szCs w:val="24"/>
          <w:lang w:val="en-US"/>
        </w:rPr>
      </w:pPr>
      <w:r>
        <w:rPr>
          <w:rFonts w:ascii="Times New Roman" w:eastAsiaTheme="minorHAnsi" w:hAnsi="Times New Roman" w:cs="Times New Roman"/>
          <w:b/>
          <w:bCs/>
          <w:color w:val="131413"/>
          <w:sz w:val="24"/>
          <w:szCs w:val="24"/>
          <w:lang w:val="en-GB" w:eastAsia="en-US"/>
        </w:rPr>
        <w:t xml:space="preserve">Figure S2. </w:t>
      </w:r>
      <w:r w:rsidRPr="003E4749">
        <w:rPr>
          <w:rFonts w:ascii="Times New Roman" w:hAnsi="Times New Roman" w:cs="Times New Roman"/>
          <w:sz w:val="24"/>
          <w:szCs w:val="24"/>
          <w:lang w:val="en-US"/>
        </w:rPr>
        <w:t>Evolution of the number of publications using the search terms in the ScienceDirect database.</w:t>
      </w:r>
    </w:p>
    <w:p w14:paraId="1471CBE9" w14:textId="5CA74201" w:rsidR="00977230" w:rsidRDefault="00977230" w:rsidP="00B82AA5">
      <w:pPr>
        <w:autoSpaceDE w:val="0"/>
        <w:autoSpaceDN w:val="0"/>
        <w:adjustRightInd w:val="0"/>
        <w:spacing w:line="360"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t xml:space="preserve">Figure S3. </w:t>
      </w:r>
      <w:r w:rsidRPr="000A2BEA">
        <w:rPr>
          <w:rFonts w:ascii="Times New Roman" w:hAnsi="Times New Roman" w:cs="Times New Roman"/>
          <w:sz w:val="24"/>
          <w:szCs w:val="24"/>
          <w:lang w:val="en-US"/>
        </w:rPr>
        <w:t xml:space="preserve">Evolution of the number of publications using the search terms in the </w:t>
      </w:r>
      <w:r w:rsidRPr="000A2BEA">
        <w:rPr>
          <w:rFonts w:ascii="Times New Roman" w:hAnsi="Times New Roman" w:cs="Times New Roman"/>
          <w:i/>
          <w:iCs/>
          <w:sz w:val="24"/>
          <w:szCs w:val="24"/>
          <w:lang w:val="en-US"/>
        </w:rPr>
        <w:t>Scopus</w:t>
      </w:r>
      <w:r w:rsidRPr="000A2BEA">
        <w:rPr>
          <w:rFonts w:ascii="Times New Roman" w:hAnsi="Times New Roman" w:cs="Times New Roman"/>
          <w:sz w:val="24"/>
          <w:szCs w:val="24"/>
          <w:lang w:val="en-US"/>
        </w:rPr>
        <w:t xml:space="preserve"> database.</w:t>
      </w:r>
    </w:p>
    <w:p w14:paraId="179C1016" w14:textId="746FDFAF" w:rsidR="00977230" w:rsidRPr="00977230" w:rsidRDefault="00977230" w:rsidP="00B82AA5">
      <w:pPr>
        <w:autoSpaceDE w:val="0"/>
        <w:autoSpaceDN w:val="0"/>
        <w:adjustRightInd w:val="0"/>
        <w:spacing w:line="360" w:lineRule="auto"/>
        <w:jc w:val="both"/>
        <w:rPr>
          <w:rFonts w:ascii="Times New Roman" w:eastAsiaTheme="minorHAnsi" w:hAnsi="Times New Roman" w:cs="Times New Roman"/>
          <w:color w:val="131413"/>
          <w:sz w:val="24"/>
          <w:szCs w:val="24"/>
          <w:lang w:val="en-GB" w:eastAsia="en-US"/>
        </w:rPr>
      </w:pPr>
      <w:r>
        <w:rPr>
          <w:rFonts w:ascii="Times New Roman" w:hAnsi="Times New Roman" w:cs="Times New Roman"/>
          <w:b/>
          <w:bCs/>
          <w:sz w:val="24"/>
          <w:szCs w:val="24"/>
          <w:lang w:val="en-US"/>
        </w:rPr>
        <w:t xml:space="preserve">Figure S4. </w:t>
      </w:r>
      <w:r w:rsidRPr="000A2BEA">
        <w:rPr>
          <w:rFonts w:ascii="Times New Roman" w:hAnsi="Times New Roman" w:cs="Times New Roman"/>
          <w:sz w:val="24"/>
          <w:szCs w:val="24"/>
          <w:lang w:val="en-US"/>
        </w:rPr>
        <w:t xml:space="preserve">Evolution of the number of publications using search terms in the </w:t>
      </w:r>
      <w:r w:rsidRPr="000A2BEA">
        <w:rPr>
          <w:rFonts w:ascii="Times New Roman" w:hAnsi="Times New Roman" w:cs="Times New Roman"/>
          <w:i/>
          <w:iCs/>
          <w:sz w:val="24"/>
          <w:szCs w:val="24"/>
          <w:lang w:val="en-US"/>
        </w:rPr>
        <w:t>Web of Science</w:t>
      </w:r>
      <w:r w:rsidRPr="000A2BEA">
        <w:rPr>
          <w:rFonts w:ascii="Times New Roman" w:hAnsi="Times New Roman" w:cs="Times New Roman"/>
          <w:sz w:val="24"/>
          <w:szCs w:val="24"/>
          <w:lang w:val="en-US"/>
        </w:rPr>
        <w:t xml:space="preserve"> database.</w:t>
      </w:r>
    </w:p>
    <w:p w14:paraId="76D18AE5" w14:textId="2A0FA75D" w:rsidR="00CA16C7" w:rsidRDefault="003C094C" w:rsidP="00B82AA5">
      <w:pPr>
        <w:spacing w:line="360" w:lineRule="auto"/>
        <w:jc w:val="both"/>
        <w:rPr>
          <w:rFonts w:ascii="Times New Roman" w:eastAsiaTheme="minorHAnsi" w:hAnsi="Times New Roman" w:cs="Times New Roman"/>
          <w:b/>
          <w:sz w:val="24"/>
          <w:szCs w:val="24"/>
          <w:lang w:val="en-GB" w:eastAsia="en-US"/>
        </w:rPr>
      </w:pPr>
      <w:r w:rsidRPr="00C41370">
        <w:rPr>
          <w:rFonts w:ascii="Times New Roman" w:eastAsiaTheme="minorHAnsi" w:hAnsi="Times New Roman" w:cs="Times New Roman"/>
          <w:b/>
          <w:sz w:val="24"/>
          <w:szCs w:val="24"/>
          <w:lang w:val="en-GB" w:eastAsia="en-US"/>
        </w:rPr>
        <w:t>Table S</w:t>
      </w:r>
      <w:r w:rsidR="00CA16C7">
        <w:rPr>
          <w:rFonts w:ascii="Times New Roman" w:eastAsiaTheme="minorHAnsi" w:hAnsi="Times New Roman" w:cs="Times New Roman"/>
          <w:b/>
          <w:sz w:val="24"/>
          <w:szCs w:val="24"/>
          <w:lang w:val="en-GB" w:eastAsia="en-US"/>
        </w:rPr>
        <w:t>1.</w:t>
      </w:r>
      <w:r w:rsidR="00B82AA5">
        <w:rPr>
          <w:rFonts w:ascii="Times New Roman" w:eastAsiaTheme="minorHAnsi" w:hAnsi="Times New Roman" w:cs="Times New Roman"/>
          <w:b/>
          <w:sz w:val="24"/>
          <w:szCs w:val="24"/>
          <w:lang w:val="en-GB" w:eastAsia="en-US"/>
        </w:rPr>
        <w:t xml:space="preserve"> </w:t>
      </w:r>
      <w:r w:rsidR="00B82AA5" w:rsidRPr="00007B7B">
        <w:rPr>
          <w:rFonts w:ascii="Times New Roman" w:hAnsi="Times New Roman" w:cs="Times New Roman"/>
          <w:sz w:val="24"/>
          <w:szCs w:val="24"/>
          <w:lang w:val="en-US"/>
        </w:rPr>
        <w:t xml:space="preserve">Natural sources of potentially toxic elements </w:t>
      </w:r>
      <w:r w:rsidR="00B82AA5">
        <w:rPr>
          <w:rFonts w:ascii="Times New Roman" w:hAnsi="Times New Roman" w:cs="Times New Roman"/>
          <w:sz w:val="24"/>
          <w:szCs w:val="24"/>
          <w:lang w:val="en-US"/>
        </w:rPr>
        <w:t>to</w:t>
      </w:r>
      <w:r w:rsidR="00B82AA5" w:rsidRPr="00007B7B">
        <w:rPr>
          <w:rFonts w:ascii="Times New Roman" w:hAnsi="Times New Roman" w:cs="Times New Roman"/>
          <w:sz w:val="24"/>
          <w:szCs w:val="24"/>
          <w:lang w:val="en-US"/>
        </w:rPr>
        <w:t xml:space="preserve"> the aquatic environment</w:t>
      </w:r>
      <w:r w:rsidR="00B82AA5">
        <w:rPr>
          <w:rFonts w:ascii="Times New Roman" w:hAnsi="Times New Roman" w:cs="Times New Roman"/>
          <w:sz w:val="24"/>
          <w:szCs w:val="24"/>
          <w:lang w:val="en-US"/>
        </w:rPr>
        <w:t>.</w:t>
      </w:r>
    </w:p>
    <w:p w14:paraId="429B2AE1" w14:textId="150AEA59" w:rsidR="00CA16C7" w:rsidRDefault="00CA16C7" w:rsidP="00B82AA5">
      <w:pPr>
        <w:spacing w:line="360" w:lineRule="auto"/>
        <w:jc w:val="both"/>
        <w:rPr>
          <w:rFonts w:ascii="Times New Roman" w:eastAsiaTheme="minorHAnsi" w:hAnsi="Times New Roman" w:cs="Times New Roman"/>
          <w:b/>
          <w:sz w:val="24"/>
          <w:szCs w:val="24"/>
          <w:lang w:val="en-GB" w:eastAsia="en-US"/>
        </w:rPr>
      </w:pPr>
      <w:r>
        <w:rPr>
          <w:rFonts w:ascii="Times New Roman" w:eastAsiaTheme="minorHAnsi" w:hAnsi="Times New Roman" w:cs="Times New Roman"/>
          <w:b/>
          <w:sz w:val="24"/>
          <w:szCs w:val="24"/>
          <w:lang w:val="en-GB" w:eastAsia="en-US"/>
        </w:rPr>
        <w:lastRenderedPageBreak/>
        <w:t>Figure S5.</w:t>
      </w:r>
      <w:r w:rsidR="00B82AA5">
        <w:rPr>
          <w:rFonts w:ascii="Times New Roman" w:eastAsiaTheme="minorHAnsi" w:hAnsi="Times New Roman" w:cs="Times New Roman"/>
          <w:b/>
          <w:sz w:val="24"/>
          <w:szCs w:val="24"/>
          <w:lang w:val="en-GB" w:eastAsia="en-US"/>
        </w:rPr>
        <w:t xml:space="preserve"> </w:t>
      </w:r>
      <w:r w:rsidR="00B82AA5">
        <w:rPr>
          <w:rFonts w:ascii="Times New Roman" w:hAnsi="Times New Roman" w:cs="Times New Roman"/>
          <w:sz w:val="24"/>
          <w:szCs w:val="24"/>
          <w:lang w:val="en-US"/>
        </w:rPr>
        <w:t>PTE</w:t>
      </w:r>
      <w:r w:rsidR="00B82AA5" w:rsidRPr="008016C4">
        <w:rPr>
          <w:rFonts w:ascii="Times New Roman" w:hAnsi="Times New Roman" w:cs="Times New Roman"/>
          <w:sz w:val="24"/>
          <w:szCs w:val="24"/>
          <w:lang w:val="en-US"/>
        </w:rPr>
        <w:t xml:space="preserve"> associated with weathering </w:t>
      </w:r>
      <w:r w:rsidR="00B82AA5">
        <w:rPr>
          <w:rFonts w:ascii="Times New Roman" w:hAnsi="Times New Roman" w:cs="Times New Roman"/>
          <w:sz w:val="24"/>
          <w:szCs w:val="24"/>
          <w:lang w:val="en-US"/>
        </w:rPr>
        <w:t xml:space="preserve">of </w:t>
      </w:r>
      <w:r w:rsidR="00B82AA5" w:rsidRPr="008016C4">
        <w:rPr>
          <w:rFonts w:ascii="Times New Roman" w:hAnsi="Times New Roman" w:cs="Times New Roman"/>
          <w:sz w:val="24"/>
          <w:szCs w:val="24"/>
          <w:lang w:val="en-US"/>
        </w:rPr>
        <w:t>rock</w:t>
      </w:r>
      <w:r w:rsidR="00B82AA5">
        <w:rPr>
          <w:rFonts w:ascii="Times New Roman" w:hAnsi="Times New Roman" w:cs="Times New Roman"/>
          <w:sz w:val="24"/>
          <w:szCs w:val="24"/>
          <w:lang w:val="en-US"/>
        </w:rPr>
        <w:t>s.</w:t>
      </w:r>
    </w:p>
    <w:p w14:paraId="5B7D1C49" w14:textId="179018B8" w:rsidR="00CA16C7" w:rsidRPr="00914FC4" w:rsidRDefault="00CA16C7" w:rsidP="00914FC4">
      <w:pPr>
        <w:spacing w:line="360" w:lineRule="auto"/>
        <w:jc w:val="both"/>
        <w:rPr>
          <w:rFonts w:ascii="Times New Roman" w:hAnsi="Times New Roman" w:cs="Times New Roman"/>
          <w:sz w:val="24"/>
          <w:szCs w:val="24"/>
          <w:lang w:val="en-US"/>
        </w:rPr>
      </w:pPr>
      <w:r w:rsidRPr="00914FC4">
        <w:rPr>
          <w:rFonts w:ascii="Times New Roman" w:eastAsiaTheme="minorHAnsi" w:hAnsi="Times New Roman" w:cs="Times New Roman"/>
          <w:b/>
          <w:sz w:val="24"/>
          <w:szCs w:val="24"/>
          <w:lang w:val="en-GB" w:eastAsia="en-US"/>
        </w:rPr>
        <w:t>Figure S6.</w:t>
      </w:r>
      <w:r w:rsidR="00914FC4" w:rsidRPr="00914FC4">
        <w:rPr>
          <w:rFonts w:ascii="Times New Roman" w:eastAsiaTheme="minorHAnsi" w:hAnsi="Times New Roman" w:cs="Times New Roman"/>
          <w:b/>
          <w:sz w:val="24"/>
          <w:szCs w:val="24"/>
          <w:lang w:val="en-GB" w:eastAsia="en-US"/>
        </w:rPr>
        <w:t xml:space="preserve"> </w:t>
      </w:r>
      <w:r w:rsidR="00914FC4" w:rsidRPr="00914FC4">
        <w:rPr>
          <w:rFonts w:ascii="Times New Roman" w:hAnsi="Times New Roman" w:cs="Times New Roman"/>
          <w:sz w:val="24"/>
          <w:szCs w:val="24"/>
          <w:lang w:val="en-US"/>
        </w:rPr>
        <w:t>PTE associated with geogenic origin.</w:t>
      </w:r>
    </w:p>
    <w:p w14:paraId="3D8BFADE" w14:textId="3633A7CA" w:rsidR="00914FC4" w:rsidRPr="00914FC4" w:rsidRDefault="00914FC4" w:rsidP="00914FC4">
      <w:pPr>
        <w:autoSpaceDE w:val="0"/>
        <w:autoSpaceDN w:val="0"/>
        <w:adjustRightInd w:val="0"/>
        <w:spacing w:line="360" w:lineRule="auto"/>
        <w:jc w:val="both"/>
        <w:rPr>
          <w:rFonts w:ascii="Times New Roman" w:hAnsi="Times New Roman" w:cs="Times New Roman"/>
          <w:sz w:val="24"/>
          <w:szCs w:val="24"/>
          <w:lang w:val="en-US"/>
        </w:rPr>
      </w:pPr>
      <w:r w:rsidRPr="00914FC4">
        <w:rPr>
          <w:rFonts w:ascii="Times New Roman" w:hAnsi="Times New Roman" w:cs="Times New Roman"/>
          <w:b/>
          <w:bCs/>
          <w:sz w:val="24"/>
          <w:szCs w:val="24"/>
          <w:lang w:val="en-US"/>
        </w:rPr>
        <w:t>Fig</w:t>
      </w:r>
      <w:r w:rsidR="00381B55">
        <w:rPr>
          <w:rFonts w:ascii="Times New Roman" w:hAnsi="Times New Roman" w:cs="Times New Roman"/>
          <w:b/>
          <w:bCs/>
          <w:sz w:val="24"/>
          <w:szCs w:val="24"/>
          <w:lang w:val="en-US"/>
        </w:rPr>
        <w:t>ure</w:t>
      </w:r>
      <w:r w:rsidRPr="00914FC4">
        <w:rPr>
          <w:rFonts w:ascii="Times New Roman" w:hAnsi="Times New Roman" w:cs="Times New Roman"/>
          <w:b/>
          <w:bCs/>
          <w:sz w:val="24"/>
          <w:szCs w:val="24"/>
          <w:lang w:val="en-US"/>
        </w:rPr>
        <w:t xml:space="preserve"> S7. </w:t>
      </w:r>
      <w:r w:rsidRPr="00914FC4">
        <w:rPr>
          <w:rFonts w:ascii="Times New Roman" w:hAnsi="Times New Roman" w:cs="Times New Roman"/>
          <w:sz w:val="24"/>
          <w:szCs w:val="24"/>
          <w:lang w:val="en-US"/>
        </w:rPr>
        <w:t>PTE associated with lithogenic origin.</w:t>
      </w:r>
    </w:p>
    <w:p w14:paraId="3E23DDAE" w14:textId="103C49A1" w:rsidR="00914FC4" w:rsidRPr="00914FC4" w:rsidRDefault="00914FC4" w:rsidP="00914FC4">
      <w:pPr>
        <w:autoSpaceDE w:val="0"/>
        <w:autoSpaceDN w:val="0"/>
        <w:adjustRightInd w:val="0"/>
        <w:spacing w:line="360" w:lineRule="auto"/>
        <w:jc w:val="both"/>
        <w:rPr>
          <w:rFonts w:ascii="Times New Roman" w:hAnsi="Times New Roman" w:cs="Times New Roman"/>
          <w:sz w:val="24"/>
          <w:szCs w:val="24"/>
          <w:lang w:val="en-US"/>
        </w:rPr>
      </w:pPr>
      <w:r w:rsidRPr="00914FC4">
        <w:rPr>
          <w:rFonts w:ascii="Times New Roman" w:hAnsi="Times New Roman" w:cs="Times New Roman"/>
          <w:b/>
          <w:bCs/>
          <w:sz w:val="24"/>
          <w:szCs w:val="24"/>
          <w:lang w:val="en-US"/>
        </w:rPr>
        <w:t>Fig</w:t>
      </w:r>
      <w:r w:rsidR="00381B55">
        <w:rPr>
          <w:rFonts w:ascii="Times New Roman" w:hAnsi="Times New Roman" w:cs="Times New Roman"/>
          <w:b/>
          <w:bCs/>
          <w:sz w:val="24"/>
          <w:szCs w:val="24"/>
          <w:lang w:val="en-US"/>
        </w:rPr>
        <w:t>ure</w:t>
      </w:r>
      <w:r w:rsidRPr="00914FC4">
        <w:rPr>
          <w:rFonts w:ascii="Times New Roman" w:hAnsi="Times New Roman" w:cs="Times New Roman"/>
          <w:b/>
          <w:bCs/>
          <w:sz w:val="24"/>
          <w:szCs w:val="24"/>
          <w:lang w:val="en-US"/>
        </w:rPr>
        <w:t xml:space="preserve"> S8.</w:t>
      </w:r>
      <w:r w:rsidRPr="00914FC4">
        <w:rPr>
          <w:rFonts w:ascii="Times New Roman" w:hAnsi="Times New Roman" w:cs="Times New Roman"/>
          <w:sz w:val="24"/>
          <w:szCs w:val="24"/>
          <w:lang w:val="en-US"/>
        </w:rPr>
        <w:t xml:space="preserve"> PTE associated with soil composition.</w:t>
      </w:r>
    </w:p>
    <w:p w14:paraId="6C69B45F" w14:textId="3AF4DA01" w:rsidR="00914FC4" w:rsidRPr="00914FC4" w:rsidRDefault="00914FC4" w:rsidP="00914FC4">
      <w:pPr>
        <w:spacing w:line="360" w:lineRule="auto"/>
        <w:jc w:val="both"/>
        <w:rPr>
          <w:rFonts w:ascii="Times New Roman" w:eastAsiaTheme="minorHAnsi" w:hAnsi="Times New Roman" w:cs="Times New Roman"/>
          <w:b/>
          <w:sz w:val="24"/>
          <w:szCs w:val="24"/>
          <w:lang w:val="en-GB" w:eastAsia="en-US"/>
        </w:rPr>
      </w:pPr>
      <w:r w:rsidRPr="00914FC4">
        <w:rPr>
          <w:rFonts w:ascii="Times New Roman" w:hAnsi="Times New Roman" w:cs="Times New Roman"/>
          <w:b/>
          <w:bCs/>
          <w:sz w:val="24"/>
          <w:szCs w:val="24"/>
          <w:lang w:val="en-US"/>
        </w:rPr>
        <w:t>Table S2.</w:t>
      </w:r>
      <w:r w:rsidRPr="00914FC4">
        <w:rPr>
          <w:rFonts w:ascii="Times New Roman" w:hAnsi="Times New Roman" w:cs="Times New Roman"/>
          <w:sz w:val="24"/>
          <w:szCs w:val="24"/>
          <w:lang w:val="en-US"/>
        </w:rPr>
        <w:t xml:space="preserve"> Anthropogenic sources of potentially toxic elements to the aquatic environment.</w:t>
      </w:r>
    </w:p>
    <w:p w14:paraId="00FC3D8C" w14:textId="09577F94" w:rsidR="00914FC4" w:rsidRPr="00914FC4" w:rsidRDefault="00914FC4" w:rsidP="00914FC4">
      <w:pPr>
        <w:autoSpaceDE w:val="0"/>
        <w:autoSpaceDN w:val="0"/>
        <w:adjustRightInd w:val="0"/>
        <w:spacing w:line="360" w:lineRule="auto"/>
        <w:rPr>
          <w:rFonts w:ascii="Times New Roman" w:hAnsi="Times New Roman" w:cs="Times New Roman"/>
          <w:sz w:val="24"/>
          <w:szCs w:val="24"/>
          <w:lang w:val="en-US"/>
        </w:rPr>
      </w:pPr>
      <w:r w:rsidRPr="00914FC4">
        <w:rPr>
          <w:rFonts w:ascii="Times New Roman" w:hAnsi="Times New Roman" w:cs="Times New Roman"/>
          <w:b/>
          <w:bCs/>
          <w:sz w:val="24"/>
          <w:szCs w:val="24"/>
          <w:lang w:val="en-US"/>
        </w:rPr>
        <w:t>Fig</w:t>
      </w:r>
      <w:r w:rsidR="00381B55">
        <w:rPr>
          <w:rFonts w:ascii="Times New Roman" w:hAnsi="Times New Roman" w:cs="Times New Roman"/>
          <w:b/>
          <w:bCs/>
          <w:sz w:val="24"/>
          <w:szCs w:val="24"/>
          <w:lang w:val="en-US"/>
        </w:rPr>
        <w:t>ure</w:t>
      </w:r>
      <w:r w:rsidRPr="00914FC4">
        <w:rPr>
          <w:rFonts w:ascii="Times New Roman" w:hAnsi="Times New Roman" w:cs="Times New Roman"/>
          <w:b/>
          <w:bCs/>
          <w:sz w:val="24"/>
          <w:szCs w:val="24"/>
          <w:lang w:val="en-US"/>
        </w:rPr>
        <w:t xml:space="preserve"> S9. </w:t>
      </w:r>
      <w:r w:rsidRPr="00914FC4">
        <w:rPr>
          <w:rFonts w:ascii="Times New Roman" w:hAnsi="Times New Roman" w:cs="Times New Roman"/>
          <w:sz w:val="24"/>
          <w:szCs w:val="24"/>
          <w:lang w:val="en-US"/>
        </w:rPr>
        <w:t>PTE associated with mining.</w:t>
      </w:r>
    </w:p>
    <w:p w14:paraId="67D1D576" w14:textId="0254511E" w:rsidR="00914FC4" w:rsidRPr="00914FC4" w:rsidRDefault="00914FC4" w:rsidP="00914FC4">
      <w:pPr>
        <w:autoSpaceDE w:val="0"/>
        <w:autoSpaceDN w:val="0"/>
        <w:adjustRightInd w:val="0"/>
        <w:spacing w:line="360" w:lineRule="auto"/>
        <w:rPr>
          <w:sz w:val="24"/>
          <w:szCs w:val="24"/>
          <w:lang w:val="en-US"/>
        </w:rPr>
      </w:pPr>
      <w:r w:rsidRPr="00914FC4">
        <w:rPr>
          <w:rFonts w:ascii="Times New Roman" w:eastAsia="WarnockPro-Regular" w:hAnsi="Times New Roman" w:cs="Times New Roman"/>
          <w:b/>
          <w:bCs/>
          <w:sz w:val="24"/>
          <w:szCs w:val="24"/>
          <w:lang w:val="en-US"/>
        </w:rPr>
        <w:t>Fig</w:t>
      </w:r>
      <w:r w:rsidR="00381B55">
        <w:rPr>
          <w:rFonts w:ascii="Times New Roman" w:eastAsia="WarnockPro-Regular" w:hAnsi="Times New Roman" w:cs="Times New Roman"/>
          <w:b/>
          <w:bCs/>
          <w:sz w:val="24"/>
          <w:szCs w:val="24"/>
          <w:lang w:val="en-US"/>
        </w:rPr>
        <w:t xml:space="preserve">ure </w:t>
      </w:r>
      <w:r w:rsidRPr="00914FC4">
        <w:rPr>
          <w:rFonts w:ascii="Times New Roman" w:eastAsia="WarnockPro-Regular" w:hAnsi="Times New Roman" w:cs="Times New Roman"/>
          <w:b/>
          <w:bCs/>
          <w:sz w:val="24"/>
          <w:szCs w:val="24"/>
          <w:lang w:val="en-US"/>
        </w:rPr>
        <w:t>S10.</w:t>
      </w:r>
      <w:r w:rsidRPr="00914FC4">
        <w:rPr>
          <w:rFonts w:ascii="Times New Roman" w:eastAsia="WarnockPro-Regular" w:hAnsi="Times New Roman" w:cs="Times New Roman"/>
          <w:sz w:val="24"/>
          <w:szCs w:val="24"/>
          <w:lang w:val="en-US"/>
        </w:rPr>
        <w:t xml:space="preserve"> PTE associated with agriculture.</w:t>
      </w:r>
    </w:p>
    <w:p w14:paraId="77F6F325" w14:textId="346B5FBA" w:rsidR="00914FC4" w:rsidRPr="00914FC4" w:rsidRDefault="00914FC4" w:rsidP="00914FC4">
      <w:pPr>
        <w:autoSpaceDE w:val="0"/>
        <w:autoSpaceDN w:val="0"/>
        <w:adjustRightInd w:val="0"/>
        <w:spacing w:line="360" w:lineRule="auto"/>
        <w:jc w:val="both"/>
        <w:rPr>
          <w:rFonts w:ascii="Times New Roman" w:hAnsi="Times New Roman" w:cs="Times New Roman"/>
          <w:sz w:val="24"/>
          <w:szCs w:val="24"/>
          <w:lang w:val="en-US"/>
        </w:rPr>
      </w:pPr>
      <w:r w:rsidRPr="00914FC4">
        <w:rPr>
          <w:rFonts w:ascii="Times New Roman" w:hAnsi="Times New Roman" w:cs="Times New Roman"/>
          <w:b/>
          <w:bCs/>
          <w:sz w:val="24"/>
          <w:szCs w:val="24"/>
          <w:lang w:val="en-US"/>
        </w:rPr>
        <w:t>Fig</w:t>
      </w:r>
      <w:r w:rsidR="00381B55">
        <w:rPr>
          <w:rFonts w:ascii="Times New Roman" w:hAnsi="Times New Roman" w:cs="Times New Roman"/>
          <w:b/>
          <w:bCs/>
          <w:sz w:val="24"/>
          <w:szCs w:val="24"/>
          <w:lang w:val="en-US"/>
        </w:rPr>
        <w:t>ure</w:t>
      </w:r>
      <w:r w:rsidRPr="00914FC4">
        <w:rPr>
          <w:rFonts w:ascii="Times New Roman" w:hAnsi="Times New Roman" w:cs="Times New Roman"/>
          <w:b/>
          <w:bCs/>
          <w:sz w:val="24"/>
          <w:szCs w:val="24"/>
          <w:lang w:val="en-US"/>
        </w:rPr>
        <w:t xml:space="preserve"> S11.</w:t>
      </w:r>
      <w:r w:rsidRPr="00914FC4">
        <w:rPr>
          <w:rFonts w:ascii="Times New Roman" w:hAnsi="Times New Roman" w:cs="Times New Roman"/>
          <w:sz w:val="24"/>
          <w:szCs w:val="24"/>
          <w:lang w:val="en-US"/>
        </w:rPr>
        <w:t xml:space="preserve"> PTE associated with industries</w:t>
      </w:r>
      <w:r w:rsidRPr="00914FC4">
        <w:rPr>
          <w:rFonts w:ascii="Times New Roman" w:hAnsi="Times New Roman" w:cs="Times New Roman"/>
          <w:i/>
          <w:iCs/>
          <w:sz w:val="24"/>
          <w:szCs w:val="24"/>
          <w:lang w:val="en-US"/>
        </w:rPr>
        <w:t>.</w:t>
      </w:r>
      <w:r w:rsidRPr="00914FC4">
        <w:rPr>
          <w:rFonts w:ascii="Times New Roman" w:hAnsi="Times New Roman" w:cs="Times New Roman"/>
          <w:sz w:val="24"/>
          <w:szCs w:val="24"/>
          <w:lang w:val="en-US"/>
        </w:rPr>
        <w:t xml:space="preserve"> </w:t>
      </w:r>
    </w:p>
    <w:p w14:paraId="57DAD198" w14:textId="7AD77CF7" w:rsidR="00914FC4" w:rsidRPr="00914FC4" w:rsidRDefault="00914FC4" w:rsidP="00914FC4">
      <w:pPr>
        <w:spacing w:line="360" w:lineRule="auto"/>
        <w:rPr>
          <w:sz w:val="24"/>
          <w:szCs w:val="24"/>
        </w:rPr>
      </w:pPr>
      <w:r w:rsidRPr="00914FC4">
        <w:rPr>
          <w:rFonts w:ascii="Times New Roman" w:hAnsi="Times New Roman" w:cs="Times New Roman"/>
          <w:b/>
          <w:bCs/>
          <w:sz w:val="24"/>
          <w:szCs w:val="24"/>
          <w:lang w:val="en-US"/>
        </w:rPr>
        <w:t>Fig</w:t>
      </w:r>
      <w:r w:rsidR="00381B55">
        <w:rPr>
          <w:rFonts w:ascii="Times New Roman" w:hAnsi="Times New Roman" w:cs="Times New Roman"/>
          <w:b/>
          <w:bCs/>
          <w:sz w:val="24"/>
          <w:szCs w:val="24"/>
          <w:lang w:val="en-US"/>
        </w:rPr>
        <w:t>ure</w:t>
      </w:r>
      <w:r w:rsidRPr="00914FC4">
        <w:rPr>
          <w:rFonts w:ascii="Times New Roman" w:hAnsi="Times New Roman" w:cs="Times New Roman"/>
          <w:b/>
          <w:bCs/>
          <w:sz w:val="24"/>
          <w:szCs w:val="24"/>
          <w:lang w:val="en-US"/>
        </w:rPr>
        <w:t xml:space="preserve"> S12. </w:t>
      </w:r>
      <w:r w:rsidRPr="00914FC4">
        <w:rPr>
          <w:rFonts w:ascii="Times New Roman" w:hAnsi="Times New Roman" w:cs="Times New Roman"/>
          <w:sz w:val="24"/>
          <w:szCs w:val="24"/>
          <w:lang w:val="en-US"/>
        </w:rPr>
        <w:t>PTE associated with domestic effluents.</w:t>
      </w:r>
    </w:p>
    <w:p w14:paraId="00A79781" w14:textId="169E8AD3" w:rsidR="00914FC4" w:rsidRPr="00914FC4" w:rsidRDefault="00914FC4" w:rsidP="00914FC4">
      <w:pPr>
        <w:autoSpaceDE w:val="0"/>
        <w:autoSpaceDN w:val="0"/>
        <w:adjustRightInd w:val="0"/>
        <w:spacing w:line="360" w:lineRule="auto"/>
        <w:jc w:val="both"/>
        <w:rPr>
          <w:rFonts w:ascii="Times New Roman" w:hAnsi="Times New Roman" w:cs="Times New Roman"/>
          <w:b/>
          <w:bCs/>
          <w:sz w:val="24"/>
          <w:szCs w:val="24"/>
          <w:lang w:val="en-US"/>
        </w:rPr>
      </w:pPr>
      <w:r w:rsidRPr="00914FC4">
        <w:rPr>
          <w:rFonts w:ascii="Times New Roman" w:hAnsi="Times New Roman" w:cs="Times New Roman"/>
          <w:b/>
          <w:bCs/>
          <w:sz w:val="24"/>
          <w:szCs w:val="24"/>
          <w:lang w:val="en-US"/>
        </w:rPr>
        <w:t>Fig</w:t>
      </w:r>
      <w:r w:rsidR="00381B55">
        <w:rPr>
          <w:rFonts w:ascii="Times New Roman" w:hAnsi="Times New Roman" w:cs="Times New Roman"/>
          <w:b/>
          <w:bCs/>
          <w:sz w:val="24"/>
          <w:szCs w:val="24"/>
          <w:lang w:val="en-US"/>
        </w:rPr>
        <w:t xml:space="preserve">ure </w:t>
      </w:r>
      <w:r w:rsidRPr="00914FC4">
        <w:rPr>
          <w:rFonts w:ascii="Times New Roman" w:hAnsi="Times New Roman" w:cs="Times New Roman"/>
          <w:b/>
          <w:bCs/>
          <w:sz w:val="24"/>
          <w:szCs w:val="24"/>
          <w:lang w:val="en-US"/>
        </w:rPr>
        <w:t xml:space="preserve">S13. </w:t>
      </w:r>
      <w:r w:rsidRPr="00914FC4">
        <w:rPr>
          <w:rFonts w:ascii="Times New Roman" w:hAnsi="Times New Roman" w:cs="Times New Roman"/>
          <w:sz w:val="24"/>
          <w:szCs w:val="24"/>
          <w:lang w:val="en-US"/>
        </w:rPr>
        <w:t>PTE associated with industrial effluents.</w:t>
      </w:r>
    </w:p>
    <w:p w14:paraId="386BD6D4" w14:textId="5B205138" w:rsidR="00914FC4" w:rsidRPr="00914FC4" w:rsidRDefault="00914FC4" w:rsidP="00914FC4">
      <w:pPr>
        <w:autoSpaceDE w:val="0"/>
        <w:autoSpaceDN w:val="0"/>
        <w:adjustRightInd w:val="0"/>
        <w:spacing w:line="360" w:lineRule="auto"/>
        <w:rPr>
          <w:rFonts w:ascii="Times New Roman" w:hAnsi="Times New Roman" w:cs="Times New Roman"/>
          <w:sz w:val="24"/>
          <w:szCs w:val="24"/>
          <w:lang w:val="en-US"/>
        </w:rPr>
      </w:pPr>
      <w:r w:rsidRPr="00914FC4">
        <w:rPr>
          <w:rFonts w:ascii="Times New Roman" w:hAnsi="Times New Roman" w:cs="Times New Roman"/>
          <w:b/>
          <w:bCs/>
          <w:sz w:val="24"/>
          <w:szCs w:val="24"/>
          <w:lang w:val="en-US"/>
        </w:rPr>
        <w:t>Fig</w:t>
      </w:r>
      <w:r w:rsidR="00381B55">
        <w:rPr>
          <w:rFonts w:ascii="Times New Roman" w:hAnsi="Times New Roman" w:cs="Times New Roman"/>
          <w:b/>
          <w:bCs/>
          <w:sz w:val="24"/>
          <w:szCs w:val="24"/>
          <w:lang w:val="en-US"/>
        </w:rPr>
        <w:t>ure</w:t>
      </w:r>
      <w:r w:rsidRPr="00914FC4">
        <w:rPr>
          <w:rFonts w:ascii="Times New Roman" w:hAnsi="Times New Roman" w:cs="Times New Roman"/>
          <w:b/>
          <w:bCs/>
          <w:sz w:val="24"/>
          <w:szCs w:val="24"/>
          <w:lang w:val="en-US"/>
        </w:rPr>
        <w:t xml:space="preserve"> S14. </w:t>
      </w:r>
      <w:r w:rsidRPr="00914FC4">
        <w:rPr>
          <w:rFonts w:ascii="Times New Roman" w:hAnsi="Times New Roman" w:cs="Times New Roman"/>
          <w:sz w:val="24"/>
          <w:szCs w:val="24"/>
          <w:lang w:val="en-US"/>
        </w:rPr>
        <w:t>PTE associated with hospital effluents.</w:t>
      </w:r>
    </w:p>
    <w:p w14:paraId="1C1D47E1" w14:textId="77C4C994" w:rsidR="00914FC4" w:rsidRPr="00914FC4" w:rsidRDefault="00914FC4" w:rsidP="00914FC4">
      <w:pPr>
        <w:autoSpaceDE w:val="0"/>
        <w:autoSpaceDN w:val="0"/>
        <w:adjustRightInd w:val="0"/>
        <w:spacing w:line="360" w:lineRule="auto"/>
        <w:rPr>
          <w:rFonts w:ascii="Times New Roman" w:hAnsi="Times New Roman" w:cs="Times New Roman"/>
          <w:sz w:val="24"/>
          <w:szCs w:val="24"/>
          <w:lang w:val="en-US"/>
        </w:rPr>
      </w:pPr>
      <w:r w:rsidRPr="00914FC4">
        <w:rPr>
          <w:rFonts w:ascii="Times New Roman" w:hAnsi="Times New Roman" w:cs="Times New Roman"/>
          <w:b/>
          <w:bCs/>
          <w:sz w:val="24"/>
          <w:szCs w:val="24"/>
          <w:lang w:val="en-US"/>
        </w:rPr>
        <w:t>Fig</w:t>
      </w:r>
      <w:r w:rsidR="00381B55">
        <w:rPr>
          <w:rFonts w:ascii="Times New Roman" w:hAnsi="Times New Roman" w:cs="Times New Roman"/>
          <w:b/>
          <w:bCs/>
          <w:sz w:val="24"/>
          <w:szCs w:val="24"/>
          <w:lang w:val="en-US"/>
        </w:rPr>
        <w:t>ure</w:t>
      </w:r>
      <w:r w:rsidRPr="00914FC4">
        <w:rPr>
          <w:rFonts w:ascii="Times New Roman" w:hAnsi="Times New Roman" w:cs="Times New Roman"/>
          <w:b/>
          <w:bCs/>
          <w:sz w:val="24"/>
          <w:szCs w:val="24"/>
          <w:lang w:val="en-US"/>
        </w:rPr>
        <w:t xml:space="preserve"> S15.</w:t>
      </w:r>
      <w:r w:rsidRPr="00914FC4">
        <w:rPr>
          <w:rFonts w:ascii="Times New Roman" w:hAnsi="Times New Roman" w:cs="Times New Roman"/>
          <w:sz w:val="24"/>
          <w:szCs w:val="24"/>
          <w:lang w:val="en-US"/>
        </w:rPr>
        <w:t xml:space="preserve"> PTE associated with traffic.</w:t>
      </w:r>
    </w:p>
    <w:p w14:paraId="1C9A5089" w14:textId="3ED19F13" w:rsidR="00CA16C7" w:rsidRPr="00914FC4" w:rsidRDefault="00914FC4" w:rsidP="00914FC4">
      <w:pPr>
        <w:autoSpaceDE w:val="0"/>
        <w:autoSpaceDN w:val="0"/>
        <w:adjustRightInd w:val="0"/>
        <w:spacing w:line="360" w:lineRule="auto"/>
        <w:rPr>
          <w:rFonts w:ascii="Times New Roman" w:hAnsi="Times New Roman" w:cs="Times New Roman"/>
          <w:sz w:val="24"/>
          <w:szCs w:val="24"/>
          <w:lang w:val="en-US"/>
        </w:rPr>
      </w:pPr>
      <w:r w:rsidRPr="00914FC4">
        <w:rPr>
          <w:rFonts w:ascii="Times New Roman" w:hAnsi="Times New Roman" w:cs="Times New Roman"/>
          <w:b/>
          <w:bCs/>
          <w:sz w:val="24"/>
          <w:szCs w:val="24"/>
          <w:lang w:val="en-US"/>
        </w:rPr>
        <w:t>Fig</w:t>
      </w:r>
      <w:r w:rsidR="00381B55">
        <w:rPr>
          <w:rFonts w:ascii="Times New Roman" w:hAnsi="Times New Roman" w:cs="Times New Roman"/>
          <w:b/>
          <w:bCs/>
          <w:sz w:val="24"/>
          <w:szCs w:val="24"/>
          <w:lang w:val="en-US"/>
        </w:rPr>
        <w:t>ure</w:t>
      </w:r>
      <w:r w:rsidRPr="00914FC4">
        <w:rPr>
          <w:rFonts w:ascii="Times New Roman" w:hAnsi="Times New Roman" w:cs="Times New Roman"/>
          <w:b/>
          <w:bCs/>
          <w:sz w:val="24"/>
          <w:szCs w:val="24"/>
          <w:lang w:val="en-US"/>
        </w:rPr>
        <w:t xml:space="preserve"> S16. </w:t>
      </w:r>
      <w:r w:rsidRPr="00914FC4">
        <w:rPr>
          <w:rFonts w:ascii="Times New Roman" w:hAnsi="Times New Roman" w:cs="Times New Roman"/>
          <w:sz w:val="24"/>
          <w:szCs w:val="24"/>
          <w:lang w:val="en-US"/>
        </w:rPr>
        <w:t>PTE associated with atmospheric deposition from polluted areas.</w:t>
      </w:r>
    </w:p>
    <w:p w14:paraId="7F10D852" w14:textId="77777777" w:rsidR="002C103B" w:rsidRDefault="002C103B" w:rsidP="003C094C">
      <w:pPr>
        <w:rPr>
          <w:lang w:val="en-US"/>
        </w:rPr>
      </w:pPr>
    </w:p>
    <w:p w14:paraId="774817A2" w14:textId="77777777" w:rsidR="00977230" w:rsidRDefault="00977230" w:rsidP="003C094C">
      <w:pPr>
        <w:rPr>
          <w:lang w:val="en-US"/>
        </w:rPr>
      </w:pPr>
    </w:p>
    <w:p w14:paraId="09400A45" w14:textId="77777777" w:rsidR="00977230" w:rsidRDefault="00977230" w:rsidP="003C094C">
      <w:pPr>
        <w:rPr>
          <w:lang w:val="en-US"/>
        </w:rPr>
      </w:pPr>
    </w:p>
    <w:p w14:paraId="5CD1973F" w14:textId="77777777" w:rsidR="00977230" w:rsidRDefault="00977230" w:rsidP="003C094C">
      <w:pPr>
        <w:rPr>
          <w:lang w:val="en-US"/>
        </w:rPr>
      </w:pPr>
    </w:p>
    <w:p w14:paraId="1FC8B291" w14:textId="77777777" w:rsidR="00D909CD" w:rsidRDefault="00D909CD" w:rsidP="00977230">
      <w:pPr>
        <w:autoSpaceDE w:val="0"/>
        <w:autoSpaceDN w:val="0"/>
        <w:adjustRightInd w:val="0"/>
        <w:spacing w:after="240" w:line="360" w:lineRule="auto"/>
        <w:jc w:val="both"/>
        <w:rPr>
          <w:rFonts w:ascii="Arial" w:eastAsiaTheme="minorHAnsi" w:hAnsi="Arial" w:cs="Arial"/>
          <w:b/>
          <w:color w:val="131413"/>
          <w:sz w:val="20"/>
          <w:szCs w:val="20"/>
          <w:lang w:val="en-GB" w:eastAsia="en-US"/>
        </w:rPr>
      </w:pPr>
    </w:p>
    <w:p w14:paraId="04B7B5DF" w14:textId="77777777" w:rsidR="00D909CD" w:rsidRDefault="00D909CD" w:rsidP="00977230">
      <w:pPr>
        <w:autoSpaceDE w:val="0"/>
        <w:autoSpaceDN w:val="0"/>
        <w:adjustRightInd w:val="0"/>
        <w:spacing w:after="240" w:line="360" w:lineRule="auto"/>
        <w:jc w:val="both"/>
        <w:rPr>
          <w:rFonts w:ascii="Arial" w:eastAsiaTheme="minorHAnsi" w:hAnsi="Arial" w:cs="Arial"/>
          <w:b/>
          <w:color w:val="131413"/>
          <w:sz w:val="20"/>
          <w:szCs w:val="20"/>
          <w:lang w:val="en-GB" w:eastAsia="en-US"/>
        </w:rPr>
      </w:pPr>
    </w:p>
    <w:p w14:paraId="35E4710B" w14:textId="77777777" w:rsidR="00D909CD" w:rsidRDefault="00D909CD" w:rsidP="00977230">
      <w:pPr>
        <w:autoSpaceDE w:val="0"/>
        <w:autoSpaceDN w:val="0"/>
        <w:adjustRightInd w:val="0"/>
        <w:spacing w:after="240" w:line="360" w:lineRule="auto"/>
        <w:jc w:val="both"/>
        <w:rPr>
          <w:rFonts w:ascii="Arial" w:eastAsiaTheme="minorHAnsi" w:hAnsi="Arial" w:cs="Arial"/>
          <w:b/>
          <w:color w:val="131413"/>
          <w:sz w:val="20"/>
          <w:szCs w:val="20"/>
          <w:lang w:val="en-GB" w:eastAsia="en-US"/>
        </w:rPr>
      </w:pPr>
    </w:p>
    <w:p w14:paraId="5E4571B4" w14:textId="77777777" w:rsidR="00D909CD" w:rsidRDefault="00D909CD" w:rsidP="00977230">
      <w:pPr>
        <w:autoSpaceDE w:val="0"/>
        <w:autoSpaceDN w:val="0"/>
        <w:adjustRightInd w:val="0"/>
        <w:spacing w:after="240" w:line="360" w:lineRule="auto"/>
        <w:jc w:val="both"/>
        <w:rPr>
          <w:rFonts w:ascii="Arial" w:eastAsiaTheme="minorHAnsi" w:hAnsi="Arial" w:cs="Arial"/>
          <w:b/>
          <w:color w:val="131413"/>
          <w:sz w:val="20"/>
          <w:szCs w:val="20"/>
          <w:lang w:val="en-GB" w:eastAsia="en-US"/>
        </w:rPr>
      </w:pPr>
    </w:p>
    <w:p w14:paraId="7D476145" w14:textId="77777777" w:rsidR="00D909CD" w:rsidRDefault="00D909CD" w:rsidP="00977230">
      <w:pPr>
        <w:autoSpaceDE w:val="0"/>
        <w:autoSpaceDN w:val="0"/>
        <w:adjustRightInd w:val="0"/>
        <w:spacing w:after="240" w:line="360" w:lineRule="auto"/>
        <w:jc w:val="both"/>
        <w:rPr>
          <w:rFonts w:ascii="Arial" w:eastAsiaTheme="minorHAnsi" w:hAnsi="Arial" w:cs="Arial"/>
          <w:b/>
          <w:color w:val="131413"/>
          <w:sz w:val="20"/>
          <w:szCs w:val="20"/>
          <w:lang w:val="en-GB" w:eastAsia="en-US"/>
        </w:rPr>
      </w:pPr>
    </w:p>
    <w:p w14:paraId="57943347" w14:textId="77777777" w:rsidR="00D909CD" w:rsidRDefault="00D909CD" w:rsidP="00977230">
      <w:pPr>
        <w:autoSpaceDE w:val="0"/>
        <w:autoSpaceDN w:val="0"/>
        <w:adjustRightInd w:val="0"/>
        <w:spacing w:after="240" w:line="360" w:lineRule="auto"/>
        <w:jc w:val="both"/>
        <w:rPr>
          <w:rFonts w:ascii="Arial" w:eastAsiaTheme="minorHAnsi" w:hAnsi="Arial" w:cs="Arial"/>
          <w:b/>
          <w:color w:val="131413"/>
          <w:sz w:val="20"/>
          <w:szCs w:val="20"/>
          <w:lang w:val="en-GB" w:eastAsia="en-US"/>
        </w:rPr>
      </w:pPr>
    </w:p>
    <w:p w14:paraId="326B63D6" w14:textId="77777777" w:rsidR="00B82AA5" w:rsidRDefault="00B82AA5" w:rsidP="00977230">
      <w:pPr>
        <w:autoSpaceDE w:val="0"/>
        <w:autoSpaceDN w:val="0"/>
        <w:adjustRightInd w:val="0"/>
        <w:spacing w:after="240" w:line="360" w:lineRule="auto"/>
        <w:jc w:val="both"/>
        <w:rPr>
          <w:rFonts w:ascii="Arial" w:eastAsiaTheme="minorHAnsi" w:hAnsi="Arial" w:cs="Arial"/>
          <w:b/>
          <w:color w:val="131413"/>
          <w:sz w:val="20"/>
          <w:szCs w:val="20"/>
          <w:lang w:val="en-GB" w:eastAsia="en-US"/>
        </w:rPr>
      </w:pPr>
    </w:p>
    <w:p w14:paraId="5E7F3BE2" w14:textId="62F980D1" w:rsidR="00977230" w:rsidRPr="00B82AA5" w:rsidRDefault="00977230" w:rsidP="00914FC4">
      <w:pPr>
        <w:autoSpaceDE w:val="0"/>
        <w:autoSpaceDN w:val="0"/>
        <w:adjustRightInd w:val="0"/>
        <w:spacing w:after="0" w:line="360" w:lineRule="auto"/>
        <w:jc w:val="both"/>
        <w:rPr>
          <w:rFonts w:ascii="Times New Roman" w:eastAsiaTheme="minorHAnsi" w:hAnsi="Times New Roman" w:cs="Times New Roman"/>
          <w:color w:val="131413"/>
          <w:sz w:val="20"/>
          <w:szCs w:val="20"/>
          <w:lang w:val="en-GB" w:eastAsia="en-US"/>
        </w:rPr>
      </w:pPr>
      <w:r w:rsidRPr="00B82AA5">
        <w:rPr>
          <w:rFonts w:ascii="Times New Roman" w:eastAsiaTheme="minorHAnsi" w:hAnsi="Times New Roman" w:cs="Times New Roman"/>
          <w:b/>
          <w:color w:val="131413"/>
          <w:sz w:val="20"/>
          <w:szCs w:val="20"/>
          <w:lang w:val="en-GB" w:eastAsia="en-US"/>
        </w:rPr>
        <w:lastRenderedPageBreak/>
        <w:t>Fig. S1</w:t>
      </w:r>
      <w:r w:rsidRPr="00B82AA5">
        <w:rPr>
          <w:rFonts w:ascii="Times New Roman" w:eastAsiaTheme="minorHAnsi" w:hAnsi="Times New Roman" w:cs="Times New Roman"/>
          <w:color w:val="131413"/>
          <w:sz w:val="20"/>
          <w:szCs w:val="20"/>
          <w:lang w:val="en-GB" w:eastAsia="en-US"/>
        </w:rPr>
        <w:t xml:space="preserve"> Systematic literature review process</w:t>
      </w:r>
    </w:p>
    <w:p w14:paraId="54F010EA" w14:textId="77777777" w:rsidR="00977230" w:rsidRDefault="00977230" w:rsidP="00914FC4">
      <w:pPr>
        <w:spacing w:line="360" w:lineRule="auto"/>
        <w:jc w:val="center"/>
        <w:rPr>
          <w:lang w:val="en-US"/>
        </w:rPr>
      </w:pPr>
      <w:r>
        <w:rPr>
          <w:rFonts w:ascii="Times New Roman" w:hAnsi="Times New Roman" w:cs="Times New Roman"/>
          <w:noProof/>
          <w:sz w:val="24"/>
          <w:szCs w:val="24"/>
          <w:lang w:val="pt-BR" w:eastAsia="pt-BR"/>
        </w:rPr>
        <w:drawing>
          <wp:inline distT="0" distB="0" distL="0" distR="0" wp14:anchorId="0F4F02A8" wp14:editId="2F316109">
            <wp:extent cx="6093233" cy="3829050"/>
            <wp:effectExtent l="0" t="0" r="3175"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8"/>
                    <pic:cNvPicPr/>
                  </pic:nvPicPr>
                  <pic:blipFill>
                    <a:blip r:embed="rId8">
                      <a:extLst>
                        <a:ext uri="{28A0092B-C50C-407E-A947-70E740481C1C}">
                          <a14:useLocalDpi xmlns:a14="http://schemas.microsoft.com/office/drawing/2010/main" val="0"/>
                        </a:ext>
                      </a:extLst>
                    </a:blip>
                    <a:stretch>
                      <a:fillRect/>
                    </a:stretch>
                  </pic:blipFill>
                  <pic:spPr>
                    <a:xfrm>
                      <a:off x="0" y="0"/>
                      <a:ext cx="6111413" cy="3840475"/>
                    </a:xfrm>
                    <a:prstGeom prst="rect">
                      <a:avLst/>
                    </a:prstGeom>
                  </pic:spPr>
                </pic:pic>
              </a:graphicData>
            </a:graphic>
          </wp:inline>
        </w:drawing>
      </w:r>
    </w:p>
    <w:p w14:paraId="6F1235FA" w14:textId="1A22D8BD" w:rsidR="00D909CD" w:rsidRDefault="00D909CD" w:rsidP="00914FC4">
      <w:pPr>
        <w:spacing w:after="0" w:line="360" w:lineRule="auto"/>
        <w:jc w:val="both"/>
        <w:rPr>
          <w:rFonts w:ascii="Times New Roman" w:hAnsi="Times New Roman" w:cs="Times New Roman"/>
          <w:b/>
          <w:bCs/>
          <w:sz w:val="24"/>
          <w:szCs w:val="24"/>
          <w:lang w:val="en-US"/>
        </w:rPr>
      </w:pPr>
    </w:p>
    <w:p w14:paraId="015F26D0" w14:textId="017AF045" w:rsidR="00D909CD" w:rsidRPr="00B82AA5" w:rsidRDefault="00D909CD" w:rsidP="00914FC4">
      <w:pPr>
        <w:spacing w:after="0" w:line="360" w:lineRule="auto"/>
        <w:jc w:val="both"/>
        <w:rPr>
          <w:rFonts w:ascii="Times New Roman" w:hAnsi="Times New Roman" w:cs="Times New Roman"/>
          <w:sz w:val="20"/>
          <w:szCs w:val="20"/>
          <w:lang w:val="en-US"/>
        </w:rPr>
      </w:pPr>
      <w:r w:rsidRPr="00B82AA5">
        <w:rPr>
          <w:rFonts w:ascii="Times New Roman" w:hAnsi="Times New Roman" w:cs="Times New Roman"/>
          <w:b/>
          <w:bCs/>
          <w:sz w:val="20"/>
          <w:szCs w:val="20"/>
          <w:lang w:val="en-US"/>
        </w:rPr>
        <w:t>Fig. S2</w:t>
      </w:r>
      <w:r w:rsidRPr="00B82AA5">
        <w:rPr>
          <w:rFonts w:ascii="Times New Roman" w:hAnsi="Times New Roman" w:cs="Times New Roman"/>
          <w:sz w:val="20"/>
          <w:szCs w:val="20"/>
          <w:lang w:val="en-US"/>
        </w:rPr>
        <w:t xml:space="preserve"> </w:t>
      </w:r>
      <w:bookmarkStart w:id="2" w:name="_Hlk83589832"/>
      <w:r w:rsidRPr="00B82AA5">
        <w:rPr>
          <w:rFonts w:ascii="Times New Roman" w:hAnsi="Times New Roman" w:cs="Times New Roman"/>
          <w:sz w:val="20"/>
          <w:szCs w:val="20"/>
          <w:lang w:val="en-US"/>
        </w:rPr>
        <w:t>Evolution of the number of publications using the search terms in the ScienceDirect database</w:t>
      </w:r>
      <w:bookmarkEnd w:id="2"/>
    </w:p>
    <w:p w14:paraId="3A60AB77" w14:textId="2CDEA42D" w:rsidR="00D909CD" w:rsidRDefault="00D909CD" w:rsidP="00914FC4">
      <w:pPr>
        <w:spacing w:line="360" w:lineRule="auto"/>
        <w:jc w:val="center"/>
        <w:rPr>
          <w:lang w:val="en-US"/>
        </w:rPr>
      </w:pPr>
      <w:r>
        <w:rPr>
          <w:noProof/>
          <w:lang w:val="pt-BR" w:eastAsia="pt-BR"/>
        </w:rPr>
        <w:drawing>
          <wp:inline distT="0" distB="0" distL="0" distR="0" wp14:anchorId="725555CF" wp14:editId="6238151D">
            <wp:extent cx="5629275" cy="3705225"/>
            <wp:effectExtent l="0" t="0" r="0" b="0"/>
            <wp:docPr id="17" name="Gráfico 1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87C7690-946A-4DB9-9EAF-D1EE3B4F7F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1D6E5F3" w14:textId="2C405C2B" w:rsidR="00D909CD" w:rsidRDefault="00D909CD" w:rsidP="00914FC4">
      <w:pPr>
        <w:spacing w:line="360" w:lineRule="auto"/>
        <w:jc w:val="both"/>
        <w:rPr>
          <w:rFonts w:ascii="Times New Roman" w:hAnsi="Times New Roman" w:cs="Times New Roman"/>
          <w:sz w:val="24"/>
          <w:szCs w:val="24"/>
          <w:lang w:val="en-US"/>
        </w:rPr>
      </w:pPr>
    </w:p>
    <w:p w14:paraId="35E1D861" w14:textId="5C67A483" w:rsidR="00D909CD" w:rsidRPr="00B82AA5" w:rsidRDefault="00D909CD" w:rsidP="00914FC4">
      <w:pPr>
        <w:spacing w:after="0" w:line="360" w:lineRule="auto"/>
        <w:jc w:val="both"/>
        <w:rPr>
          <w:rFonts w:ascii="Times New Roman" w:hAnsi="Times New Roman" w:cs="Times New Roman"/>
          <w:sz w:val="20"/>
          <w:szCs w:val="20"/>
          <w:lang w:val="en-US"/>
        </w:rPr>
      </w:pPr>
      <w:r w:rsidRPr="00B82AA5">
        <w:rPr>
          <w:rFonts w:ascii="Times New Roman" w:hAnsi="Times New Roman" w:cs="Times New Roman"/>
          <w:b/>
          <w:bCs/>
          <w:sz w:val="20"/>
          <w:szCs w:val="20"/>
          <w:lang w:val="en-US"/>
        </w:rPr>
        <w:lastRenderedPageBreak/>
        <w:t>Fig. S3</w:t>
      </w:r>
      <w:r w:rsidRPr="00B82AA5">
        <w:rPr>
          <w:rFonts w:ascii="Times New Roman" w:hAnsi="Times New Roman" w:cs="Times New Roman"/>
          <w:sz w:val="20"/>
          <w:szCs w:val="20"/>
          <w:lang w:val="en-US"/>
        </w:rPr>
        <w:t xml:space="preserve"> </w:t>
      </w:r>
      <w:bookmarkStart w:id="3" w:name="_Hlk83589865"/>
      <w:r w:rsidRPr="00B82AA5">
        <w:rPr>
          <w:rFonts w:ascii="Times New Roman" w:hAnsi="Times New Roman" w:cs="Times New Roman"/>
          <w:sz w:val="20"/>
          <w:szCs w:val="20"/>
          <w:lang w:val="en-US"/>
        </w:rPr>
        <w:t xml:space="preserve">Evolution of the number of publications using the search terms in the </w:t>
      </w:r>
      <w:r w:rsidRPr="00B82AA5">
        <w:rPr>
          <w:rFonts w:ascii="Times New Roman" w:hAnsi="Times New Roman" w:cs="Times New Roman"/>
          <w:i/>
          <w:iCs/>
          <w:sz w:val="20"/>
          <w:szCs w:val="20"/>
          <w:lang w:val="en-US"/>
        </w:rPr>
        <w:t>Scopus</w:t>
      </w:r>
      <w:r w:rsidRPr="00B82AA5">
        <w:rPr>
          <w:rFonts w:ascii="Times New Roman" w:hAnsi="Times New Roman" w:cs="Times New Roman"/>
          <w:sz w:val="20"/>
          <w:szCs w:val="20"/>
          <w:lang w:val="en-US"/>
        </w:rPr>
        <w:t xml:space="preserve"> database</w:t>
      </w:r>
      <w:bookmarkEnd w:id="3"/>
    </w:p>
    <w:p w14:paraId="54F3A4C0" w14:textId="77777777" w:rsidR="00D909CD" w:rsidRDefault="00D909CD" w:rsidP="00914FC4">
      <w:pPr>
        <w:spacing w:line="360" w:lineRule="auto"/>
        <w:jc w:val="center"/>
        <w:rPr>
          <w:rFonts w:ascii="Times New Roman" w:hAnsi="Times New Roman" w:cs="Times New Roman"/>
          <w:sz w:val="24"/>
          <w:szCs w:val="24"/>
        </w:rPr>
      </w:pPr>
      <w:r>
        <w:rPr>
          <w:noProof/>
          <w:lang w:val="pt-BR" w:eastAsia="pt-BR"/>
        </w:rPr>
        <w:drawing>
          <wp:inline distT="0" distB="0" distL="0" distR="0" wp14:anchorId="2E9F3CF3" wp14:editId="1DB35BA4">
            <wp:extent cx="5667375" cy="3743325"/>
            <wp:effectExtent l="0" t="0" r="0" b="0"/>
            <wp:docPr id="18" name="Gráfico 1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8B1597F-FFC6-4BBB-9589-1A0194175C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0FC6FE1" w14:textId="45BAC9BF" w:rsidR="00D909CD" w:rsidRDefault="00D909CD" w:rsidP="00914FC4">
      <w:pPr>
        <w:spacing w:after="0" w:line="360" w:lineRule="auto"/>
        <w:jc w:val="both"/>
        <w:rPr>
          <w:rFonts w:ascii="Arial" w:hAnsi="Arial" w:cs="Arial"/>
          <w:b/>
          <w:bCs/>
          <w:sz w:val="20"/>
          <w:szCs w:val="20"/>
          <w:lang w:val="en-US"/>
        </w:rPr>
      </w:pPr>
    </w:p>
    <w:p w14:paraId="29DA7FF3" w14:textId="77777777" w:rsidR="00914FC4" w:rsidRDefault="00914FC4" w:rsidP="00914FC4">
      <w:pPr>
        <w:spacing w:after="0" w:line="360" w:lineRule="auto"/>
        <w:jc w:val="both"/>
        <w:rPr>
          <w:rFonts w:ascii="Arial" w:hAnsi="Arial" w:cs="Arial"/>
          <w:b/>
          <w:bCs/>
          <w:sz w:val="20"/>
          <w:szCs w:val="20"/>
          <w:lang w:val="en-US"/>
        </w:rPr>
      </w:pPr>
    </w:p>
    <w:p w14:paraId="0A7D4AA6" w14:textId="35636359" w:rsidR="00D909CD" w:rsidRPr="00B82AA5" w:rsidRDefault="00D909CD" w:rsidP="00914FC4">
      <w:pPr>
        <w:spacing w:after="0" w:line="360" w:lineRule="auto"/>
        <w:jc w:val="both"/>
        <w:rPr>
          <w:rFonts w:ascii="Times New Roman" w:hAnsi="Times New Roman" w:cs="Times New Roman"/>
          <w:b/>
          <w:bCs/>
          <w:sz w:val="20"/>
          <w:szCs w:val="20"/>
          <w:lang w:val="en-US"/>
        </w:rPr>
      </w:pPr>
      <w:r w:rsidRPr="00B82AA5">
        <w:rPr>
          <w:rFonts w:ascii="Times New Roman" w:hAnsi="Times New Roman" w:cs="Times New Roman"/>
          <w:b/>
          <w:bCs/>
          <w:sz w:val="20"/>
          <w:szCs w:val="20"/>
          <w:lang w:val="en-US"/>
        </w:rPr>
        <w:t>Fig. S4</w:t>
      </w:r>
      <w:r w:rsidRPr="00B82AA5">
        <w:rPr>
          <w:rFonts w:ascii="Times New Roman" w:hAnsi="Times New Roman" w:cs="Times New Roman"/>
          <w:sz w:val="20"/>
          <w:szCs w:val="20"/>
          <w:lang w:val="en-US"/>
        </w:rPr>
        <w:t xml:space="preserve"> </w:t>
      </w:r>
      <w:bookmarkStart w:id="4" w:name="_Hlk83589896"/>
      <w:r w:rsidRPr="00B82AA5">
        <w:rPr>
          <w:rFonts w:ascii="Times New Roman" w:hAnsi="Times New Roman" w:cs="Times New Roman"/>
          <w:sz w:val="20"/>
          <w:szCs w:val="20"/>
          <w:lang w:val="en-US"/>
        </w:rPr>
        <w:t xml:space="preserve">Evolution of the number of publications using search terms in the </w:t>
      </w:r>
      <w:r w:rsidRPr="00B82AA5">
        <w:rPr>
          <w:rFonts w:ascii="Times New Roman" w:hAnsi="Times New Roman" w:cs="Times New Roman"/>
          <w:i/>
          <w:iCs/>
          <w:sz w:val="20"/>
          <w:szCs w:val="20"/>
          <w:lang w:val="en-US"/>
        </w:rPr>
        <w:t>Web of Science</w:t>
      </w:r>
      <w:r w:rsidRPr="00B82AA5">
        <w:rPr>
          <w:rFonts w:ascii="Times New Roman" w:hAnsi="Times New Roman" w:cs="Times New Roman"/>
          <w:sz w:val="20"/>
          <w:szCs w:val="20"/>
          <w:lang w:val="en-US"/>
        </w:rPr>
        <w:t xml:space="preserve"> database</w:t>
      </w:r>
      <w:bookmarkEnd w:id="4"/>
    </w:p>
    <w:p w14:paraId="7FB59025" w14:textId="59F8E76F" w:rsidR="00B82AA5" w:rsidRDefault="00D909CD" w:rsidP="00914FC4">
      <w:pPr>
        <w:spacing w:line="360" w:lineRule="auto"/>
        <w:jc w:val="center"/>
        <w:rPr>
          <w:rFonts w:ascii="Times New Roman" w:hAnsi="Times New Roman" w:cs="Times New Roman"/>
          <w:sz w:val="24"/>
          <w:szCs w:val="24"/>
        </w:rPr>
      </w:pPr>
      <w:r>
        <w:rPr>
          <w:noProof/>
          <w:lang w:val="pt-BR" w:eastAsia="pt-BR"/>
        </w:rPr>
        <w:drawing>
          <wp:inline distT="0" distB="0" distL="0" distR="0" wp14:anchorId="35C3B5B9" wp14:editId="3136DD78">
            <wp:extent cx="5638800" cy="3962400"/>
            <wp:effectExtent l="0" t="0" r="0" b="0"/>
            <wp:docPr id="19" name="Gráfico 1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13F5355-2B14-470C-BB1B-D020E9774B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CD36092" w14:textId="003DE47F" w:rsidR="004F0B58" w:rsidRPr="00013B24" w:rsidRDefault="004F0B58" w:rsidP="00013B24">
      <w:pPr>
        <w:spacing w:after="0" w:line="360" w:lineRule="auto"/>
        <w:jc w:val="center"/>
        <w:rPr>
          <w:rFonts w:ascii="Times New Roman" w:hAnsi="Times New Roman" w:cs="Times New Roman"/>
          <w:sz w:val="20"/>
          <w:szCs w:val="20"/>
        </w:rPr>
      </w:pPr>
      <w:r w:rsidRPr="00013B24">
        <w:rPr>
          <w:rFonts w:ascii="Times New Roman" w:hAnsi="Times New Roman" w:cs="Times New Roman"/>
          <w:b/>
          <w:bCs/>
          <w:sz w:val="20"/>
          <w:szCs w:val="20"/>
        </w:rPr>
        <w:lastRenderedPageBreak/>
        <w:t>Table S1</w:t>
      </w:r>
      <w:r w:rsidRPr="00013B24">
        <w:rPr>
          <w:rFonts w:ascii="Times New Roman" w:hAnsi="Times New Roman" w:cs="Times New Roman"/>
          <w:sz w:val="20"/>
          <w:szCs w:val="20"/>
        </w:rPr>
        <w:t xml:space="preserve"> </w:t>
      </w:r>
      <w:r w:rsidR="00013B24" w:rsidRPr="00013B24">
        <w:rPr>
          <w:rFonts w:ascii="Times New Roman" w:hAnsi="Times New Roman" w:cs="Times New Roman"/>
          <w:sz w:val="20"/>
          <w:szCs w:val="20"/>
          <w:lang w:val="en-US"/>
        </w:rPr>
        <w:t>Natural sources of potentially toxic elements to the aquatic environment</w:t>
      </w:r>
    </w:p>
    <w:tbl>
      <w:tblPr>
        <w:tblW w:w="9072" w:type="dxa"/>
        <w:tblInd w:w="108" w:type="dxa"/>
        <w:tblLook w:val="04A0" w:firstRow="1" w:lastRow="0" w:firstColumn="1" w:lastColumn="0" w:noHBand="0" w:noVBand="1"/>
      </w:tblPr>
      <w:tblGrid>
        <w:gridCol w:w="1276"/>
        <w:gridCol w:w="3402"/>
        <w:gridCol w:w="4394"/>
      </w:tblGrid>
      <w:tr w:rsidR="004F0B58" w:rsidRPr="004F0B58" w14:paraId="6344FF85" w14:textId="77777777" w:rsidTr="00013B24">
        <w:tc>
          <w:tcPr>
            <w:tcW w:w="1276" w:type="dxa"/>
            <w:tcBorders>
              <w:top w:val="single" w:sz="12" w:space="0" w:color="auto"/>
              <w:left w:val="nil"/>
              <w:bottom w:val="single" w:sz="12" w:space="0" w:color="auto"/>
              <w:right w:val="nil"/>
            </w:tcBorders>
            <w:shd w:val="clear" w:color="auto" w:fill="00B050"/>
            <w:vAlign w:val="center"/>
          </w:tcPr>
          <w:p w14:paraId="5E1285D5" w14:textId="60DD3868" w:rsidR="004F0B58" w:rsidRPr="004F0B58" w:rsidRDefault="004F0B58" w:rsidP="004F0B58">
            <w:pPr>
              <w:spacing w:after="160"/>
              <w:jc w:val="center"/>
              <w:rPr>
                <w:rFonts w:ascii="Times New Roman" w:eastAsia="Calibri" w:hAnsi="Times New Roman" w:cs="Times New Roman"/>
                <w:b/>
                <w:bCs/>
                <w:color w:val="FFFFFF"/>
                <w:sz w:val="24"/>
                <w:szCs w:val="24"/>
                <w:lang w:val="pt-BR" w:eastAsia="en-US"/>
              </w:rPr>
            </w:pPr>
            <w:r w:rsidRPr="004F0B58">
              <w:rPr>
                <w:rFonts w:ascii="Times New Roman" w:eastAsia="Calibri" w:hAnsi="Times New Roman" w:cs="Times New Roman"/>
                <w:b/>
                <w:bCs/>
                <w:color w:val="FFFFFF"/>
                <w:sz w:val="24"/>
                <w:szCs w:val="24"/>
                <w:lang w:val="pt-BR" w:eastAsia="en-US"/>
              </w:rPr>
              <w:t>PT</w:t>
            </w:r>
            <w:r w:rsidR="0080186D">
              <w:rPr>
                <w:rFonts w:ascii="Times New Roman" w:eastAsia="Calibri" w:hAnsi="Times New Roman" w:cs="Times New Roman"/>
                <w:b/>
                <w:bCs/>
                <w:color w:val="FFFFFF"/>
                <w:sz w:val="24"/>
                <w:szCs w:val="24"/>
                <w:lang w:val="pt-BR" w:eastAsia="en-US"/>
              </w:rPr>
              <w:t>E</w:t>
            </w:r>
          </w:p>
        </w:tc>
        <w:tc>
          <w:tcPr>
            <w:tcW w:w="3402" w:type="dxa"/>
            <w:tcBorders>
              <w:top w:val="single" w:sz="12" w:space="0" w:color="auto"/>
              <w:left w:val="nil"/>
              <w:bottom w:val="single" w:sz="12" w:space="0" w:color="auto"/>
              <w:right w:val="nil"/>
            </w:tcBorders>
            <w:shd w:val="clear" w:color="auto" w:fill="00B050"/>
            <w:vAlign w:val="center"/>
          </w:tcPr>
          <w:p w14:paraId="07A524D5" w14:textId="4123E6F2" w:rsidR="004F0B58" w:rsidRPr="004F0B58" w:rsidRDefault="0080186D" w:rsidP="004F0B58">
            <w:pPr>
              <w:spacing w:after="160"/>
              <w:jc w:val="center"/>
              <w:rPr>
                <w:rFonts w:ascii="Times New Roman" w:eastAsia="Calibri" w:hAnsi="Times New Roman" w:cs="Times New Roman"/>
                <w:b/>
                <w:bCs/>
                <w:color w:val="FFFFFF"/>
                <w:sz w:val="24"/>
                <w:szCs w:val="24"/>
                <w:lang w:val="pt-BR" w:eastAsia="en-US"/>
              </w:rPr>
            </w:pPr>
            <w:r>
              <w:rPr>
                <w:rFonts w:ascii="Times New Roman" w:eastAsia="Calibri" w:hAnsi="Times New Roman" w:cs="Times New Roman"/>
                <w:b/>
                <w:bCs/>
                <w:color w:val="FFFFFF"/>
                <w:sz w:val="24"/>
                <w:szCs w:val="24"/>
                <w:lang w:val="pt-BR" w:eastAsia="en-US"/>
              </w:rPr>
              <w:t>Natural sources</w:t>
            </w:r>
          </w:p>
        </w:tc>
        <w:tc>
          <w:tcPr>
            <w:tcW w:w="4394" w:type="dxa"/>
            <w:tcBorders>
              <w:top w:val="single" w:sz="12" w:space="0" w:color="auto"/>
              <w:left w:val="nil"/>
              <w:bottom w:val="single" w:sz="12" w:space="0" w:color="auto"/>
              <w:right w:val="nil"/>
            </w:tcBorders>
            <w:shd w:val="clear" w:color="auto" w:fill="00B050"/>
            <w:vAlign w:val="center"/>
          </w:tcPr>
          <w:p w14:paraId="6582BACC" w14:textId="32257B21" w:rsidR="004F0B58" w:rsidRPr="004F0B58" w:rsidRDefault="004F0B58" w:rsidP="004F0B58">
            <w:pPr>
              <w:spacing w:after="160"/>
              <w:jc w:val="center"/>
              <w:rPr>
                <w:rFonts w:ascii="Times New Roman" w:eastAsia="Calibri" w:hAnsi="Times New Roman" w:cs="Times New Roman"/>
                <w:b/>
                <w:bCs/>
                <w:color w:val="FFFFFF"/>
                <w:sz w:val="24"/>
                <w:szCs w:val="24"/>
                <w:lang w:val="pt-BR" w:eastAsia="en-US"/>
              </w:rPr>
            </w:pPr>
            <w:r w:rsidRPr="004F0B58">
              <w:rPr>
                <w:rFonts w:ascii="Times New Roman" w:eastAsia="Calibri" w:hAnsi="Times New Roman" w:cs="Times New Roman"/>
                <w:b/>
                <w:bCs/>
                <w:color w:val="FFFFFF"/>
                <w:sz w:val="24"/>
                <w:szCs w:val="24"/>
                <w:lang w:val="pt-BR" w:eastAsia="en-US"/>
              </w:rPr>
              <w:t>Refer</w:t>
            </w:r>
            <w:r w:rsidR="0080186D">
              <w:rPr>
                <w:rFonts w:ascii="Times New Roman" w:eastAsia="Calibri" w:hAnsi="Times New Roman" w:cs="Times New Roman"/>
                <w:b/>
                <w:bCs/>
                <w:color w:val="FFFFFF"/>
                <w:sz w:val="24"/>
                <w:szCs w:val="24"/>
                <w:lang w:val="pt-BR" w:eastAsia="en-US"/>
              </w:rPr>
              <w:t>ences</w:t>
            </w:r>
          </w:p>
        </w:tc>
      </w:tr>
      <w:tr w:rsidR="004F0B58" w:rsidRPr="004F0B58" w14:paraId="78E611E8" w14:textId="77777777" w:rsidTr="00013B24">
        <w:tc>
          <w:tcPr>
            <w:tcW w:w="1276" w:type="dxa"/>
            <w:vMerge w:val="restart"/>
            <w:tcBorders>
              <w:top w:val="single" w:sz="12" w:space="0" w:color="auto"/>
              <w:left w:val="nil"/>
              <w:bottom w:val="nil"/>
              <w:right w:val="nil"/>
            </w:tcBorders>
            <w:vAlign w:val="center"/>
          </w:tcPr>
          <w:p w14:paraId="690B823B" w14:textId="77777777" w:rsidR="004F0B58" w:rsidRPr="004F0B58" w:rsidRDefault="004F0B58" w:rsidP="004F0B58">
            <w:pPr>
              <w:spacing w:after="160"/>
              <w:jc w:val="center"/>
              <w:rPr>
                <w:rFonts w:ascii="Times New Roman" w:eastAsia="Calibri" w:hAnsi="Times New Roman" w:cs="Times New Roman"/>
                <w:b/>
                <w:bCs/>
                <w:sz w:val="24"/>
                <w:szCs w:val="24"/>
                <w:lang w:val="pt-BR" w:eastAsia="en-US"/>
              </w:rPr>
            </w:pPr>
            <w:r w:rsidRPr="004F0B58">
              <w:rPr>
                <w:rFonts w:ascii="Times New Roman" w:eastAsia="Calibri" w:hAnsi="Times New Roman" w:cs="Times New Roman"/>
                <w:b/>
                <w:bCs/>
                <w:sz w:val="24"/>
                <w:szCs w:val="24"/>
                <w:lang w:val="pt-BR" w:eastAsia="en-US"/>
              </w:rPr>
              <w:t>Al</w:t>
            </w:r>
          </w:p>
        </w:tc>
        <w:tc>
          <w:tcPr>
            <w:tcW w:w="3402" w:type="dxa"/>
            <w:tcBorders>
              <w:top w:val="single" w:sz="12" w:space="0" w:color="auto"/>
              <w:left w:val="nil"/>
              <w:bottom w:val="single" w:sz="4" w:space="0" w:color="auto"/>
              <w:right w:val="nil"/>
            </w:tcBorders>
            <w:vAlign w:val="center"/>
          </w:tcPr>
          <w:p w14:paraId="7990075E" w14:textId="6EE5D39B" w:rsidR="004F0B58" w:rsidRPr="004F0B58" w:rsidRDefault="00A41699" w:rsidP="004F0B58">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Weathering of rocks</w:t>
            </w:r>
          </w:p>
        </w:tc>
        <w:tc>
          <w:tcPr>
            <w:tcW w:w="4394" w:type="dxa"/>
            <w:tcBorders>
              <w:top w:val="single" w:sz="12" w:space="0" w:color="auto"/>
              <w:left w:val="nil"/>
              <w:bottom w:val="single" w:sz="4" w:space="0" w:color="auto"/>
              <w:right w:val="nil"/>
            </w:tcBorders>
            <w:vAlign w:val="center"/>
          </w:tcPr>
          <w:p w14:paraId="25779D9B" w14:textId="77777777" w:rsidR="004F0B58" w:rsidRPr="004F0B58" w:rsidRDefault="004F0B58" w:rsidP="004F0B58">
            <w:pPr>
              <w:spacing w:after="160"/>
              <w:rPr>
                <w:rFonts w:ascii="Times New Roman" w:eastAsia="Calibri" w:hAnsi="Times New Roman" w:cs="Times New Roman"/>
                <w:sz w:val="24"/>
                <w:szCs w:val="24"/>
                <w:lang w:val="pt-BR" w:eastAsia="en-US"/>
              </w:rPr>
            </w:pPr>
            <w:r w:rsidRPr="004F0B58">
              <w:rPr>
                <w:rFonts w:ascii="Times New Roman" w:eastAsia="Calibri" w:hAnsi="Times New Roman" w:cs="Times New Roman"/>
                <w:sz w:val="24"/>
                <w:szCs w:val="24"/>
                <w:lang w:val="en-US" w:eastAsia="en-US"/>
              </w:rPr>
              <w:t>Yuan et al. (2019)</w:t>
            </w:r>
          </w:p>
        </w:tc>
      </w:tr>
      <w:tr w:rsidR="004F0B58" w:rsidRPr="004F0B58" w14:paraId="4F6E335F" w14:textId="77777777" w:rsidTr="00013B24">
        <w:tc>
          <w:tcPr>
            <w:tcW w:w="1276" w:type="dxa"/>
            <w:vMerge/>
            <w:tcBorders>
              <w:top w:val="nil"/>
              <w:left w:val="nil"/>
              <w:bottom w:val="single" w:sz="12" w:space="0" w:color="auto"/>
              <w:right w:val="nil"/>
            </w:tcBorders>
          </w:tcPr>
          <w:p w14:paraId="2D49DFE0" w14:textId="77777777" w:rsidR="004F0B58" w:rsidRPr="004F0B58" w:rsidRDefault="004F0B58" w:rsidP="004F0B58">
            <w:pPr>
              <w:spacing w:after="160"/>
              <w:jc w:val="both"/>
              <w:rPr>
                <w:rFonts w:ascii="Times New Roman" w:eastAsia="Calibri" w:hAnsi="Times New Roman" w:cs="Times New Roman"/>
                <w:b/>
                <w:bCs/>
                <w:sz w:val="24"/>
                <w:szCs w:val="24"/>
                <w:lang w:val="pt-BR" w:eastAsia="en-US"/>
              </w:rPr>
            </w:pPr>
          </w:p>
        </w:tc>
        <w:tc>
          <w:tcPr>
            <w:tcW w:w="3402" w:type="dxa"/>
            <w:tcBorders>
              <w:top w:val="single" w:sz="4" w:space="0" w:color="auto"/>
              <w:left w:val="nil"/>
              <w:bottom w:val="single" w:sz="12" w:space="0" w:color="auto"/>
              <w:right w:val="nil"/>
            </w:tcBorders>
            <w:vAlign w:val="center"/>
          </w:tcPr>
          <w:p w14:paraId="061E721D" w14:textId="5993E15D" w:rsidR="004F0B58" w:rsidRPr="004F0B58" w:rsidRDefault="00A41699" w:rsidP="004F0B58">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Geogenic origin</w:t>
            </w:r>
          </w:p>
        </w:tc>
        <w:tc>
          <w:tcPr>
            <w:tcW w:w="4394" w:type="dxa"/>
            <w:tcBorders>
              <w:top w:val="single" w:sz="4" w:space="0" w:color="auto"/>
              <w:left w:val="nil"/>
              <w:bottom w:val="single" w:sz="12" w:space="0" w:color="auto"/>
              <w:right w:val="nil"/>
            </w:tcBorders>
            <w:vAlign w:val="center"/>
          </w:tcPr>
          <w:p w14:paraId="590C7EED" w14:textId="77777777" w:rsidR="004F0B58" w:rsidRPr="004F0B58" w:rsidRDefault="004F0B58" w:rsidP="004F0B58">
            <w:pPr>
              <w:spacing w:after="160"/>
              <w:rPr>
                <w:rFonts w:ascii="Times New Roman" w:eastAsia="Calibri" w:hAnsi="Times New Roman" w:cs="Times New Roman"/>
                <w:sz w:val="24"/>
                <w:szCs w:val="24"/>
                <w:lang w:val="pt-BR" w:eastAsia="en-US"/>
              </w:rPr>
            </w:pPr>
            <w:r w:rsidRPr="004F0B58">
              <w:rPr>
                <w:rFonts w:ascii="Times New Roman" w:eastAsia="Calibri" w:hAnsi="Times New Roman" w:cs="Times New Roman"/>
                <w:sz w:val="24"/>
                <w:szCs w:val="24"/>
                <w:lang w:val="pt-BR" w:eastAsia="en-US"/>
              </w:rPr>
              <w:t>Ustaoğlua e Islam (2020)</w:t>
            </w:r>
          </w:p>
        </w:tc>
      </w:tr>
      <w:tr w:rsidR="004F0B58" w:rsidRPr="004F0B58" w14:paraId="152283A7" w14:textId="77777777" w:rsidTr="00013B24">
        <w:tc>
          <w:tcPr>
            <w:tcW w:w="1276" w:type="dxa"/>
            <w:vMerge w:val="restart"/>
            <w:tcBorders>
              <w:top w:val="single" w:sz="12" w:space="0" w:color="auto"/>
              <w:left w:val="nil"/>
              <w:right w:val="nil"/>
            </w:tcBorders>
            <w:shd w:val="clear" w:color="auto" w:fill="auto"/>
            <w:vAlign w:val="center"/>
          </w:tcPr>
          <w:p w14:paraId="51B5A538" w14:textId="77777777" w:rsidR="004F0B58" w:rsidRPr="004F0B58" w:rsidRDefault="004F0B58" w:rsidP="004F0B58">
            <w:pPr>
              <w:spacing w:after="160"/>
              <w:jc w:val="center"/>
              <w:rPr>
                <w:rFonts w:ascii="Times New Roman" w:eastAsia="Calibri" w:hAnsi="Times New Roman" w:cs="Times New Roman"/>
                <w:b/>
                <w:bCs/>
                <w:sz w:val="24"/>
                <w:szCs w:val="24"/>
                <w:lang w:val="pt-BR" w:eastAsia="en-US"/>
              </w:rPr>
            </w:pPr>
            <w:r w:rsidRPr="004F0B58">
              <w:rPr>
                <w:rFonts w:ascii="Times New Roman" w:eastAsia="Calibri" w:hAnsi="Times New Roman" w:cs="Times New Roman"/>
                <w:b/>
                <w:bCs/>
                <w:sz w:val="24"/>
                <w:szCs w:val="24"/>
                <w:lang w:val="pt-BR" w:eastAsia="en-US"/>
              </w:rPr>
              <w:t>As</w:t>
            </w:r>
          </w:p>
        </w:tc>
        <w:tc>
          <w:tcPr>
            <w:tcW w:w="3402" w:type="dxa"/>
            <w:tcBorders>
              <w:top w:val="single" w:sz="12" w:space="0" w:color="auto"/>
              <w:left w:val="nil"/>
              <w:bottom w:val="single" w:sz="4" w:space="0" w:color="auto"/>
              <w:right w:val="nil"/>
            </w:tcBorders>
            <w:shd w:val="clear" w:color="auto" w:fill="auto"/>
            <w:vAlign w:val="center"/>
          </w:tcPr>
          <w:p w14:paraId="409029CA" w14:textId="01A6CCCB" w:rsidR="004F0B58" w:rsidRPr="004F0B58" w:rsidRDefault="00A41699" w:rsidP="004F0B58">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Weathering of rocks</w:t>
            </w:r>
          </w:p>
        </w:tc>
        <w:tc>
          <w:tcPr>
            <w:tcW w:w="4394" w:type="dxa"/>
            <w:tcBorders>
              <w:top w:val="single" w:sz="12" w:space="0" w:color="auto"/>
              <w:left w:val="nil"/>
              <w:bottom w:val="single" w:sz="4" w:space="0" w:color="auto"/>
              <w:right w:val="nil"/>
            </w:tcBorders>
            <w:shd w:val="clear" w:color="auto" w:fill="auto"/>
            <w:vAlign w:val="center"/>
          </w:tcPr>
          <w:p w14:paraId="759FF90E" w14:textId="77777777" w:rsidR="004F0B58" w:rsidRPr="004F0B58" w:rsidRDefault="004F0B58" w:rsidP="004F0B58">
            <w:pPr>
              <w:spacing w:after="160"/>
              <w:rPr>
                <w:rFonts w:ascii="Times New Roman" w:eastAsia="Calibri" w:hAnsi="Times New Roman" w:cs="Times New Roman"/>
                <w:sz w:val="24"/>
                <w:szCs w:val="24"/>
                <w:lang w:val="pt-BR" w:eastAsia="en-US"/>
              </w:rPr>
            </w:pPr>
            <w:r w:rsidRPr="004F0B58">
              <w:rPr>
                <w:rFonts w:ascii="Times New Roman" w:eastAsia="Calibri" w:hAnsi="Times New Roman" w:cs="Times New Roman"/>
                <w:sz w:val="24"/>
                <w:szCs w:val="24"/>
                <w:lang w:val="en-US" w:eastAsia="en-US"/>
              </w:rPr>
              <w:t xml:space="preserve">Hu et al. (2020), Wang et al. (2020b), Yuan et al. (2019), Huang et al. </w:t>
            </w:r>
            <w:r w:rsidRPr="004F0B58">
              <w:rPr>
                <w:rFonts w:ascii="Times New Roman" w:eastAsia="Calibri" w:hAnsi="Times New Roman" w:cs="Times New Roman"/>
                <w:sz w:val="24"/>
                <w:szCs w:val="24"/>
                <w:lang w:val="pt-BR" w:eastAsia="en-US"/>
              </w:rPr>
              <w:t>(2020a), Islam et al. (2018)</w:t>
            </w:r>
          </w:p>
        </w:tc>
      </w:tr>
      <w:tr w:rsidR="004F0B58" w:rsidRPr="004F0B58" w14:paraId="7D1F18EA" w14:textId="77777777" w:rsidTr="00013B24">
        <w:tc>
          <w:tcPr>
            <w:tcW w:w="1276" w:type="dxa"/>
            <w:vMerge/>
            <w:tcBorders>
              <w:left w:val="nil"/>
              <w:right w:val="nil"/>
            </w:tcBorders>
            <w:shd w:val="clear" w:color="auto" w:fill="auto"/>
          </w:tcPr>
          <w:p w14:paraId="682150FE" w14:textId="77777777" w:rsidR="004F0B58" w:rsidRPr="004F0B58" w:rsidRDefault="004F0B58" w:rsidP="004F0B58">
            <w:pPr>
              <w:spacing w:after="160"/>
              <w:jc w:val="both"/>
              <w:rPr>
                <w:rFonts w:ascii="Times New Roman" w:eastAsia="Calibri" w:hAnsi="Times New Roman" w:cs="Times New Roman"/>
                <w:b/>
                <w:bCs/>
                <w:sz w:val="24"/>
                <w:szCs w:val="24"/>
                <w:lang w:val="en-US" w:eastAsia="en-US"/>
              </w:rPr>
            </w:pPr>
          </w:p>
        </w:tc>
        <w:tc>
          <w:tcPr>
            <w:tcW w:w="3402" w:type="dxa"/>
            <w:tcBorders>
              <w:top w:val="single" w:sz="4" w:space="0" w:color="auto"/>
              <w:left w:val="nil"/>
              <w:bottom w:val="single" w:sz="4" w:space="0" w:color="auto"/>
              <w:right w:val="nil"/>
            </w:tcBorders>
            <w:shd w:val="clear" w:color="auto" w:fill="auto"/>
            <w:vAlign w:val="center"/>
          </w:tcPr>
          <w:p w14:paraId="612D0A5F" w14:textId="515C195E" w:rsidR="004F0B58" w:rsidRPr="004F0B58" w:rsidRDefault="00A41699" w:rsidP="004F0B58">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en-US" w:eastAsia="en-US"/>
              </w:rPr>
              <w:t>Soil composition</w:t>
            </w:r>
            <w:r w:rsidR="004F0B58" w:rsidRPr="004F0B58">
              <w:rPr>
                <w:rFonts w:ascii="Times New Roman" w:eastAsia="Calibri" w:hAnsi="Times New Roman" w:cs="Times New Roman"/>
                <w:sz w:val="24"/>
                <w:szCs w:val="24"/>
                <w:lang w:val="en-US" w:eastAsia="en-US"/>
              </w:rPr>
              <w:t xml:space="preserve"> </w:t>
            </w:r>
          </w:p>
        </w:tc>
        <w:tc>
          <w:tcPr>
            <w:tcW w:w="4394" w:type="dxa"/>
            <w:tcBorders>
              <w:top w:val="single" w:sz="4" w:space="0" w:color="auto"/>
              <w:left w:val="nil"/>
              <w:bottom w:val="single" w:sz="4" w:space="0" w:color="auto"/>
              <w:right w:val="nil"/>
            </w:tcBorders>
            <w:shd w:val="clear" w:color="auto" w:fill="auto"/>
            <w:vAlign w:val="center"/>
          </w:tcPr>
          <w:p w14:paraId="17F3C025" w14:textId="77777777" w:rsidR="004F0B58" w:rsidRPr="004F0B58" w:rsidRDefault="004F0B58" w:rsidP="004F0B58">
            <w:pPr>
              <w:spacing w:after="160"/>
              <w:rPr>
                <w:rFonts w:ascii="Times New Roman" w:eastAsia="Calibri" w:hAnsi="Times New Roman" w:cs="Times New Roman"/>
                <w:sz w:val="24"/>
                <w:szCs w:val="24"/>
                <w:lang w:val="en-US" w:eastAsia="en-US"/>
              </w:rPr>
            </w:pPr>
            <w:r w:rsidRPr="004F0B58">
              <w:rPr>
                <w:rFonts w:ascii="Times New Roman" w:eastAsia="Calibri" w:hAnsi="Times New Roman" w:cs="Times New Roman"/>
                <w:sz w:val="24"/>
                <w:szCs w:val="24"/>
                <w:lang w:val="en-US" w:eastAsia="en-US"/>
              </w:rPr>
              <w:t>Li; Chen; Teng (2020), Sheykhi et al. (2017), Wang et al. (2020b)</w:t>
            </w:r>
          </w:p>
        </w:tc>
      </w:tr>
      <w:tr w:rsidR="004F0B58" w:rsidRPr="004F0B58" w14:paraId="045D507D" w14:textId="77777777" w:rsidTr="00013B24">
        <w:tc>
          <w:tcPr>
            <w:tcW w:w="1276" w:type="dxa"/>
            <w:vMerge/>
            <w:tcBorders>
              <w:top w:val="dashSmallGap" w:sz="4" w:space="0" w:color="auto"/>
              <w:left w:val="nil"/>
              <w:right w:val="nil"/>
            </w:tcBorders>
            <w:shd w:val="clear" w:color="auto" w:fill="auto"/>
          </w:tcPr>
          <w:p w14:paraId="2D0BC22B" w14:textId="77777777" w:rsidR="004F0B58" w:rsidRPr="004F0B58" w:rsidRDefault="004F0B58" w:rsidP="004F0B58">
            <w:pPr>
              <w:spacing w:after="160"/>
              <w:jc w:val="both"/>
              <w:rPr>
                <w:rFonts w:ascii="Times New Roman" w:eastAsia="Calibri" w:hAnsi="Times New Roman" w:cs="Times New Roman"/>
                <w:b/>
                <w:bCs/>
                <w:sz w:val="24"/>
                <w:szCs w:val="24"/>
                <w:lang w:val="en-US" w:eastAsia="en-US"/>
              </w:rPr>
            </w:pPr>
          </w:p>
        </w:tc>
        <w:tc>
          <w:tcPr>
            <w:tcW w:w="3402" w:type="dxa"/>
            <w:tcBorders>
              <w:top w:val="single" w:sz="4" w:space="0" w:color="auto"/>
              <w:left w:val="nil"/>
              <w:bottom w:val="single" w:sz="4" w:space="0" w:color="auto"/>
              <w:right w:val="nil"/>
            </w:tcBorders>
            <w:shd w:val="clear" w:color="auto" w:fill="auto"/>
            <w:vAlign w:val="center"/>
          </w:tcPr>
          <w:p w14:paraId="3724BA85" w14:textId="51F3B702" w:rsidR="004F0B58" w:rsidRPr="004F0B58" w:rsidRDefault="00A41699" w:rsidP="004F0B58">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Geogenic origin</w:t>
            </w:r>
            <w:r w:rsidR="004F0B58" w:rsidRPr="004F0B58">
              <w:rPr>
                <w:rFonts w:ascii="Times New Roman" w:eastAsia="Calibri" w:hAnsi="Times New Roman" w:cs="Times New Roman"/>
                <w:sz w:val="24"/>
                <w:szCs w:val="24"/>
                <w:lang w:val="pt-BR" w:eastAsia="en-US"/>
              </w:rPr>
              <w:t xml:space="preserve"> </w:t>
            </w:r>
          </w:p>
        </w:tc>
        <w:tc>
          <w:tcPr>
            <w:tcW w:w="4394" w:type="dxa"/>
            <w:tcBorders>
              <w:top w:val="single" w:sz="4" w:space="0" w:color="auto"/>
              <w:left w:val="nil"/>
              <w:bottom w:val="single" w:sz="4" w:space="0" w:color="auto"/>
              <w:right w:val="nil"/>
            </w:tcBorders>
            <w:shd w:val="clear" w:color="auto" w:fill="auto"/>
            <w:vAlign w:val="center"/>
          </w:tcPr>
          <w:p w14:paraId="1714646C" w14:textId="77777777" w:rsidR="004F0B58" w:rsidRPr="004F0B58" w:rsidRDefault="004F0B58" w:rsidP="004F0B58">
            <w:pPr>
              <w:spacing w:after="160"/>
              <w:rPr>
                <w:rFonts w:ascii="Times New Roman" w:eastAsia="Calibri" w:hAnsi="Times New Roman" w:cs="Times New Roman"/>
                <w:sz w:val="24"/>
                <w:szCs w:val="24"/>
                <w:lang w:val="pt-BR" w:eastAsia="en-US"/>
              </w:rPr>
            </w:pPr>
            <w:r w:rsidRPr="004F0B58">
              <w:rPr>
                <w:rFonts w:ascii="Times New Roman" w:eastAsia="Calibri" w:hAnsi="Times New Roman" w:cs="Times New Roman"/>
                <w:sz w:val="24"/>
                <w:szCs w:val="24"/>
                <w:lang w:val="en-US" w:eastAsia="en-US"/>
              </w:rPr>
              <w:t xml:space="preserve">El Azhari et al. (2017), Ji et al. </w:t>
            </w:r>
            <w:r w:rsidRPr="004F0B58">
              <w:rPr>
                <w:rFonts w:ascii="Times New Roman" w:eastAsia="Calibri" w:hAnsi="Times New Roman" w:cs="Times New Roman"/>
                <w:sz w:val="24"/>
                <w:szCs w:val="24"/>
                <w:lang w:val="pt-BR" w:eastAsia="en-US"/>
              </w:rPr>
              <w:t>(2019), Vystavna et al. (2012)</w:t>
            </w:r>
          </w:p>
        </w:tc>
      </w:tr>
      <w:tr w:rsidR="004F0B58" w:rsidRPr="004F0B58" w14:paraId="5B529A38" w14:textId="77777777" w:rsidTr="00013B24">
        <w:tc>
          <w:tcPr>
            <w:tcW w:w="1276" w:type="dxa"/>
            <w:vMerge/>
            <w:tcBorders>
              <w:left w:val="nil"/>
              <w:right w:val="nil"/>
            </w:tcBorders>
            <w:shd w:val="clear" w:color="auto" w:fill="auto"/>
          </w:tcPr>
          <w:p w14:paraId="0AE5894E" w14:textId="77777777" w:rsidR="004F0B58" w:rsidRPr="004F0B58" w:rsidRDefault="004F0B58" w:rsidP="004F0B58">
            <w:pPr>
              <w:spacing w:after="160"/>
              <w:jc w:val="both"/>
              <w:rPr>
                <w:rFonts w:ascii="Times New Roman" w:eastAsia="Calibri" w:hAnsi="Times New Roman" w:cs="Times New Roman"/>
                <w:b/>
                <w:bCs/>
                <w:sz w:val="24"/>
                <w:szCs w:val="24"/>
                <w:lang w:val="en-US" w:eastAsia="en-US"/>
              </w:rPr>
            </w:pPr>
          </w:p>
        </w:tc>
        <w:tc>
          <w:tcPr>
            <w:tcW w:w="3402" w:type="dxa"/>
            <w:tcBorders>
              <w:top w:val="single" w:sz="4" w:space="0" w:color="auto"/>
              <w:left w:val="nil"/>
              <w:bottom w:val="single" w:sz="4" w:space="0" w:color="auto"/>
              <w:right w:val="nil"/>
            </w:tcBorders>
            <w:shd w:val="clear" w:color="auto" w:fill="auto"/>
            <w:vAlign w:val="center"/>
          </w:tcPr>
          <w:p w14:paraId="22D12A2A" w14:textId="01112711" w:rsidR="004F0B58" w:rsidRPr="004F0B58" w:rsidRDefault="00A41699" w:rsidP="004F0B58">
            <w:pPr>
              <w:spacing w:after="160"/>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Lithogenic origin</w:t>
            </w:r>
          </w:p>
        </w:tc>
        <w:tc>
          <w:tcPr>
            <w:tcW w:w="4394" w:type="dxa"/>
            <w:tcBorders>
              <w:top w:val="single" w:sz="4" w:space="0" w:color="auto"/>
              <w:left w:val="nil"/>
              <w:bottom w:val="single" w:sz="4" w:space="0" w:color="auto"/>
              <w:right w:val="nil"/>
            </w:tcBorders>
            <w:shd w:val="clear" w:color="auto" w:fill="auto"/>
            <w:vAlign w:val="center"/>
          </w:tcPr>
          <w:p w14:paraId="4D4B42E8" w14:textId="77777777" w:rsidR="004F0B58" w:rsidRPr="004F0B58" w:rsidRDefault="004F0B58" w:rsidP="004F0B58">
            <w:pPr>
              <w:spacing w:after="160"/>
              <w:rPr>
                <w:rFonts w:ascii="Times New Roman" w:eastAsia="Calibri" w:hAnsi="Times New Roman" w:cs="Times New Roman"/>
                <w:sz w:val="24"/>
                <w:szCs w:val="24"/>
                <w:lang w:val="en-US" w:eastAsia="en-US"/>
              </w:rPr>
            </w:pPr>
            <w:r w:rsidRPr="004F0B58">
              <w:rPr>
                <w:rFonts w:ascii="Times New Roman" w:eastAsia="Calibri" w:hAnsi="Times New Roman" w:cs="Times New Roman"/>
                <w:sz w:val="24"/>
                <w:szCs w:val="24"/>
                <w:lang w:val="en-US" w:eastAsia="en-US"/>
              </w:rPr>
              <w:t>Santos et al. (2020), Bouzekri et al. (2020)</w:t>
            </w:r>
          </w:p>
        </w:tc>
      </w:tr>
      <w:tr w:rsidR="004F0B58" w:rsidRPr="004F0B58" w14:paraId="1EEE8757" w14:textId="77777777" w:rsidTr="00013B24">
        <w:tc>
          <w:tcPr>
            <w:tcW w:w="1276" w:type="dxa"/>
            <w:vMerge/>
            <w:tcBorders>
              <w:left w:val="nil"/>
              <w:right w:val="nil"/>
            </w:tcBorders>
            <w:shd w:val="clear" w:color="auto" w:fill="auto"/>
          </w:tcPr>
          <w:p w14:paraId="0AF32B51" w14:textId="77777777" w:rsidR="004F0B58" w:rsidRPr="004F0B58" w:rsidRDefault="004F0B58" w:rsidP="004F0B58">
            <w:pPr>
              <w:spacing w:after="160"/>
              <w:jc w:val="both"/>
              <w:rPr>
                <w:rFonts w:ascii="Times New Roman" w:eastAsia="Calibri" w:hAnsi="Times New Roman" w:cs="Times New Roman"/>
                <w:b/>
                <w:bCs/>
                <w:sz w:val="24"/>
                <w:szCs w:val="24"/>
                <w:lang w:val="en-US" w:eastAsia="en-US"/>
              </w:rPr>
            </w:pPr>
          </w:p>
        </w:tc>
        <w:tc>
          <w:tcPr>
            <w:tcW w:w="3402" w:type="dxa"/>
            <w:tcBorders>
              <w:top w:val="single" w:sz="4" w:space="0" w:color="auto"/>
              <w:left w:val="nil"/>
              <w:bottom w:val="single" w:sz="4" w:space="0" w:color="auto"/>
              <w:right w:val="nil"/>
            </w:tcBorders>
            <w:shd w:val="clear" w:color="auto" w:fill="auto"/>
            <w:vAlign w:val="center"/>
          </w:tcPr>
          <w:p w14:paraId="2DD17527" w14:textId="069D8241" w:rsidR="004F0B58" w:rsidRPr="004F0B58" w:rsidRDefault="0075076F" w:rsidP="004F0B58">
            <w:pPr>
              <w:spacing w:after="160"/>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pt-BR" w:eastAsia="en-US"/>
              </w:rPr>
              <w:t>Unexplored mineral deposits</w:t>
            </w:r>
            <w:r w:rsidR="004F0B58" w:rsidRPr="004F0B58">
              <w:rPr>
                <w:rFonts w:ascii="Times New Roman" w:eastAsia="Calibri" w:hAnsi="Times New Roman" w:cs="Times New Roman"/>
                <w:sz w:val="24"/>
                <w:szCs w:val="24"/>
                <w:lang w:val="pt-BR" w:eastAsia="en-US"/>
              </w:rPr>
              <w:t xml:space="preserve"> </w:t>
            </w:r>
          </w:p>
        </w:tc>
        <w:tc>
          <w:tcPr>
            <w:tcW w:w="4394" w:type="dxa"/>
            <w:tcBorders>
              <w:top w:val="single" w:sz="4" w:space="0" w:color="auto"/>
              <w:left w:val="nil"/>
              <w:bottom w:val="single" w:sz="4" w:space="0" w:color="auto"/>
              <w:right w:val="nil"/>
            </w:tcBorders>
            <w:shd w:val="clear" w:color="auto" w:fill="auto"/>
            <w:vAlign w:val="center"/>
          </w:tcPr>
          <w:p w14:paraId="578831E2" w14:textId="77777777" w:rsidR="004F0B58" w:rsidRPr="004F0B58" w:rsidRDefault="004F0B58" w:rsidP="004F0B58">
            <w:pPr>
              <w:spacing w:after="160"/>
              <w:rPr>
                <w:rFonts w:ascii="Times New Roman" w:eastAsia="Calibri" w:hAnsi="Times New Roman" w:cs="Times New Roman"/>
                <w:sz w:val="24"/>
                <w:szCs w:val="24"/>
                <w:lang w:val="en-US" w:eastAsia="en-US"/>
              </w:rPr>
            </w:pPr>
            <w:r w:rsidRPr="004F0B58">
              <w:rPr>
                <w:rFonts w:ascii="Times New Roman" w:eastAsia="Calibri" w:hAnsi="Times New Roman" w:cs="Times New Roman"/>
                <w:sz w:val="24"/>
                <w:szCs w:val="24"/>
                <w:lang w:val="en-US" w:eastAsia="en-US"/>
              </w:rPr>
              <w:t>Qiao et al. (2020)</w:t>
            </w:r>
          </w:p>
        </w:tc>
      </w:tr>
      <w:tr w:rsidR="004F0B58" w:rsidRPr="004F0B58" w14:paraId="5B46BA42" w14:textId="77777777" w:rsidTr="00013B24">
        <w:tc>
          <w:tcPr>
            <w:tcW w:w="1276" w:type="dxa"/>
            <w:vMerge/>
            <w:tcBorders>
              <w:left w:val="nil"/>
              <w:bottom w:val="single" w:sz="12" w:space="0" w:color="auto"/>
              <w:right w:val="nil"/>
            </w:tcBorders>
            <w:shd w:val="clear" w:color="auto" w:fill="auto"/>
          </w:tcPr>
          <w:p w14:paraId="3FCADF16" w14:textId="77777777" w:rsidR="004F0B58" w:rsidRPr="004F0B58" w:rsidRDefault="004F0B58" w:rsidP="004F0B58">
            <w:pPr>
              <w:spacing w:after="160"/>
              <w:jc w:val="both"/>
              <w:rPr>
                <w:rFonts w:ascii="Times New Roman" w:eastAsia="Calibri" w:hAnsi="Times New Roman" w:cs="Times New Roman"/>
                <w:b/>
                <w:bCs/>
                <w:sz w:val="24"/>
                <w:szCs w:val="24"/>
                <w:lang w:val="en-US" w:eastAsia="en-US"/>
              </w:rPr>
            </w:pPr>
          </w:p>
        </w:tc>
        <w:tc>
          <w:tcPr>
            <w:tcW w:w="3402" w:type="dxa"/>
            <w:tcBorders>
              <w:top w:val="single" w:sz="4" w:space="0" w:color="auto"/>
              <w:left w:val="nil"/>
              <w:bottom w:val="single" w:sz="12" w:space="0" w:color="auto"/>
              <w:right w:val="nil"/>
            </w:tcBorders>
            <w:shd w:val="clear" w:color="auto" w:fill="auto"/>
            <w:vAlign w:val="center"/>
          </w:tcPr>
          <w:p w14:paraId="64DD1799" w14:textId="7A4E4486" w:rsidR="004F0B58" w:rsidRPr="004F0B58" w:rsidRDefault="0075076F" w:rsidP="004F0B58">
            <w:pPr>
              <w:spacing w:after="160"/>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Geothermal areas</w:t>
            </w:r>
          </w:p>
        </w:tc>
        <w:tc>
          <w:tcPr>
            <w:tcW w:w="4394" w:type="dxa"/>
            <w:tcBorders>
              <w:top w:val="single" w:sz="4" w:space="0" w:color="auto"/>
              <w:left w:val="nil"/>
              <w:bottom w:val="single" w:sz="12" w:space="0" w:color="auto"/>
              <w:right w:val="nil"/>
            </w:tcBorders>
            <w:shd w:val="clear" w:color="auto" w:fill="auto"/>
            <w:vAlign w:val="center"/>
          </w:tcPr>
          <w:p w14:paraId="10DF22CD" w14:textId="77777777" w:rsidR="004F0B58" w:rsidRPr="004F0B58" w:rsidRDefault="004F0B58" w:rsidP="004F0B58">
            <w:pPr>
              <w:spacing w:after="160"/>
              <w:jc w:val="both"/>
              <w:rPr>
                <w:rFonts w:ascii="Times New Roman" w:eastAsia="Calibri" w:hAnsi="Times New Roman" w:cs="Times New Roman"/>
                <w:sz w:val="24"/>
                <w:szCs w:val="24"/>
                <w:lang w:val="en-US" w:eastAsia="en-US"/>
              </w:rPr>
            </w:pPr>
            <w:r w:rsidRPr="004F0B58">
              <w:rPr>
                <w:rFonts w:ascii="Times New Roman" w:eastAsia="Calibri" w:hAnsi="Times New Roman" w:cs="Times New Roman"/>
                <w:sz w:val="24"/>
                <w:szCs w:val="24"/>
                <w:lang w:val="en-US" w:eastAsia="en-US"/>
              </w:rPr>
              <w:t>Shakeri et al. (2020)</w:t>
            </w:r>
          </w:p>
        </w:tc>
      </w:tr>
      <w:tr w:rsidR="004F0B58" w:rsidRPr="004F0B58" w14:paraId="149D7186" w14:textId="77777777" w:rsidTr="00013B24">
        <w:tc>
          <w:tcPr>
            <w:tcW w:w="1276" w:type="dxa"/>
            <w:tcBorders>
              <w:top w:val="single" w:sz="12" w:space="0" w:color="auto"/>
              <w:left w:val="nil"/>
              <w:right w:val="nil"/>
            </w:tcBorders>
            <w:vAlign w:val="center"/>
          </w:tcPr>
          <w:p w14:paraId="43646120" w14:textId="77777777" w:rsidR="004F0B58" w:rsidRPr="004F0B58" w:rsidRDefault="004F0B58" w:rsidP="004F0B58">
            <w:pPr>
              <w:spacing w:after="160"/>
              <w:jc w:val="center"/>
              <w:rPr>
                <w:rFonts w:ascii="Times New Roman" w:eastAsia="Calibri" w:hAnsi="Times New Roman" w:cs="Times New Roman"/>
                <w:b/>
                <w:bCs/>
                <w:sz w:val="24"/>
                <w:szCs w:val="24"/>
                <w:lang w:val="pt-BR" w:eastAsia="en-US"/>
              </w:rPr>
            </w:pPr>
            <w:r w:rsidRPr="004F0B58">
              <w:rPr>
                <w:rFonts w:ascii="Times New Roman" w:eastAsia="Calibri" w:hAnsi="Times New Roman" w:cs="Times New Roman"/>
                <w:b/>
                <w:bCs/>
                <w:sz w:val="24"/>
                <w:szCs w:val="24"/>
                <w:lang w:val="pt-BR" w:eastAsia="en-US"/>
              </w:rPr>
              <w:t>Ba</w:t>
            </w:r>
          </w:p>
        </w:tc>
        <w:tc>
          <w:tcPr>
            <w:tcW w:w="3402" w:type="dxa"/>
            <w:tcBorders>
              <w:top w:val="single" w:sz="12" w:space="0" w:color="auto"/>
              <w:left w:val="nil"/>
              <w:bottom w:val="single" w:sz="4" w:space="0" w:color="auto"/>
              <w:right w:val="nil"/>
            </w:tcBorders>
            <w:shd w:val="clear" w:color="auto" w:fill="auto"/>
            <w:vAlign w:val="center"/>
          </w:tcPr>
          <w:p w14:paraId="7CEED8B8" w14:textId="328A2345" w:rsidR="004F0B58" w:rsidRPr="004F0B58" w:rsidRDefault="00A41699" w:rsidP="004F0B58">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Geogenic origin</w:t>
            </w:r>
          </w:p>
        </w:tc>
        <w:tc>
          <w:tcPr>
            <w:tcW w:w="4394" w:type="dxa"/>
            <w:tcBorders>
              <w:top w:val="single" w:sz="12" w:space="0" w:color="auto"/>
              <w:left w:val="nil"/>
              <w:bottom w:val="single" w:sz="4" w:space="0" w:color="auto"/>
              <w:right w:val="nil"/>
            </w:tcBorders>
            <w:shd w:val="clear" w:color="auto" w:fill="auto"/>
            <w:vAlign w:val="center"/>
          </w:tcPr>
          <w:p w14:paraId="71FD11B6" w14:textId="77777777" w:rsidR="004F0B58" w:rsidRPr="004F0B58" w:rsidRDefault="004F0B58" w:rsidP="004F0B58">
            <w:pPr>
              <w:spacing w:after="160"/>
              <w:jc w:val="both"/>
              <w:rPr>
                <w:rFonts w:ascii="Times New Roman" w:eastAsia="Calibri" w:hAnsi="Times New Roman" w:cs="Times New Roman"/>
                <w:sz w:val="24"/>
                <w:szCs w:val="24"/>
                <w:lang w:val="en-US" w:eastAsia="en-US"/>
              </w:rPr>
            </w:pPr>
            <w:r w:rsidRPr="004F0B58">
              <w:rPr>
                <w:rFonts w:ascii="Times New Roman" w:eastAsia="Calibri" w:hAnsi="Times New Roman" w:cs="Times New Roman"/>
                <w:sz w:val="24"/>
                <w:szCs w:val="24"/>
                <w:lang w:val="en-US" w:eastAsia="en-US"/>
              </w:rPr>
              <w:t>Chaparro et al. (2020)</w:t>
            </w:r>
          </w:p>
        </w:tc>
      </w:tr>
      <w:tr w:rsidR="004F0B58" w:rsidRPr="004F0B58" w14:paraId="75C351BA" w14:textId="77777777" w:rsidTr="00013B24">
        <w:tc>
          <w:tcPr>
            <w:tcW w:w="1276" w:type="dxa"/>
            <w:vMerge w:val="restart"/>
            <w:tcBorders>
              <w:top w:val="single" w:sz="12" w:space="0" w:color="auto"/>
              <w:left w:val="nil"/>
              <w:right w:val="nil"/>
            </w:tcBorders>
            <w:vAlign w:val="center"/>
          </w:tcPr>
          <w:p w14:paraId="7718E5A3" w14:textId="77777777" w:rsidR="004F0B58" w:rsidRPr="004F0B58" w:rsidRDefault="004F0B58" w:rsidP="004F0B58">
            <w:pPr>
              <w:spacing w:after="160"/>
              <w:jc w:val="center"/>
              <w:rPr>
                <w:rFonts w:ascii="Times New Roman" w:eastAsia="Calibri" w:hAnsi="Times New Roman" w:cs="Times New Roman"/>
                <w:b/>
                <w:bCs/>
                <w:sz w:val="24"/>
                <w:szCs w:val="24"/>
                <w:lang w:val="pt-BR" w:eastAsia="en-US"/>
              </w:rPr>
            </w:pPr>
            <w:r w:rsidRPr="004F0B58">
              <w:rPr>
                <w:rFonts w:ascii="Times New Roman" w:eastAsia="Calibri" w:hAnsi="Times New Roman" w:cs="Times New Roman"/>
                <w:b/>
                <w:bCs/>
                <w:sz w:val="24"/>
                <w:szCs w:val="24"/>
                <w:lang w:val="pt-BR" w:eastAsia="en-US"/>
              </w:rPr>
              <w:t>Cd</w:t>
            </w:r>
          </w:p>
        </w:tc>
        <w:tc>
          <w:tcPr>
            <w:tcW w:w="3402" w:type="dxa"/>
            <w:tcBorders>
              <w:top w:val="single" w:sz="12" w:space="0" w:color="auto"/>
              <w:left w:val="nil"/>
              <w:bottom w:val="single" w:sz="4" w:space="0" w:color="auto"/>
              <w:right w:val="nil"/>
            </w:tcBorders>
            <w:shd w:val="clear" w:color="auto" w:fill="auto"/>
            <w:vAlign w:val="center"/>
          </w:tcPr>
          <w:p w14:paraId="112E94C1" w14:textId="03C98F71" w:rsidR="004F0B58" w:rsidRPr="004F0B58" w:rsidRDefault="00A41699" w:rsidP="004F0B58">
            <w:pPr>
              <w:spacing w:after="160"/>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pt-BR" w:eastAsia="en-US"/>
              </w:rPr>
              <w:t>Weathering of rocks</w:t>
            </w:r>
          </w:p>
        </w:tc>
        <w:tc>
          <w:tcPr>
            <w:tcW w:w="4394" w:type="dxa"/>
            <w:tcBorders>
              <w:top w:val="single" w:sz="12" w:space="0" w:color="auto"/>
              <w:left w:val="nil"/>
              <w:bottom w:val="single" w:sz="4" w:space="0" w:color="auto"/>
              <w:right w:val="nil"/>
            </w:tcBorders>
            <w:shd w:val="clear" w:color="auto" w:fill="auto"/>
            <w:vAlign w:val="center"/>
          </w:tcPr>
          <w:p w14:paraId="430D7160" w14:textId="77777777" w:rsidR="004F0B58" w:rsidRPr="004F0B58" w:rsidRDefault="004F0B58" w:rsidP="004F0B58">
            <w:pPr>
              <w:spacing w:after="160"/>
              <w:jc w:val="both"/>
              <w:rPr>
                <w:rFonts w:ascii="Times New Roman" w:eastAsia="Calibri" w:hAnsi="Times New Roman" w:cs="Times New Roman"/>
                <w:sz w:val="24"/>
                <w:szCs w:val="24"/>
                <w:lang w:val="en-US" w:eastAsia="en-US"/>
              </w:rPr>
            </w:pPr>
            <w:r w:rsidRPr="004F0B58">
              <w:rPr>
                <w:rFonts w:ascii="Times New Roman" w:eastAsia="Calibri" w:hAnsi="Times New Roman" w:cs="Times New Roman"/>
                <w:sz w:val="24"/>
                <w:szCs w:val="24"/>
                <w:lang w:val="en-US" w:eastAsia="en-US"/>
              </w:rPr>
              <w:t>Huang et al. (2020), Xiao et al. (2019), Ahmad et al. (2020), Munk; Faure (2004)</w:t>
            </w:r>
          </w:p>
        </w:tc>
      </w:tr>
      <w:tr w:rsidR="004F0B58" w:rsidRPr="004F0B58" w14:paraId="454C8C79" w14:textId="77777777" w:rsidTr="00013B24">
        <w:tc>
          <w:tcPr>
            <w:tcW w:w="1276" w:type="dxa"/>
            <w:vMerge/>
            <w:tcBorders>
              <w:left w:val="nil"/>
              <w:right w:val="nil"/>
            </w:tcBorders>
          </w:tcPr>
          <w:p w14:paraId="61235550" w14:textId="77777777" w:rsidR="004F0B58" w:rsidRPr="004F0B58" w:rsidRDefault="004F0B58" w:rsidP="004F0B58">
            <w:pPr>
              <w:spacing w:after="160"/>
              <w:jc w:val="both"/>
              <w:rPr>
                <w:rFonts w:ascii="Times New Roman" w:eastAsia="Calibri" w:hAnsi="Times New Roman" w:cs="Times New Roman"/>
                <w:b/>
                <w:bCs/>
                <w:sz w:val="24"/>
                <w:szCs w:val="24"/>
                <w:lang w:val="en-US" w:eastAsia="en-US"/>
              </w:rPr>
            </w:pPr>
          </w:p>
        </w:tc>
        <w:tc>
          <w:tcPr>
            <w:tcW w:w="3402" w:type="dxa"/>
            <w:tcBorders>
              <w:top w:val="single" w:sz="4" w:space="0" w:color="auto"/>
              <w:left w:val="nil"/>
              <w:bottom w:val="single" w:sz="4" w:space="0" w:color="auto"/>
              <w:right w:val="nil"/>
            </w:tcBorders>
            <w:shd w:val="clear" w:color="auto" w:fill="auto"/>
            <w:vAlign w:val="center"/>
          </w:tcPr>
          <w:p w14:paraId="238CCAEF" w14:textId="2AAF64F7" w:rsidR="004F0B58" w:rsidRPr="004F0B58" w:rsidRDefault="00A41699" w:rsidP="004F0B58">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Geogenic origin</w:t>
            </w:r>
          </w:p>
        </w:tc>
        <w:tc>
          <w:tcPr>
            <w:tcW w:w="4394" w:type="dxa"/>
            <w:tcBorders>
              <w:top w:val="single" w:sz="4" w:space="0" w:color="auto"/>
              <w:left w:val="nil"/>
              <w:bottom w:val="single" w:sz="4" w:space="0" w:color="auto"/>
              <w:right w:val="nil"/>
            </w:tcBorders>
            <w:shd w:val="clear" w:color="auto" w:fill="auto"/>
            <w:vAlign w:val="center"/>
          </w:tcPr>
          <w:p w14:paraId="6B5209BD" w14:textId="77777777" w:rsidR="004F0B58" w:rsidRPr="004F0B58" w:rsidRDefault="004F0B58" w:rsidP="004F0B58">
            <w:pPr>
              <w:spacing w:after="160"/>
              <w:rPr>
                <w:rFonts w:ascii="Times New Roman" w:eastAsia="Calibri" w:hAnsi="Times New Roman" w:cs="Times New Roman"/>
                <w:sz w:val="24"/>
                <w:szCs w:val="24"/>
                <w:lang w:val="en-US" w:eastAsia="en-US"/>
              </w:rPr>
            </w:pPr>
            <w:r w:rsidRPr="004F0B58">
              <w:rPr>
                <w:rFonts w:ascii="Times New Roman" w:eastAsia="Calibri" w:hAnsi="Times New Roman" w:cs="Times New Roman"/>
                <w:sz w:val="24"/>
                <w:szCs w:val="24"/>
                <w:lang w:val="en-US" w:eastAsia="en-US"/>
              </w:rPr>
              <w:t>El Azhari et al. (2017)</w:t>
            </w:r>
          </w:p>
        </w:tc>
      </w:tr>
      <w:tr w:rsidR="004F0B58" w:rsidRPr="004F0B58" w14:paraId="3AE2A551" w14:textId="77777777" w:rsidTr="00013B24">
        <w:tc>
          <w:tcPr>
            <w:tcW w:w="1276" w:type="dxa"/>
            <w:vMerge/>
            <w:tcBorders>
              <w:left w:val="nil"/>
              <w:right w:val="nil"/>
            </w:tcBorders>
          </w:tcPr>
          <w:p w14:paraId="24B5DEB1" w14:textId="77777777" w:rsidR="004F0B58" w:rsidRPr="004F0B58" w:rsidRDefault="004F0B58" w:rsidP="004F0B58">
            <w:pPr>
              <w:spacing w:after="160"/>
              <w:jc w:val="both"/>
              <w:rPr>
                <w:rFonts w:ascii="Times New Roman" w:eastAsia="Calibri" w:hAnsi="Times New Roman" w:cs="Times New Roman"/>
                <w:b/>
                <w:bCs/>
                <w:sz w:val="24"/>
                <w:szCs w:val="24"/>
                <w:lang w:val="en-US" w:eastAsia="en-US"/>
              </w:rPr>
            </w:pPr>
          </w:p>
        </w:tc>
        <w:tc>
          <w:tcPr>
            <w:tcW w:w="3402" w:type="dxa"/>
            <w:tcBorders>
              <w:top w:val="single" w:sz="4" w:space="0" w:color="auto"/>
              <w:left w:val="nil"/>
              <w:bottom w:val="single" w:sz="4" w:space="0" w:color="auto"/>
              <w:right w:val="nil"/>
            </w:tcBorders>
            <w:shd w:val="clear" w:color="auto" w:fill="auto"/>
            <w:vAlign w:val="center"/>
          </w:tcPr>
          <w:p w14:paraId="702CF2E1" w14:textId="7D36D8A4" w:rsidR="004F0B58" w:rsidRPr="004F0B58" w:rsidRDefault="00A41699" w:rsidP="004F0B58">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Soil composition</w:t>
            </w:r>
          </w:p>
        </w:tc>
        <w:tc>
          <w:tcPr>
            <w:tcW w:w="4394" w:type="dxa"/>
            <w:tcBorders>
              <w:top w:val="single" w:sz="4" w:space="0" w:color="auto"/>
              <w:left w:val="nil"/>
              <w:bottom w:val="single" w:sz="4" w:space="0" w:color="auto"/>
              <w:right w:val="nil"/>
            </w:tcBorders>
            <w:shd w:val="clear" w:color="auto" w:fill="auto"/>
            <w:vAlign w:val="center"/>
          </w:tcPr>
          <w:p w14:paraId="076EA5FE" w14:textId="77777777" w:rsidR="004F0B58" w:rsidRPr="004F0B58" w:rsidRDefault="004F0B58" w:rsidP="004F0B58">
            <w:pPr>
              <w:spacing w:after="160"/>
              <w:jc w:val="both"/>
              <w:rPr>
                <w:rFonts w:ascii="Times New Roman" w:eastAsia="Calibri" w:hAnsi="Times New Roman" w:cs="Times New Roman"/>
                <w:sz w:val="24"/>
                <w:szCs w:val="24"/>
                <w:lang w:val="en-US" w:eastAsia="en-US"/>
              </w:rPr>
            </w:pPr>
            <w:r w:rsidRPr="004F0B58">
              <w:rPr>
                <w:rFonts w:ascii="Times New Roman" w:eastAsia="Calibri" w:hAnsi="Times New Roman" w:cs="Times New Roman"/>
                <w:sz w:val="24"/>
                <w:szCs w:val="24"/>
                <w:lang w:val="pt-BR" w:eastAsia="en-US"/>
              </w:rPr>
              <w:t>Hu et al. (2020)</w:t>
            </w:r>
          </w:p>
        </w:tc>
      </w:tr>
      <w:tr w:rsidR="004F0B58" w:rsidRPr="004F0B58" w14:paraId="0CB5D170" w14:textId="77777777" w:rsidTr="00013B24">
        <w:tc>
          <w:tcPr>
            <w:tcW w:w="1276" w:type="dxa"/>
            <w:vMerge/>
            <w:tcBorders>
              <w:left w:val="nil"/>
              <w:right w:val="nil"/>
            </w:tcBorders>
          </w:tcPr>
          <w:p w14:paraId="23ECD611" w14:textId="77777777" w:rsidR="004F0B58" w:rsidRPr="004F0B58" w:rsidRDefault="004F0B58" w:rsidP="004F0B58">
            <w:pPr>
              <w:spacing w:after="160"/>
              <w:jc w:val="both"/>
              <w:rPr>
                <w:rFonts w:ascii="Times New Roman" w:eastAsia="Calibri" w:hAnsi="Times New Roman" w:cs="Times New Roman"/>
                <w:b/>
                <w:bCs/>
                <w:sz w:val="24"/>
                <w:szCs w:val="24"/>
                <w:lang w:val="en-US" w:eastAsia="en-US"/>
              </w:rPr>
            </w:pPr>
          </w:p>
        </w:tc>
        <w:tc>
          <w:tcPr>
            <w:tcW w:w="3402" w:type="dxa"/>
            <w:tcBorders>
              <w:top w:val="single" w:sz="4" w:space="0" w:color="auto"/>
              <w:left w:val="nil"/>
              <w:bottom w:val="single" w:sz="4" w:space="0" w:color="auto"/>
              <w:right w:val="nil"/>
            </w:tcBorders>
            <w:shd w:val="clear" w:color="auto" w:fill="auto"/>
            <w:vAlign w:val="center"/>
          </w:tcPr>
          <w:p w14:paraId="4FDD0226" w14:textId="7C387180" w:rsidR="004F0B58" w:rsidRPr="004F0B58" w:rsidRDefault="0075076F" w:rsidP="004F0B58">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Unexplored mineral deposits</w:t>
            </w:r>
            <w:r w:rsidR="004F0B58" w:rsidRPr="004F0B58">
              <w:rPr>
                <w:rFonts w:ascii="Times New Roman" w:eastAsia="Calibri" w:hAnsi="Times New Roman" w:cs="Times New Roman"/>
                <w:sz w:val="24"/>
                <w:szCs w:val="24"/>
                <w:lang w:val="pt-BR" w:eastAsia="en-US"/>
              </w:rPr>
              <w:t xml:space="preserve"> </w:t>
            </w:r>
          </w:p>
        </w:tc>
        <w:tc>
          <w:tcPr>
            <w:tcW w:w="4394" w:type="dxa"/>
            <w:tcBorders>
              <w:top w:val="single" w:sz="4" w:space="0" w:color="auto"/>
              <w:left w:val="nil"/>
              <w:bottom w:val="single" w:sz="4" w:space="0" w:color="auto"/>
              <w:right w:val="nil"/>
            </w:tcBorders>
            <w:shd w:val="clear" w:color="auto" w:fill="auto"/>
            <w:vAlign w:val="center"/>
          </w:tcPr>
          <w:p w14:paraId="6CA83994" w14:textId="77777777" w:rsidR="004F0B58" w:rsidRPr="004F0B58" w:rsidRDefault="004F0B58" w:rsidP="004F0B58">
            <w:pPr>
              <w:spacing w:after="160"/>
              <w:jc w:val="both"/>
              <w:rPr>
                <w:rFonts w:ascii="Times New Roman" w:eastAsia="Calibri" w:hAnsi="Times New Roman" w:cs="Times New Roman"/>
                <w:sz w:val="24"/>
                <w:szCs w:val="24"/>
                <w:lang w:val="en-US" w:eastAsia="en-US"/>
              </w:rPr>
            </w:pPr>
            <w:r w:rsidRPr="004F0B58">
              <w:rPr>
                <w:rFonts w:ascii="Times New Roman" w:eastAsia="Calibri" w:hAnsi="Times New Roman" w:cs="Times New Roman"/>
                <w:sz w:val="24"/>
                <w:szCs w:val="24"/>
                <w:lang w:val="pt-BR" w:eastAsia="en-US"/>
              </w:rPr>
              <w:t>Qiao et al. (2020)</w:t>
            </w:r>
          </w:p>
        </w:tc>
      </w:tr>
      <w:tr w:rsidR="004F0B58" w:rsidRPr="004F0B58" w14:paraId="3E6BD71A" w14:textId="77777777" w:rsidTr="00013B24">
        <w:tc>
          <w:tcPr>
            <w:tcW w:w="1276" w:type="dxa"/>
            <w:vMerge w:val="restart"/>
            <w:tcBorders>
              <w:top w:val="single" w:sz="12" w:space="0" w:color="auto"/>
              <w:left w:val="nil"/>
              <w:right w:val="nil"/>
            </w:tcBorders>
            <w:shd w:val="clear" w:color="auto" w:fill="auto"/>
            <w:vAlign w:val="center"/>
          </w:tcPr>
          <w:p w14:paraId="3630741B" w14:textId="77777777" w:rsidR="004F0B58" w:rsidRPr="004F0B58" w:rsidRDefault="004F0B58" w:rsidP="004F0B58">
            <w:pPr>
              <w:spacing w:after="160"/>
              <w:jc w:val="center"/>
              <w:rPr>
                <w:rFonts w:ascii="Times New Roman" w:eastAsia="Calibri" w:hAnsi="Times New Roman" w:cs="Times New Roman"/>
                <w:b/>
                <w:bCs/>
                <w:sz w:val="24"/>
                <w:szCs w:val="24"/>
                <w:lang w:val="pt-BR" w:eastAsia="en-US"/>
              </w:rPr>
            </w:pPr>
            <w:r w:rsidRPr="004F0B58">
              <w:rPr>
                <w:rFonts w:ascii="Times New Roman" w:eastAsia="Calibri" w:hAnsi="Times New Roman" w:cs="Times New Roman"/>
                <w:b/>
                <w:bCs/>
                <w:sz w:val="24"/>
                <w:szCs w:val="24"/>
                <w:lang w:val="pt-BR" w:eastAsia="en-US"/>
              </w:rPr>
              <w:t>Co</w:t>
            </w:r>
          </w:p>
        </w:tc>
        <w:tc>
          <w:tcPr>
            <w:tcW w:w="3402" w:type="dxa"/>
            <w:tcBorders>
              <w:top w:val="single" w:sz="12" w:space="0" w:color="auto"/>
              <w:left w:val="nil"/>
              <w:bottom w:val="single" w:sz="4" w:space="0" w:color="auto"/>
              <w:right w:val="nil"/>
            </w:tcBorders>
            <w:shd w:val="clear" w:color="auto" w:fill="auto"/>
            <w:vAlign w:val="center"/>
          </w:tcPr>
          <w:p w14:paraId="7BE2EF0B" w14:textId="546066BB" w:rsidR="004F0B58" w:rsidRPr="004F0B58" w:rsidRDefault="00A41699" w:rsidP="004F0B58">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Weathering of rocks</w:t>
            </w:r>
            <w:r w:rsidR="004F0B58" w:rsidRPr="004F0B58">
              <w:rPr>
                <w:rFonts w:ascii="Times New Roman" w:eastAsia="Calibri" w:hAnsi="Times New Roman" w:cs="Times New Roman"/>
                <w:sz w:val="24"/>
                <w:szCs w:val="24"/>
                <w:lang w:val="pt-BR" w:eastAsia="en-US"/>
              </w:rPr>
              <w:t xml:space="preserve"> </w:t>
            </w:r>
          </w:p>
        </w:tc>
        <w:tc>
          <w:tcPr>
            <w:tcW w:w="4394" w:type="dxa"/>
            <w:tcBorders>
              <w:top w:val="single" w:sz="12" w:space="0" w:color="auto"/>
              <w:left w:val="nil"/>
              <w:bottom w:val="single" w:sz="4" w:space="0" w:color="auto"/>
              <w:right w:val="nil"/>
            </w:tcBorders>
            <w:shd w:val="clear" w:color="auto" w:fill="auto"/>
            <w:vAlign w:val="center"/>
          </w:tcPr>
          <w:p w14:paraId="4BF984E3" w14:textId="77777777" w:rsidR="004F0B58" w:rsidRPr="004F0B58" w:rsidRDefault="004F0B58" w:rsidP="004F0B58">
            <w:pPr>
              <w:spacing w:after="160"/>
              <w:jc w:val="both"/>
              <w:rPr>
                <w:rFonts w:ascii="Times New Roman" w:eastAsia="Calibri" w:hAnsi="Times New Roman" w:cs="Times New Roman"/>
                <w:sz w:val="24"/>
                <w:szCs w:val="24"/>
                <w:lang w:val="en-US" w:eastAsia="en-US"/>
              </w:rPr>
            </w:pPr>
            <w:r w:rsidRPr="004F0B58">
              <w:rPr>
                <w:rFonts w:ascii="Times New Roman" w:eastAsia="Calibri" w:hAnsi="Times New Roman" w:cs="Times New Roman"/>
                <w:sz w:val="24"/>
                <w:szCs w:val="24"/>
                <w:lang w:val="en-US" w:eastAsia="en-US"/>
              </w:rPr>
              <w:t>Li et al. (2020), Huang et al. (2020b), Ahmad et al. (2020)</w:t>
            </w:r>
          </w:p>
        </w:tc>
      </w:tr>
      <w:tr w:rsidR="004F0B58" w:rsidRPr="004F0B58" w14:paraId="60EE39FE" w14:textId="77777777" w:rsidTr="00013B24">
        <w:tc>
          <w:tcPr>
            <w:tcW w:w="1276" w:type="dxa"/>
            <w:vMerge/>
            <w:tcBorders>
              <w:left w:val="nil"/>
              <w:right w:val="nil"/>
            </w:tcBorders>
            <w:shd w:val="clear" w:color="auto" w:fill="auto"/>
          </w:tcPr>
          <w:p w14:paraId="4A27C3BB" w14:textId="77777777" w:rsidR="004F0B58" w:rsidRPr="004F0B58" w:rsidRDefault="004F0B58" w:rsidP="004F0B58">
            <w:pPr>
              <w:spacing w:after="160"/>
              <w:jc w:val="both"/>
              <w:rPr>
                <w:rFonts w:ascii="Times New Roman" w:eastAsia="Calibri" w:hAnsi="Times New Roman" w:cs="Times New Roman"/>
                <w:b/>
                <w:bCs/>
                <w:sz w:val="24"/>
                <w:szCs w:val="24"/>
                <w:lang w:val="pt-BR" w:eastAsia="en-US"/>
              </w:rPr>
            </w:pPr>
          </w:p>
        </w:tc>
        <w:tc>
          <w:tcPr>
            <w:tcW w:w="3402" w:type="dxa"/>
            <w:tcBorders>
              <w:top w:val="single" w:sz="4" w:space="0" w:color="auto"/>
              <w:left w:val="nil"/>
              <w:bottom w:val="single" w:sz="4" w:space="0" w:color="auto"/>
              <w:right w:val="nil"/>
            </w:tcBorders>
            <w:shd w:val="clear" w:color="auto" w:fill="auto"/>
            <w:vAlign w:val="center"/>
          </w:tcPr>
          <w:p w14:paraId="728CBB1E" w14:textId="02589BC1" w:rsidR="004F0B58" w:rsidRPr="004F0B58" w:rsidRDefault="00A41699" w:rsidP="004F0B58">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Soil composition</w:t>
            </w:r>
          </w:p>
        </w:tc>
        <w:tc>
          <w:tcPr>
            <w:tcW w:w="4394" w:type="dxa"/>
            <w:tcBorders>
              <w:top w:val="single" w:sz="4" w:space="0" w:color="auto"/>
              <w:left w:val="nil"/>
              <w:bottom w:val="single" w:sz="4" w:space="0" w:color="auto"/>
              <w:right w:val="nil"/>
            </w:tcBorders>
            <w:shd w:val="clear" w:color="auto" w:fill="auto"/>
            <w:vAlign w:val="center"/>
          </w:tcPr>
          <w:p w14:paraId="1BF3541A" w14:textId="77777777" w:rsidR="004F0B58" w:rsidRPr="004F0B58" w:rsidRDefault="004F0B58" w:rsidP="004F0B58">
            <w:pPr>
              <w:spacing w:after="160"/>
              <w:jc w:val="both"/>
              <w:rPr>
                <w:rFonts w:ascii="Times New Roman" w:eastAsia="Calibri" w:hAnsi="Times New Roman" w:cs="Times New Roman"/>
                <w:sz w:val="24"/>
                <w:szCs w:val="24"/>
                <w:lang w:val="en-US" w:eastAsia="en-US"/>
              </w:rPr>
            </w:pPr>
            <w:r w:rsidRPr="004F0B58">
              <w:rPr>
                <w:rFonts w:ascii="Times New Roman" w:eastAsia="Calibri" w:hAnsi="Times New Roman" w:cs="Times New Roman"/>
                <w:sz w:val="24"/>
                <w:szCs w:val="24"/>
                <w:lang w:val="pt-BR" w:eastAsia="en-US"/>
              </w:rPr>
              <w:t>Sheykhi et al. (2017)</w:t>
            </w:r>
          </w:p>
        </w:tc>
      </w:tr>
      <w:tr w:rsidR="004F0B58" w:rsidRPr="004F0B58" w14:paraId="4FA34A8A" w14:textId="77777777" w:rsidTr="00013B24">
        <w:tc>
          <w:tcPr>
            <w:tcW w:w="1276" w:type="dxa"/>
            <w:vMerge/>
            <w:tcBorders>
              <w:left w:val="nil"/>
              <w:bottom w:val="single" w:sz="12" w:space="0" w:color="auto"/>
              <w:right w:val="nil"/>
            </w:tcBorders>
            <w:shd w:val="clear" w:color="auto" w:fill="auto"/>
          </w:tcPr>
          <w:p w14:paraId="2E33A93B" w14:textId="77777777" w:rsidR="004F0B58" w:rsidRPr="004F0B58" w:rsidRDefault="004F0B58" w:rsidP="004F0B58">
            <w:pPr>
              <w:spacing w:after="160"/>
              <w:jc w:val="both"/>
              <w:rPr>
                <w:rFonts w:ascii="Times New Roman" w:eastAsia="Calibri" w:hAnsi="Times New Roman" w:cs="Times New Roman"/>
                <w:b/>
                <w:bCs/>
                <w:sz w:val="24"/>
                <w:szCs w:val="24"/>
                <w:lang w:val="pt-BR" w:eastAsia="en-US"/>
              </w:rPr>
            </w:pPr>
          </w:p>
        </w:tc>
        <w:tc>
          <w:tcPr>
            <w:tcW w:w="3402" w:type="dxa"/>
            <w:tcBorders>
              <w:top w:val="single" w:sz="4" w:space="0" w:color="auto"/>
              <w:left w:val="nil"/>
              <w:bottom w:val="single" w:sz="12" w:space="0" w:color="auto"/>
              <w:right w:val="nil"/>
            </w:tcBorders>
            <w:shd w:val="clear" w:color="auto" w:fill="auto"/>
            <w:vAlign w:val="center"/>
          </w:tcPr>
          <w:p w14:paraId="0EEFFBC0" w14:textId="7BAF2CB7" w:rsidR="004F0B58" w:rsidRPr="004F0B58" w:rsidRDefault="00A41699" w:rsidP="004F0B58">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Geogenic origin</w:t>
            </w:r>
          </w:p>
        </w:tc>
        <w:tc>
          <w:tcPr>
            <w:tcW w:w="4394" w:type="dxa"/>
            <w:tcBorders>
              <w:top w:val="single" w:sz="4" w:space="0" w:color="auto"/>
              <w:left w:val="nil"/>
              <w:bottom w:val="single" w:sz="12" w:space="0" w:color="auto"/>
              <w:right w:val="nil"/>
            </w:tcBorders>
            <w:shd w:val="clear" w:color="auto" w:fill="auto"/>
            <w:vAlign w:val="center"/>
          </w:tcPr>
          <w:p w14:paraId="2799BAE2" w14:textId="77777777" w:rsidR="004F0B58" w:rsidRPr="004F0B58" w:rsidRDefault="004F0B58" w:rsidP="004F0B58">
            <w:pPr>
              <w:spacing w:after="160"/>
              <w:jc w:val="both"/>
              <w:rPr>
                <w:rFonts w:ascii="Times New Roman" w:eastAsia="Calibri" w:hAnsi="Times New Roman" w:cs="Times New Roman"/>
                <w:sz w:val="24"/>
                <w:szCs w:val="24"/>
                <w:lang w:val="en-US" w:eastAsia="en-US"/>
              </w:rPr>
            </w:pPr>
            <w:r w:rsidRPr="004F0B58">
              <w:rPr>
                <w:rFonts w:ascii="Times New Roman" w:eastAsia="Calibri" w:hAnsi="Times New Roman" w:cs="Times New Roman"/>
                <w:sz w:val="24"/>
                <w:szCs w:val="24"/>
                <w:lang w:val="pt-BR" w:eastAsia="en-US"/>
              </w:rPr>
              <w:t>Vystavna et al. (2012)</w:t>
            </w:r>
          </w:p>
        </w:tc>
      </w:tr>
      <w:tr w:rsidR="004F0B58" w:rsidRPr="004F0B58" w14:paraId="5B0A5E67" w14:textId="77777777" w:rsidTr="00013B24">
        <w:tc>
          <w:tcPr>
            <w:tcW w:w="1276" w:type="dxa"/>
            <w:vMerge w:val="restart"/>
            <w:tcBorders>
              <w:top w:val="single" w:sz="12" w:space="0" w:color="auto"/>
              <w:left w:val="nil"/>
              <w:right w:val="nil"/>
            </w:tcBorders>
            <w:shd w:val="clear" w:color="auto" w:fill="auto"/>
            <w:vAlign w:val="center"/>
          </w:tcPr>
          <w:p w14:paraId="466F7330" w14:textId="77777777" w:rsidR="004F0B58" w:rsidRPr="004F0B58" w:rsidRDefault="004F0B58" w:rsidP="004F0B58">
            <w:pPr>
              <w:spacing w:after="160"/>
              <w:jc w:val="center"/>
              <w:rPr>
                <w:rFonts w:ascii="Times New Roman" w:eastAsia="Calibri" w:hAnsi="Times New Roman" w:cs="Times New Roman"/>
                <w:b/>
                <w:bCs/>
                <w:sz w:val="24"/>
                <w:szCs w:val="24"/>
                <w:lang w:val="pt-BR" w:eastAsia="en-US"/>
              </w:rPr>
            </w:pPr>
            <w:r w:rsidRPr="004F0B58">
              <w:rPr>
                <w:rFonts w:ascii="Times New Roman" w:eastAsia="Calibri" w:hAnsi="Times New Roman" w:cs="Times New Roman"/>
                <w:b/>
                <w:bCs/>
                <w:sz w:val="24"/>
                <w:szCs w:val="24"/>
                <w:lang w:val="pt-BR" w:eastAsia="en-US"/>
              </w:rPr>
              <w:t>Cr</w:t>
            </w:r>
          </w:p>
        </w:tc>
        <w:tc>
          <w:tcPr>
            <w:tcW w:w="3402" w:type="dxa"/>
            <w:tcBorders>
              <w:top w:val="single" w:sz="4" w:space="0" w:color="808080"/>
              <w:left w:val="nil"/>
              <w:bottom w:val="single" w:sz="4" w:space="0" w:color="auto"/>
              <w:right w:val="nil"/>
            </w:tcBorders>
            <w:shd w:val="clear" w:color="auto" w:fill="auto"/>
            <w:vAlign w:val="center"/>
          </w:tcPr>
          <w:p w14:paraId="3CA2D739" w14:textId="102F8A31" w:rsidR="004F0B58" w:rsidRPr="004F0B58" w:rsidRDefault="00A41699" w:rsidP="004F0B58">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Weathering of rocks</w:t>
            </w:r>
          </w:p>
        </w:tc>
        <w:tc>
          <w:tcPr>
            <w:tcW w:w="4394" w:type="dxa"/>
            <w:tcBorders>
              <w:top w:val="single" w:sz="4" w:space="0" w:color="808080"/>
              <w:left w:val="nil"/>
              <w:bottom w:val="single" w:sz="4" w:space="0" w:color="auto"/>
              <w:right w:val="nil"/>
            </w:tcBorders>
            <w:shd w:val="clear" w:color="auto" w:fill="auto"/>
            <w:vAlign w:val="center"/>
          </w:tcPr>
          <w:p w14:paraId="4E2776EE" w14:textId="77777777" w:rsidR="004F0B58" w:rsidRPr="004F0B58" w:rsidRDefault="004F0B58" w:rsidP="004F0B58">
            <w:pPr>
              <w:spacing w:after="160"/>
              <w:jc w:val="both"/>
              <w:rPr>
                <w:rFonts w:ascii="Times New Roman" w:eastAsia="Calibri" w:hAnsi="Times New Roman" w:cs="Times New Roman"/>
                <w:sz w:val="24"/>
                <w:szCs w:val="24"/>
                <w:lang w:val="en-US" w:eastAsia="en-US"/>
              </w:rPr>
            </w:pPr>
            <w:r w:rsidRPr="004F0B58">
              <w:rPr>
                <w:rFonts w:ascii="Times New Roman" w:eastAsia="Calibri" w:hAnsi="Times New Roman" w:cs="Times New Roman"/>
                <w:sz w:val="24"/>
                <w:szCs w:val="24"/>
                <w:lang w:val="en-US" w:eastAsia="en-US"/>
              </w:rPr>
              <w:t>Ji et al. (2019), Li et al. (2020), Yuan et al. (2019), Zhang et al. (2018), Huang et al. (2020a), Islam et al. (2018), Xiao et al. (2019), Huang et al. (2020b)</w:t>
            </w:r>
          </w:p>
        </w:tc>
      </w:tr>
      <w:tr w:rsidR="004F0B58" w:rsidRPr="004F0B58" w14:paraId="70CFCB5F" w14:textId="77777777" w:rsidTr="00013B24">
        <w:tc>
          <w:tcPr>
            <w:tcW w:w="1276" w:type="dxa"/>
            <w:vMerge/>
            <w:tcBorders>
              <w:left w:val="nil"/>
              <w:right w:val="nil"/>
            </w:tcBorders>
            <w:shd w:val="clear" w:color="auto" w:fill="auto"/>
          </w:tcPr>
          <w:p w14:paraId="37D47C5F" w14:textId="77777777" w:rsidR="004F0B58" w:rsidRPr="004F0B58" w:rsidRDefault="004F0B58" w:rsidP="004F0B58">
            <w:pPr>
              <w:spacing w:after="160"/>
              <w:jc w:val="both"/>
              <w:rPr>
                <w:rFonts w:ascii="Times New Roman" w:eastAsia="Calibri" w:hAnsi="Times New Roman" w:cs="Times New Roman"/>
                <w:b/>
                <w:bCs/>
                <w:sz w:val="24"/>
                <w:szCs w:val="24"/>
                <w:lang w:val="pt-BR" w:eastAsia="en-US"/>
              </w:rPr>
            </w:pPr>
          </w:p>
        </w:tc>
        <w:tc>
          <w:tcPr>
            <w:tcW w:w="3402" w:type="dxa"/>
            <w:tcBorders>
              <w:top w:val="single" w:sz="4" w:space="0" w:color="auto"/>
              <w:left w:val="nil"/>
              <w:bottom w:val="single" w:sz="4" w:space="0" w:color="auto"/>
              <w:right w:val="nil"/>
            </w:tcBorders>
            <w:shd w:val="clear" w:color="auto" w:fill="auto"/>
            <w:vAlign w:val="center"/>
          </w:tcPr>
          <w:p w14:paraId="6DB41204" w14:textId="4D352FDD" w:rsidR="004F0B58" w:rsidRPr="004F0B58" w:rsidRDefault="00A41699" w:rsidP="004F0B58">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Lithogenic origin</w:t>
            </w:r>
          </w:p>
        </w:tc>
        <w:tc>
          <w:tcPr>
            <w:tcW w:w="4394" w:type="dxa"/>
            <w:tcBorders>
              <w:top w:val="single" w:sz="4" w:space="0" w:color="auto"/>
              <w:left w:val="nil"/>
              <w:bottom w:val="single" w:sz="4" w:space="0" w:color="auto"/>
              <w:right w:val="nil"/>
            </w:tcBorders>
            <w:shd w:val="clear" w:color="auto" w:fill="auto"/>
            <w:vAlign w:val="center"/>
          </w:tcPr>
          <w:p w14:paraId="30240490" w14:textId="77777777" w:rsidR="004F0B58" w:rsidRPr="004F0B58" w:rsidRDefault="004F0B58" w:rsidP="004F0B58">
            <w:pPr>
              <w:spacing w:after="160"/>
              <w:jc w:val="both"/>
              <w:rPr>
                <w:rFonts w:ascii="Times New Roman" w:eastAsia="Calibri" w:hAnsi="Times New Roman" w:cs="Times New Roman"/>
                <w:sz w:val="24"/>
                <w:szCs w:val="24"/>
                <w:lang w:val="en-US" w:eastAsia="en-US"/>
              </w:rPr>
            </w:pPr>
            <w:r w:rsidRPr="004F0B58">
              <w:rPr>
                <w:rFonts w:ascii="Times New Roman" w:eastAsia="Calibri" w:hAnsi="Times New Roman" w:cs="Times New Roman"/>
                <w:sz w:val="24"/>
                <w:szCs w:val="24"/>
                <w:lang w:val="pt-BR" w:eastAsia="en-US"/>
              </w:rPr>
              <w:t>Qiao et al. (2020), Amini e Qishlaqi (2020), Santos et al. (2020)</w:t>
            </w:r>
          </w:p>
        </w:tc>
      </w:tr>
      <w:tr w:rsidR="004F0B58" w:rsidRPr="004F0B58" w14:paraId="5BF99517" w14:textId="77777777" w:rsidTr="00013B24">
        <w:tc>
          <w:tcPr>
            <w:tcW w:w="1276" w:type="dxa"/>
            <w:vMerge/>
            <w:tcBorders>
              <w:left w:val="nil"/>
              <w:right w:val="nil"/>
            </w:tcBorders>
            <w:shd w:val="clear" w:color="auto" w:fill="auto"/>
          </w:tcPr>
          <w:p w14:paraId="6EB9EB27" w14:textId="77777777" w:rsidR="004F0B58" w:rsidRPr="004F0B58" w:rsidRDefault="004F0B58" w:rsidP="004F0B58">
            <w:pPr>
              <w:spacing w:after="160"/>
              <w:jc w:val="both"/>
              <w:rPr>
                <w:rFonts w:ascii="Times New Roman" w:eastAsia="Calibri" w:hAnsi="Times New Roman" w:cs="Times New Roman"/>
                <w:b/>
                <w:bCs/>
                <w:sz w:val="24"/>
                <w:szCs w:val="24"/>
                <w:lang w:val="pt-BR" w:eastAsia="en-US"/>
              </w:rPr>
            </w:pPr>
          </w:p>
        </w:tc>
        <w:tc>
          <w:tcPr>
            <w:tcW w:w="3402" w:type="dxa"/>
            <w:tcBorders>
              <w:top w:val="single" w:sz="4" w:space="0" w:color="auto"/>
              <w:left w:val="nil"/>
              <w:bottom w:val="single" w:sz="4" w:space="0" w:color="808080"/>
              <w:right w:val="nil"/>
            </w:tcBorders>
            <w:shd w:val="clear" w:color="auto" w:fill="auto"/>
            <w:vAlign w:val="center"/>
          </w:tcPr>
          <w:p w14:paraId="6D7F29E1" w14:textId="39463CF7" w:rsidR="004F0B58" w:rsidRPr="004F0B58" w:rsidRDefault="00A41699" w:rsidP="004F0B58">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Geogenic origin</w:t>
            </w:r>
          </w:p>
        </w:tc>
        <w:tc>
          <w:tcPr>
            <w:tcW w:w="4394" w:type="dxa"/>
            <w:tcBorders>
              <w:top w:val="single" w:sz="4" w:space="0" w:color="auto"/>
              <w:left w:val="nil"/>
              <w:bottom w:val="single" w:sz="4" w:space="0" w:color="808080"/>
              <w:right w:val="nil"/>
            </w:tcBorders>
            <w:shd w:val="clear" w:color="auto" w:fill="auto"/>
            <w:vAlign w:val="center"/>
          </w:tcPr>
          <w:p w14:paraId="4276A08A" w14:textId="77777777" w:rsidR="004F0B58" w:rsidRPr="004F0B58" w:rsidRDefault="004F0B58" w:rsidP="004F0B58">
            <w:pPr>
              <w:spacing w:after="160"/>
              <w:jc w:val="both"/>
              <w:rPr>
                <w:rFonts w:ascii="Times New Roman" w:eastAsia="Calibri" w:hAnsi="Times New Roman" w:cs="Times New Roman"/>
                <w:sz w:val="24"/>
                <w:szCs w:val="24"/>
                <w:lang w:val="pt-BR" w:eastAsia="en-US"/>
              </w:rPr>
            </w:pPr>
            <w:r w:rsidRPr="004F0B58">
              <w:rPr>
                <w:rFonts w:ascii="Times New Roman" w:eastAsia="Calibri" w:hAnsi="Times New Roman" w:cs="Times New Roman"/>
                <w:sz w:val="24"/>
                <w:szCs w:val="24"/>
                <w:lang w:val="en-US" w:eastAsia="en-US"/>
              </w:rPr>
              <w:t xml:space="preserve">Milačič et al. (2019), Ji et al. </w:t>
            </w:r>
            <w:r w:rsidRPr="004F0B58">
              <w:rPr>
                <w:rFonts w:ascii="Times New Roman" w:eastAsia="Calibri" w:hAnsi="Times New Roman" w:cs="Times New Roman"/>
                <w:sz w:val="24"/>
                <w:szCs w:val="24"/>
                <w:lang w:val="pt-BR" w:eastAsia="en-US"/>
              </w:rPr>
              <w:t>(2019), Xia et al. (2020), Chaparro et al. (2020)</w:t>
            </w:r>
          </w:p>
        </w:tc>
      </w:tr>
      <w:tr w:rsidR="004F0B58" w:rsidRPr="004F0B58" w14:paraId="77079EFF" w14:textId="77777777" w:rsidTr="00013B24">
        <w:tc>
          <w:tcPr>
            <w:tcW w:w="1276" w:type="dxa"/>
            <w:vMerge/>
            <w:tcBorders>
              <w:left w:val="nil"/>
              <w:right w:val="nil"/>
            </w:tcBorders>
            <w:shd w:val="clear" w:color="auto" w:fill="auto"/>
          </w:tcPr>
          <w:p w14:paraId="10D96DB9" w14:textId="77777777" w:rsidR="004F0B58" w:rsidRPr="004F0B58" w:rsidRDefault="004F0B58" w:rsidP="004F0B58">
            <w:pPr>
              <w:spacing w:after="160"/>
              <w:jc w:val="both"/>
              <w:rPr>
                <w:rFonts w:ascii="Times New Roman" w:eastAsia="Calibri" w:hAnsi="Times New Roman" w:cs="Times New Roman"/>
                <w:b/>
                <w:bCs/>
                <w:sz w:val="24"/>
                <w:szCs w:val="24"/>
                <w:lang w:val="en-US" w:eastAsia="en-US"/>
              </w:rPr>
            </w:pPr>
          </w:p>
        </w:tc>
        <w:tc>
          <w:tcPr>
            <w:tcW w:w="3402" w:type="dxa"/>
            <w:tcBorders>
              <w:top w:val="single" w:sz="4" w:space="0" w:color="auto"/>
              <w:left w:val="nil"/>
              <w:bottom w:val="single" w:sz="4" w:space="0" w:color="auto"/>
              <w:right w:val="nil"/>
            </w:tcBorders>
            <w:shd w:val="clear" w:color="auto" w:fill="auto"/>
            <w:vAlign w:val="center"/>
          </w:tcPr>
          <w:p w14:paraId="005307EF" w14:textId="3CF74FFA" w:rsidR="004F0B58" w:rsidRPr="004F0B58" w:rsidRDefault="0075076F" w:rsidP="004F0B58">
            <w:pPr>
              <w:spacing w:after="160"/>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pt-BR" w:eastAsia="en-US"/>
              </w:rPr>
              <w:t>Geothermal areas</w:t>
            </w:r>
          </w:p>
        </w:tc>
        <w:tc>
          <w:tcPr>
            <w:tcW w:w="4394" w:type="dxa"/>
            <w:tcBorders>
              <w:top w:val="single" w:sz="4" w:space="0" w:color="auto"/>
              <w:left w:val="nil"/>
              <w:bottom w:val="single" w:sz="4" w:space="0" w:color="auto"/>
              <w:right w:val="nil"/>
            </w:tcBorders>
            <w:shd w:val="clear" w:color="auto" w:fill="auto"/>
            <w:vAlign w:val="center"/>
          </w:tcPr>
          <w:p w14:paraId="0C64185F" w14:textId="77777777" w:rsidR="004F0B58" w:rsidRPr="004F0B58" w:rsidRDefault="004F0B58" w:rsidP="004F0B58">
            <w:pPr>
              <w:spacing w:after="160"/>
              <w:jc w:val="both"/>
              <w:rPr>
                <w:rFonts w:ascii="Times New Roman" w:eastAsia="Calibri" w:hAnsi="Times New Roman" w:cs="Times New Roman"/>
                <w:sz w:val="24"/>
                <w:szCs w:val="24"/>
                <w:lang w:val="en-US" w:eastAsia="en-US"/>
              </w:rPr>
            </w:pPr>
            <w:r w:rsidRPr="004F0B58">
              <w:rPr>
                <w:rFonts w:ascii="Times New Roman" w:eastAsia="Calibri" w:hAnsi="Times New Roman" w:cs="Times New Roman"/>
                <w:sz w:val="24"/>
                <w:szCs w:val="24"/>
                <w:lang w:val="pt-BR" w:eastAsia="en-US"/>
              </w:rPr>
              <w:t>Shakeri et al. (2020)</w:t>
            </w:r>
          </w:p>
        </w:tc>
      </w:tr>
      <w:tr w:rsidR="004F0B58" w:rsidRPr="004F0B58" w14:paraId="58EE33D1" w14:textId="77777777" w:rsidTr="00013B24">
        <w:tc>
          <w:tcPr>
            <w:tcW w:w="1276" w:type="dxa"/>
            <w:vMerge w:val="restart"/>
            <w:tcBorders>
              <w:top w:val="single" w:sz="12" w:space="0" w:color="auto"/>
              <w:left w:val="nil"/>
              <w:right w:val="nil"/>
            </w:tcBorders>
            <w:shd w:val="clear" w:color="auto" w:fill="auto"/>
            <w:vAlign w:val="center"/>
          </w:tcPr>
          <w:p w14:paraId="7A6B847A" w14:textId="77777777" w:rsidR="004F0B58" w:rsidRPr="004F0B58" w:rsidRDefault="004F0B58" w:rsidP="004F0B58">
            <w:pPr>
              <w:spacing w:after="160"/>
              <w:jc w:val="center"/>
              <w:rPr>
                <w:rFonts w:ascii="Times New Roman" w:eastAsia="Calibri" w:hAnsi="Times New Roman" w:cs="Times New Roman"/>
                <w:b/>
                <w:bCs/>
                <w:sz w:val="24"/>
                <w:szCs w:val="24"/>
                <w:lang w:val="pt-BR" w:eastAsia="en-US"/>
              </w:rPr>
            </w:pPr>
            <w:r w:rsidRPr="004F0B58">
              <w:rPr>
                <w:rFonts w:ascii="Times New Roman" w:eastAsia="Calibri" w:hAnsi="Times New Roman" w:cs="Times New Roman"/>
                <w:b/>
                <w:bCs/>
                <w:sz w:val="24"/>
                <w:szCs w:val="24"/>
                <w:lang w:val="pt-BR" w:eastAsia="en-US"/>
              </w:rPr>
              <w:t>Cu</w:t>
            </w:r>
          </w:p>
        </w:tc>
        <w:tc>
          <w:tcPr>
            <w:tcW w:w="3402" w:type="dxa"/>
            <w:tcBorders>
              <w:top w:val="single" w:sz="12" w:space="0" w:color="auto"/>
              <w:left w:val="nil"/>
              <w:bottom w:val="single" w:sz="4" w:space="0" w:color="auto"/>
              <w:right w:val="nil"/>
            </w:tcBorders>
            <w:shd w:val="clear" w:color="auto" w:fill="auto"/>
            <w:vAlign w:val="center"/>
          </w:tcPr>
          <w:p w14:paraId="09C623F3" w14:textId="2D59A3EF" w:rsidR="004F0B58" w:rsidRPr="004F0B58" w:rsidRDefault="00A41699" w:rsidP="004F0B58">
            <w:pPr>
              <w:spacing w:after="160"/>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pt-BR" w:eastAsia="en-US"/>
              </w:rPr>
              <w:t>Weathering of rocks</w:t>
            </w:r>
          </w:p>
        </w:tc>
        <w:tc>
          <w:tcPr>
            <w:tcW w:w="4394" w:type="dxa"/>
            <w:tcBorders>
              <w:top w:val="single" w:sz="12" w:space="0" w:color="auto"/>
              <w:left w:val="nil"/>
              <w:bottom w:val="single" w:sz="4" w:space="0" w:color="auto"/>
              <w:right w:val="nil"/>
            </w:tcBorders>
            <w:shd w:val="clear" w:color="auto" w:fill="auto"/>
            <w:vAlign w:val="center"/>
          </w:tcPr>
          <w:p w14:paraId="115DDCD9" w14:textId="77777777" w:rsidR="004F0B58" w:rsidRPr="004F0B58" w:rsidRDefault="004F0B58" w:rsidP="004F0B58">
            <w:pPr>
              <w:spacing w:after="160"/>
              <w:rPr>
                <w:rFonts w:ascii="Times New Roman" w:eastAsia="Calibri" w:hAnsi="Times New Roman" w:cs="Times New Roman"/>
                <w:sz w:val="24"/>
                <w:szCs w:val="24"/>
                <w:lang w:val="en-US" w:eastAsia="en-US"/>
              </w:rPr>
            </w:pPr>
            <w:r w:rsidRPr="004F0B58">
              <w:rPr>
                <w:rFonts w:ascii="Times New Roman" w:eastAsia="Calibri" w:hAnsi="Times New Roman" w:cs="Times New Roman"/>
                <w:sz w:val="24"/>
                <w:szCs w:val="24"/>
                <w:lang w:val="en-US" w:eastAsia="en-US"/>
              </w:rPr>
              <w:t>Huang et al. (2020b), Xiao et al. (2019), Ahmad et al. (2020), Shakeri et al. (2020), Munk; Faure (2004)</w:t>
            </w:r>
          </w:p>
        </w:tc>
      </w:tr>
      <w:tr w:rsidR="004F0B58" w:rsidRPr="004F0B58" w14:paraId="00C9E195" w14:textId="77777777" w:rsidTr="00013B24">
        <w:tc>
          <w:tcPr>
            <w:tcW w:w="1276" w:type="dxa"/>
            <w:vMerge/>
            <w:tcBorders>
              <w:top w:val="single" w:sz="12" w:space="0" w:color="auto"/>
              <w:left w:val="nil"/>
              <w:right w:val="nil"/>
            </w:tcBorders>
            <w:shd w:val="clear" w:color="auto" w:fill="auto"/>
            <w:vAlign w:val="center"/>
          </w:tcPr>
          <w:p w14:paraId="4546C19A" w14:textId="77777777" w:rsidR="004F0B58" w:rsidRPr="004F0B58" w:rsidRDefault="004F0B58" w:rsidP="004F0B58">
            <w:pPr>
              <w:spacing w:after="160"/>
              <w:jc w:val="center"/>
              <w:rPr>
                <w:rFonts w:ascii="Times New Roman" w:eastAsia="Calibri" w:hAnsi="Times New Roman" w:cs="Times New Roman"/>
                <w:b/>
                <w:bCs/>
                <w:sz w:val="24"/>
                <w:szCs w:val="24"/>
                <w:lang w:val="pt-BR" w:eastAsia="en-US"/>
              </w:rPr>
            </w:pPr>
          </w:p>
        </w:tc>
        <w:tc>
          <w:tcPr>
            <w:tcW w:w="3402" w:type="dxa"/>
            <w:tcBorders>
              <w:top w:val="single" w:sz="4" w:space="0" w:color="auto"/>
              <w:left w:val="nil"/>
              <w:bottom w:val="single" w:sz="4" w:space="0" w:color="auto"/>
              <w:right w:val="nil"/>
            </w:tcBorders>
            <w:shd w:val="clear" w:color="auto" w:fill="auto"/>
            <w:vAlign w:val="center"/>
          </w:tcPr>
          <w:p w14:paraId="467E0145" w14:textId="0C309BCD" w:rsidR="004F0B58" w:rsidRPr="004F0B58" w:rsidRDefault="00A41699" w:rsidP="004F0B58">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en-US" w:eastAsia="en-US"/>
              </w:rPr>
              <w:t>Soil composition</w:t>
            </w:r>
          </w:p>
        </w:tc>
        <w:tc>
          <w:tcPr>
            <w:tcW w:w="4394" w:type="dxa"/>
            <w:tcBorders>
              <w:top w:val="single" w:sz="4" w:space="0" w:color="auto"/>
              <w:left w:val="nil"/>
              <w:bottom w:val="single" w:sz="4" w:space="0" w:color="auto"/>
              <w:right w:val="nil"/>
            </w:tcBorders>
            <w:shd w:val="clear" w:color="auto" w:fill="auto"/>
            <w:vAlign w:val="center"/>
          </w:tcPr>
          <w:p w14:paraId="6B03831D" w14:textId="77777777" w:rsidR="004F0B58" w:rsidRPr="004F0B58" w:rsidRDefault="004F0B58" w:rsidP="004F0B58">
            <w:pPr>
              <w:spacing w:after="160"/>
              <w:jc w:val="both"/>
              <w:rPr>
                <w:rFonts w:ascii="Times New Roman" w:eastAsia="Calibri" w:hAnsi="Times New Roman" w:cs="Times New Roman"/>
                <w:sz w:val="24"/>
                <w:szCs w:val="24"/>
                <w:lang w:val="pt-BR" w:eastAsia="en-US"/>
              </w:rPr>
            </w:pPr>
            <w:r w:rsidRPr="004F0B58">
              <w:rPr>
                <w:rFonts w:ascii="Times New Roman" w:eastAsia="Calibri" w:hAnsi="Times New Roman" w:cs="Times New Roman"/>
                <w:sz w:val="24"/>
                <w:szCs w:val="24"/>
                <w:lang w:val="en-US" w:eastAsia="en-US"/>
              </w:rPr>
              <w:t>Huang et al. (2020a)</w:t>
            </w:r>
          </w:p>
        </w:tc>
      </w:tr>
      <w:tr w:rsidR="004F0B58" w:rsidRPr="004F0B58" w14:paraId="36577EE1" w14:textId="77777777" w:rsidTr="00013B24">
        <w:tc>
          <w:tcPr>
            <w:tcW w:w="1276" w:type="dxa"/>
            <w:vMerge/>
            <w:tcBorders>
              <w:left w:val="nil"/>
              <w:right w:val="nil"/>
            </w:tcBorders>
            <w:shd w:val="clear" w:color="auto" w:fill="auto"/>
          </w:tcPr>
          <w:p w14:paraId="5BDFAFEC" w14:textId="77777777" w:rsidR="004F0B58" w:rsidRPr="004F0B58" w:rsidRDefault="004F0B58" w:rsidP="004F0B58">
            <w:pPr>
              <w:spacing w:after="160"/>
              <w:jc w:val="both"/>
              <w:rPr>
                <w:rFonts w:ascii="Times New Roman" w:eastAsia="Calibri" w:hAnsi="Times New Roman" w:cs="Times New Roman"/>
                <w:b/>
                <w:bCs/>
                <w:sz w:val="24"/>
                <w:szCs w:val="24"/>
                <w:lang w:val="pt-BR" w:eastAsia="en-US"/>
              </w:rPr>
            </w:pPr>
          </w:p>
        </w:tc>
        <w:tc>
          <w:tcPr>
            <w:tcW w:w="3402" w:type="dxa"/>
            <w:tcBorders>
              <w:top w:val="single" w:sz="4" w:space="0" w:color="auto"/>
              <w:left w:val="nil"/>
              <w:bottom w:val="single" w:sz="4" w:space="0" w:color="auto"/>
              <w:right w:val="nil"/>
            </w:tcBorders>
            <w:shd w:val="clear" w:color="auto" w:fill="auto"/>
            <w:vAlign w:val="center"/>
          </w:tcPr>
          <w:p w14:paraId="2F6CE3AD" w14:textId="44696566" w:rsidR="004F0B58" w:rsidRPr="004F0B58" w:rsidRDefault="00A41699" w:rsidP="004F0B58">
            <w:pPr>
              <w:spacing w:after="160"/>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Lithogenic origin</w:t>
            </w:r>
          </w:p>
        </w:tc>
        <w:tc>
          <w:tcPr>
            <w:tcW w:w="4394" w:type="dxa"/>
            <w:tcBorders>
              <w:top w:val="single" w:sz="4" w:space="0" w:color="auto"/>
              <w:left w:val="nil"/>
              <w:bottom w:val="single" w:sz="4" w:space="0" w:color="auto"/>
              <w:right w:val="nil"/>
            </w:tcBorders>
            <w:shd w:val="clear" w:color="auto" w:fill="auto"/>
            <w:vAlign w:val="center"/>
          </w:tcPr>
          <w:p w14:paraId="7F673B36" w14:textId="77777777" w:rsidR="004F0B58" w:rsidRPr="004F0B58" w:rsidRDefault="004F0B58" w:rsidP="004F0B58">
            <w:pPr>
              <w:spacing w:after="160"/>
              <w:jc w:val="both"/>
              <w:rPr>
                <w:rFonts w:ascii="Times New Roman" w:eastAsia="Calibri" w:hAnsi="Times New Roman" w:cs="Times New Roman"/>
                <w:sz w:val="24"/>
                <w:szCs w:val="24"/>
                <w:lang w:val="en-US" w:eastAsia="en-US"/>
              </w:rPr>
            </w:pPr>
            <w:r w:rsidRPr="004F0B58">
              <w:rPr>
                <w:rFonts w:ascii="Times New Roman" w:eastAsia="Calibri" w:hAnsi="Times New Roman" w:cs="Times New Roman"/>
                <w:sz w:val="24"/>
                <w:szCs w:val="24"/>
                <w:lang w:val="en-US" w:eastAsia="en-US"/>
              </w:rPr>
              <w:t>Shakeri et al. (2020)</w:t>
            </w:r>
          </w:p>
        </w:tc>
      </w:tr>
      <w:tr w:rsidR="004F0B58" w:rsidRPr="004F0B58" w14:paraId="6CFB013B" w14:textId="77777777" w:rsidTr="00013B24">
        <w:tc>
          <w:tcPr>
            <w:tcW w:w="1276" w:type="dxa"/>
            <w:vMerge/>
            <w:tcBorders>
              <w:left w:val="nil"/>
              <w:bottom w:val="single" w:sz="12" w:space="0" w:color="auto"/>
              <w:right w:val="nil"/>
            </w:tcBorders>
            <w:shd w:val="clear" w:color="auto" w:fill="auto"/>
          </w:tcPr>
          <w:p w14:paraId="55AB45BE" w14:textId="77777777" w:rsidR="004F0B58" w:rsidRPr="004F0B58" w:rsidRDefault="004F0B58" w:rsidP="004F0B58">
            <w:pPr>
              <w:spacing w:after="160"/>
              <w:jc w:val="both"/>
              <w:rPr>
                <w:rFonts w:ascii="Times New Roman" w:eastAsia="Calibri" w:hAnsi="Times New Roman" w:cs="Times New Roman"/>
                <w:b/>
                <w:bCs/>
                <w:sz w:val="24"/>
                <w:szCs w:val="24"/>
                <w:lang w:val="en-US" w:eastAsia="en-US"/>
              </w:rPr>
            </w:pPr>
          </w:p>
        </w:tc>
        <w:tc>
          <w:tcPr>
            <w:tcW w:w="3402" w:type="dxa"/>
            <w:tcBorders>
              <w:top w:val="single" w:sz="4" w:space="0" w:color="auto"/>
              <w:left w:val="nil"/>
              <w:bottom w:val="single" w:sz="12" w:space="0" w:color="auto"/>
              <w:right w:val="nil"/>
            </w:tcBorders>
            <w:shd w:val="clear" w:color="auto" w:fill="auto"/>
            <w:vAlign w:val="center"/>
          </w:tcPr>
          <w:p w14:paraId="269F7938" w14:textId="77777777" w:rsidR="004F0B58" w:rsidRPr="004F0B58" w:rsidRDefault="004F0B58" w:rsidP="004F0B58">
            <w:pPr>
              <w:spacing w:after="160"/>
              <w:rPr>
                <w:rFonts w:ascii="Times New Roman" w:eastAsia="Calibri" w:hAnsi="Times New Roman" w:cs="Times New Roman"/>
                <w:sz w:val="24"/>
                <w:szCs w:val="24"/>
                <w:lang w:val="pt-BR" w:eastAsia="en-US"/>
              </w:rPr>
            </w:pPr>
            <w:r w:rsidRPr="004F0B58">
              <w:rPr>
                <w:rFonts w:ascii="Times New Roman" w:eastAsia="Calibri" w:hAnsi="Times New Roman" w:cs="Times New Roman"/>
                <w:sz w:val="24"/>
                <w:szCs w:val="24"/>
                <w:lang w:val="pt-BR" w:eastAsia="en-US"/>
              </w:rPr>
              <w:t>Áreas geotermais</w:t>
            </w:r>
          </w:p>
        </w:tc>
        <w:tc>
          <w:tcPr>
            <w:tcW w:w="4394" w:type="dxa"/>
            <w:tcBorders>
              <w:top w:val="single" w:sz="4" w:space="0" w:color="auto"/>
              <w:left w:val="nil"/>
              <w:bottom w:val="single" w:sz="12" w:space="0" w:color="auto"/>
              <w:right w:val="nil"/>
            </w:tcBorders>
            <w:shd w:val="clear" w:color="auto" w:fill="auto"/>
            <w:vAlign w:val="center"/>
          </w:tcPr>
          <w:p w14:paraId="4EFA2219" w14:textId="77777777" w:rsidR="004F0B58" w:rsidRPr="004F0B58" w:rsidRDefault="004F0B58" w:rsidP="004F0B58">
            <w:pPr>
              <w:spacing w:after="160"/>
              <w:jc w:val="both"/>
              <w:rPr>
                <w:rFonts w:ascii="Times New Roman" w:eastAsia="Calibri" w:hAnsi="Times New Roman" w:cs="Times New Roman"/>
                <w:sz w:val="24"/>
                <w:szCs w:val="24"/>
                <w:lang w:val="en-US" w:eastAsia="en-US"/>
              </w:rPr>
            </w:pPr>
            <w:r w:rsidRPr="004F0B58">
              <w:rPr>
                <w:rFonts w:ascii="Times New Roman" w:eastAsia="Calibri" w:hAnsi="Times New Roman" w:cs="Times New Roman"/>
                <w:sz w:val="24"/>
                <w:szCs w:val="24"/>
                <w:lang w:val="pt-BR" w:eastAsia="en-US"/>
              </w:rPr>
              <w:t>Shakeri et al. (2020)</w:t>
            </w:r>
          </w:p>
        </w:tc>
      </w:tr>
      <w:tr w:rsidR="004F0B58" w:rsidRPr="004F0B58" w14:paraId="64BB8E9B" w14:textId="77777777" w:rsidTr="00013B24">
        <w:tc>
          <w:tcPr>
            <w:tcW w:w="1276" w:type="dxa"/>
            <w:vMerge/>
            <w:tcBorders>
              <w:left w:val="nil"/>
              <w:bottom w:val="single" w:sz="12" w:space="0" w:color="auto"/>
              <w:right w:val="nil"/>
            </w:tcBorders>
            <w:shd w:val="clear" w:color="auto" w:fill="auto"/>
          </w:tcPr>
          <w:p w14:paraId="746B20B4" w14:textId="77777777" w:rsidR="004F0B58" w:rsidRPr="004F0B58" w:rsidRDefault="004F0B58" w:rsidP="004F0B58">
            <w:pPr>
              <w:spacing w:after="160"/>
              <w:jc w:val="both"/>
              <w:rPr>
                <w:rFonts w:ascii="Times New Roman" w:eastAsia="Calibri" w:hAnsi="Times New Roman" w:cs="Times New Roman"/>
                <w:b/>
                <w:bCs/>
                <w:sz w:val="24"/>
                <w:szCs w:val="24"/>
                <w:lang w:val="en-US" w:eastAsia="en-US"/>
              </w:rPr>
            </w:pPr>
          </w:p>
        </w:tc>
        <w:tc>
          <w:tcPr>
            <w:tcW w:w="3402" w:type="dxa"/>
            <w:tcBorders>
              <w:top w:val="single" w:sz="4" w:space="0" w:color="auto"/>
              <w:left w:val="nil"/>
              <w:bottom w:val="single" w:sz="12" w:space="0" w:color="auto"/>
              <w:right w:val="nil"/>
            </w:tcBorders>
            <w:shd w:val="clear" w:color="auto" w:fill="auto"/>
            <w:vAlign w:val="center"/>
          </w:tcPr>
          <w:p w14:paraId="4CD2855D" w14:textId="0205FDBA" w:rsidR="004F0B58" w:rsidRPr="004F0B58" w:rsidRDefault="0075076F" w:rsidP="004F0B58">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Unexplored mineral deposits</w:t>
            </w:r>
          </w:p>
        </w:tc>
        <w:tc>
          <w:tcPr>
            <w:tcW w:w="4394" w:type="dxa"/>
            <w:tcBorders>
              <w:top w:val="single" w:sz="4" w:space="0" w:color="auto"/>
              <w:left w:val="nil"/>
              <w:bottom w:val="single" w:sz="12" w:space="0" w:color="auto"/>
              <w:right w:val="nil"/>
            </w:tcBorders>
            <w:shd w:val="clear" w:color="auto" w:fill="auto"/>
            <w:vAlign w:val="center"/>
          </w:tcPr>
          <w:p w14:paraId="435310E2" w14:textId="77777777" w:rsidR="004F0B58" w:rsidRPr="004F0B58" w:rsidRDefault="004F0B58" w:rsidP="004F0B58">
            <w:pPr>
              <w:spacing w:after="160"/>
              <w:jc w:val="both"/>
              <w:rPr>
                <w:rFonts w:ascii="Times New Roman" w:eastAsia="Calibri" w:hAnsi="Times New Roman" w:cs="Times New Roman"/>
                <w:sz w:val="24"/>
                <w:szCs w:val="24"/>
                <w:lang w:val="en-US" w:eastAsia="en-US"/>
              </w:rPr>
            </w:pPr>
            <w:r w:rsidRPr="004F0B58">
              <w:rPr>
                <w:rFonts w:ascii="Times New Roman" w:eastAsia="Calibri" w:hAnsi="Times New Roman" w:cs="Times New Roman"/>
                <w:sz w:val="24"/>
                <w:szCs w:val="24"/>
                <w:lang w:val="en-US" w:eastAsia="en-US"/>
              </w:rPr>
              <w:t>Qiao et al. (2020)</w:t>
            </w:r>
          </w:p>
        </w:tc>
      </w:tr>
      <w:tr w:rsidR="004F0B58" w:rsidRPr="004F0B58" w14:paraId="2DAB214B" w14:textId="77777777" w:rsidTr="00013B24">
        <w:tc>
          <w:tcPr>
            <w:tcW w:w="1276" w:type="dxa"/>
            <w:vMerge w:val="restart"/>
            <w:tcBorders>
              <w:top w:val="single" w:sz="12" w:space="0" w:color="auto"/>
              <w:left w:val="nil"/>
              <w:right w:val="nil"/>
            </w:tcBorders>
            <w:vAlign w:val="center"/>
          </w:tcPr>
          <w:p w14:paraId="0A5ACEB7" w14:textId="77777777" w:rsidR="004F0B58" w:rsidRPr="004F0B58" w:rsidRDefault="004F0B58" w:rsidP="004F0B58">
            <w:pPr>
              <w:spacing w:after="160"/>
              <w:jc w:val="center"/>
              <w:rPr>
                <w:rFonts w:ascii="Times New Roman" w:eastAsia="Calibri" w:hAnsi="Times New Roman" w:cs="Times New Roman"/>
                <w:b/>
                <w:bCs/>
                <w:sz w:val="24"/>
                <w:szCs w:val="24"/>
                <w:lang w:val="pt-BR" w:eastAsia="en-US"/>
              </w:rPr>
            </w:pPr>
            <w:r w:rsidRPr="004F0B58">
              <w:rPr>
                <w:rFonts w:ascii="Times New Roman" w:eastAsia="Calibri" w:hAnsi="Times New Roman" w:cs="Times New Roman"/>
                <w:b/>
                <w:bCs/>
                <w:sz w:val="24"/>
                <w:szCs w:val="24"/>
                <w:lang w:val="pt-BR" w:eastAsia="en-US"/>
              </w:rPr>
              <w:t>Fe</w:t>
            </w:r>
          </w:p>
        </w:tc>
        <w:tc>
          <w:tcPr>
            <w:tcW w:w="3402" w:type="dxa"/>
            <w:tcBorders>
              <w:top w:val="single" w:sz="12" w:space="0" w:color="auto"/>
              <w:left w:val="nil"/>
              <w:bottom w:val="single" w:sz="4" w:space="0" w:color="auto"/>
              <w:right w:val="nil"/>
            </w:tcBorders>
            <w:shd w:val="clear" w:color="auto" w:fill="auto"/>
            <w:vAlign w:val="center"/>
          </w:tcPr>
          <w:p w14:paraId="58B9065D" w14:textId="19BF9455" w:rsidR="004F0B58" w:rsidRPr="004F0B58" w:rsidRDefault="00A41699" w:rsidP="004F0B58">
            <w:pPr>
              <w:spacing w:after="160"/>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Weathering of rocks</w:t>
            </w:r>
          </w:p>
        </w:tc>
        <w:tc>
          <w:tcPr>
            <w:tcW w:w="4394" w:type="dxa"/>
            <w:tcBorders>
              <w:top w:val="single" w:sz="12" w:space="0" w:color="auto"/>
              <w:left w:val="nil"/>
              <w:bottom w:val="single" w:sz="4" w:space="0" w:color="auto"/>
              <w:right w:val="nil"/>
            </w:tcBorders>
            <w:shd w:val="clear" w:color="auto" w:fill="auto"/>
            <w:vAlign w:val="center"/>
          </w:tcPr>
          <w:p w14:paraId="4D360D5A" w14:textId="77777777" w:rsidR="004F0B58" w:rsidRPr="004F0B58" w:rsidRDefault="004F0B58" w:rsidP="004F0B58">
            <w:pPr>
              <w:spacing w:after="160"/>
              <w:jc w:val="both"/>
              <w:rPr>
                <w:rFonts w:ascii="Times New Roman" w:eastAsia="Calibri" w:hAnsi="Times New Roman" w:cs="Times New Roman"/>
                <w:sz w:val="24"/>
                <w:szCs w:val="24"/>
                <w:lang w:val="en-US" w:eastAsia="en-US"/>
              </w:rPr>
            </w:pPr>
            <w:r w:rsidRPr="004F0B58">
              <w:rPr>
                <w:rFonts w:ascii="Times New Roman" w:eastAsia="Calibri" w:hAnsi="Times New Roman" w:cs="Times New Roman"/>
                <w:sz w:val="24"/>
                <w:szCs w:val="24"/>
                <w:lang w:val="en-US" w:eastAsia="en-US"/>
              </w:rPr>
              <w:t>Ahmad et al. (2020), Rupakheti et al. (2017), Custodio et al. (2020)</w:t>
            </w:r>
          </w:p>
        </w:tc>
      </w:tr>
      <w:tr w:rsidR="004F0B58" w:rsidRPr="004F0B58" w14:paraId="6CC37EFF" w14:textId="77777777" w:rsidTr="00013B24">
        <w:tc>
          <w:tcPr>
            <w:tcW w:w="1276" w:type="dxa"/>
            <w:vMerge/>
            <w:tcBorders>
              <w:top w:val="single" w:sz="4" w:space="0" w:color="808080"/>
              <w:left w:val="nil"/>
              <w:bottom w:val="single" w:sz="12" w:space="0" w:color="auto"/>
              <w:right w:val="nil"/>
            </w:tcBorders>
          </w:tcPr>
          <w:p w14:paraId="19290DCB" w14:textId="77777777" w:rsidR="004F0B58" w:rsidRPr="004F0B58" w:rsidRDefault="004F0B58" w:rsidP="004F0B58">
            <w:pPr>
              <w:spacing w:after="160"/>
              <w:jc w:val="both"/>
              <w:rPr>
                <w:rFonts w:ascii="Times New Roman" w:eastAsia="Calibri" w:hAnsi="Times New Roman" w:cs="Times New Roman"/>
                <w:b/>
                <w:bCs/>
                <w:sz w:val="24"/>
                <w:szCs w:val="24"/>
                <w:lang w:val="pt-BR" w:eastAsia="en-US"/>
              </w:rPr>
            </w:pPr>
          </w:p>
        </w:tc>
        <w:tc>
          <w:tcPr>
            <w:tcW w:w="3402" w:type="dxa"/>
            <w:tcBorders>
              <w:top w:val="single" w:sz="4" w:space="0" w:color="auto"/>
              <w:left w:val="nil"/>
              <w:bottom w:val="single" w:sz="12" w:space="0" w:color="auto"/>
              <w:right w:val="nil"/>
            </w:tcBorders>
            <w:shd w:val="clear" w:color="auto" w:fill="auto"/>
            <w:vAlign w:val="center"/>
          </w:tcPr>
          <w:p w14:paraId="5702EC87" w14:textId="781D879D" w:rsidR="004F0B58" w:rsidRPr="004F0B58" w:rsidRDefault="00A41699" w:rsidP="004F0B58">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Geogenic origin</w:t>
            </w:r>
          </w:p>
        </w:tc>
        <w:tc>
          <w:tcPr>
            <w:tcW w:w="4394" w:type="dxa"/>
            <w:tcBorders>
              <w:top w:val="single" w:sz="4" w:space="0" w:color="auto"/>
              <w:left w:val="nil"/>
              <w:bottom w:val="single" w:sz="12" w:space="0" w:color="auto"/>
              <w:right w:val="nil"/>
            </w:tcBorders>
            <w:shd w:val="clear" w:color="auto" w:fill="auto"/>
            <w:vAlign w:val="center"/>
          </w:tcPr>
          <w:p w14:paraId="2638D155" w14:textId="77777777" w:rsidR="004F0B58" w:rsidRPr="004F0B58" w:rsidRDefault="004F0B58" w:rsidP="004F0B58">
            <w:pPr>
              <w:spacing w:after="160"/>
              <w:jc w:val="both"/>
              <w:rPr>
                <w:rFonts w:ascii="Times New Roman" w:eastAsia="Calibri" w:hAnsi="Times New Roman" w:cs="Times New Roman"/>
                <w:sz w:val="24"/>
                <w:szCs w:val="24"/>
                <w:lang w:val="pt-BR" w:eastAsia="en-US"/>
              </w:rPr>
            </w:pPr>
            <w:r w:rsidRPr="004F0B58">
              <w:rPr>
                <w:rFonts w:ascii="Times New Roman" w:eastAsia="Calibri" w:hAnsi="Times New Roman" w:cs="Times New Roman"/>
                <w:sz w:val="24"/>
                <w:szCs w:val="24"/>
                <w:lang w:val="pt-BR" w:eastAsia="en-US"/>
              </w:rPr>
              <w:t>Ustaoğlua e Islam (2020)</w:t>
            </w:r>
          </w:p>
        </w:tc>
      </w:tr>
      <w:tr w:rsidR="004F0B58" w:rsidRPr="004F0B58" w14:paraId="75A3498F" w14:textId="77777777" w:rsidTr="00013B24">
        <w:tc>
          <w:tcPr>
            <w:tcW w:w="1276" w:type="dxa"/>
            <w:vMerge w:val="restart"/>
            <w:tcBorders>
              <w:top w:val="single" w:sz="12" w:space="0" w:color="auto"/>
              <w:left w:val="nil"/>
              <w:right w:val="nil"/>
            </w:tcBorders>
            <w:shd w:val="clear" w:color="auto" w:fill="auto"/>
            <w:vAlign w:val="center"/>
          </w:tcPr>
          <w:p w14:paraId="22EBE3AA" w14:textId="77777777" w:rsidR="004F0B58" w:rsidRPr="004F0B58" w:rsidRDefault="004F0B58" w:rsidP="004F0B58">
            <w:pPr>
              <w:spacing w:after="160"/>
              <w:jc w:val="center"/>
              <w:rPr>
                <w:rFonts w:ascii="Times New Roman" w:eastAsia="Calibri" w:hAnsi="Times New Roman" w:cs="Times New Roman"/>
                <w:b/>
                <w:bCs/>
                <w:sz w:val="24"/>
                <w:szCs w:val="24"/>
                <w:lang w:val="pt-BR" w:eastAsia="en-US"/>
              </w:rPr>
            </w:pPr>
            <w:r w:rsidRPr="004F0B58">
              <w:rPr>
                <w:rFonts w:ascii="Times New Roman" w:eastAsia="Calibri" w:hAnsi="Times New Roman" w:cs="Times New Roman"/>
                <w:b/>
                <w:bCs/>
                <w:sz w:val="24"/>
                <w:szCs w:val="24"/>
                <w:lang w:val="pt-BR" w:eastAsia="en-US"/>
              </w:rPr>
              <w:t>Hg</w:t>
            </w:r>
          </w:p>
        </w:tc>
        <w:tc>
          <w:tcPr>
            <w:tcW w:w="3402" w:type="dxa"/>
            <w:tcBorders>
              <w:top w:val="single" w:sz="12" w:space="0" w:color="auto"/>
              <w:left w:val="nil"/>
              <w:bottom w:val="single" w:sz="4" w:space="0" w:color="auto"/>
              <w:right w:val="nil"/>
            </w:tcBorders>
            <w:shd w:val="clear" w:color="auto" w:fill="auto"/>
            <w:vAlign w:val="center"/>
          </w:tcPr>
          <w:p w14:paraId="4E89C14E" w14:textId="4CE9A144" w:rsidR="004F0B58" w:rsidRPr="004F0B58" w:rsidRDefault="00A41699" w:rsidP="004F0B58">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Weathering of rocks</w:t>
            </w:r>
          </w:p>
        </w:tc>
        <w:tc>
          <w:tcPr>
            <w:tcW w:w="4394" w:type="dxa"/>
            <w:tcBorders>
              <w:top w:val="single" w:sz="12" w:space="0" w:color="auto"/>
              <w:left w:val="nil"/>
              <w:bottom w:val="single" w:sz="4" w:space="0" w:color="auto"/>
              <w:right w:val="nil"/>
            </w:tcBorders>
            <w:shd w:val="clear" w:color="auto" w:fill="auto"/>
            <w:vAlign w:val="center"/>
          </w:tcPr>
          <w:p w14:paraId="15C9B14B" w14:textId="77777777" w:rsidR="004F0B58" w:rsidRPr="004F0B58" w:rsidRDefault="004F0B58" w:rsidP="004F0B58">
            <w:pPr>
              <w:spacing w:after="160"/>
              <w:jc w:val="both"/>
              <w:rPr>
                <w:rFonts w:ascii="Times New Roman" w:eastAsia="Calibri" w:hAnsi="Times New Roman" w:cs="Times New Roman"/>
                <w:sz w:val="24"/>
                <w:szCs w:val="24"/>
                <w:lang w:val="en-US" w:eastAsia="en-US"/>
              </w:rPr>
            </w:pPr>
            <w:r w:rsidRPr="004F0B58">
              <w:rPr>
                <w:rFonts w:ascii="Times New Roman" w:eastAsia="Calibri" w:hAnsi="Times New Roman" w:cs="Times New Roman"/>
                <w:sz w:val="24"/>
                <w:szCs w:val="24"/>
                <w:lang w:val="pt-BR" w:eastAsia="en-US"/>
              </w:rPr>
              <w:t>Islam et al. (2018), Qiao et al. (2020)</w:t>
            </w:r>
          </w:p>
        </w:tc>
      </w:tr>
      <w:tr w:rsidR="004F0B58" w:rsidRPr="004F0B58" w14:paraId="5B540E2F" w14:textId="77777777" w:rsidTr="00013B24">
        <w:tc>
          <w:tcPr>
            <w:tcW w:w="1276" w:type="dxa"/>
            <w:vMerge/>
            <w:tcBorders>
              <w:left w:val="nil"/>
              <w:bottom w:val="single" w:sz="12" w:space="0" w:color="auto"/>
              <w:right w:val="nil"/>
            </w:tcBorders>
            <w:shd w:val="clear" w:color="auto" w:fill="auto"/>
            <w:vAlign w:val="center"/>
          </w:tcPr>
          <w:p w14:paraId="1449DF73" w14:textId="77777777" w:rsidR="004F0B58" w:rsidRPr="004F0B58" w:rsidRDefault="004F0B58" w:rsidP="004F0B58">
            <w:pPr>
              <w:spacing w:after="160"/>
              <w:jc w:val="center"/>
              <w:rPr>
                <w:rFonts w:ascii="Times New Roman" w:eastAsia="Calibri" w:hAnsi="Times New Roman" w:cs="Times New Roman"/>
                <w:b/>
                <w:bCs/>
                <w:sz w:val="24"/>
                <w:szCs w:val="24"/>
                <w:lang w:val="pt-BR" w:eastAsia="en-US"/>
              </w:rPr>
            </w:pPr>
          </w:p>
        </w:tc>
        <w:tc>
          <w:tcPr>
            <w:tcW w:w="3402" w:type="dxa"/>
            <w:tcBorders>
              <w:top w:val="single" w:sz="4" w:space="0" w:color="auto"/>
              <w:left w:val="nil"/>
              <w:bottom w:val="single" w:sz="12" w:space="0" w:color="auto"/>
              <w:right w:val="nil"/>
            </w:tcBorders>
            <w:shd w:val="clear" w:color="auto" w:fill="auto"/>
            <w:vAlign w:val="center"/>
          </w:tcPr>
          <w:p w14:paraId="710DF2DA" w14:textId="00916337" w:rsidR="004F0B58" w:rsidRPr="004F0B58" w:rsidRDefault="00A41699" w:rsidP="004F0B58">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Lithogenic origin</w:t>
            </w:r>
          </w:p>
        </w:tc>
        <w:tc>
          <w:tcPr>
            <w:tcW w:w="4394" w:type="dxa"/>
            <w:tcBorders>
              <w:top w:val="single" w:sz="4" w:space="0" w:color="auto"/>
              <w:left w:val="nil"/>
              <w:bottom w:val="single" w:sz="12" w:space="0" w:color="auto"/>
              <w:right w:val="nil"/>
            </w:tcBorders>
            <w:shd w:val="clear" w:color="auto" w:fill="auto"/>
            <w:vAlign w:val="center"/>
          </w:tcPr>
          <w:p w14:paraId="3F2A7840" w14:textId="77777777" w:rsidR="004F0B58" w:rsidRPr="004F0B58" w:rsidRDefault="004F0B58" w:rsidP="004F0B58">
            <w:pPr>
              <w:spacing w:after="160"/>
              <w:jc w:val="both"/>
              <w:rPr>
                <w:rFonts w:ascii="Times New Roman" w:eastAsia="Calibri" w:hAnsi="Times New Roman" w:cs="Times New Roman"/>
                <w:sz w:val="24"/>
                <w:szCs w:val="24"/>
                <w:lang w:val="pt-BR" w:eastAsia="en-US"/>
              </w:rPr>
            </w:pPr>
            <w:r w:rsidRPr="004F0B58">
              <w:rPr>
                <w:rFonts w:ascii="Times New Roman" w:eastAsia="Calibri" w:hAnsi="Times New Roman" w:cs="Times New Roman"/>
                <w:sz w:val="24"/>
                <w:szCs w:val="24"/>
                <w:lang w:val="pt-BR" w:eastAsia="en-US"/>
              </w:rPr>
              <w:t>Qiao et al. (2020)</w:t>
            </w:r>
          </w:p>
        </w:tc>
      </w:tr>
      <w:tr w:rsidR="004F0B58" w:rsidRPr="004F0B58" w14:paraId="18B13092" w14:textId="77777777" w:rsidTr="00013B24">
        <w:tc>
          <w:tcPr>
            <w:tcW w:w="1276" w:type="dxa"/>
            <w:vMerge w:val="restart"/>
            <w:tcBorders>
              <w:top w:val="single" w:sz="12" w:space="0" w:color="auto"/>
              <w:left w:val="nil"/>
              <w:right w:val="nil"/>
            </w:tcBorders>
            <w:shd w:val="clear" w:color="auto" w:fill="auto"/>
            <w:vAlign w:val="center"/>
          </w:tcPr>
          <w:p w14:paraId="42B1003C" w14:textId="77777777" w:rsidR="004F0B58" w:rsidRPr="004F0B58" w:rsidRDefault="004F0B58" w:rsidP="004F0B58">
            <w:pPr>
              <w:spacing w:after="160"/>
              <w:jc w:val="center"/>
              <w:rPr>
                <w:rFonts w:ascii="Times New Roman" w:eastAsia="Calibri" w:hAnsi="Times New Roman" w:cs="Times New Roman"/>
                <w:b/>
                <w:bCs/>
                <w:sz w:val="24"/>
                <w:szCs w:val="24"/>
                <w:lang w:val="pt-BR" w:eastAsia="en-US"/>
              </w:rPr>
            </w:pPr>
            <w:r w:rsidRPr="004F0B58">
              <w:rPr>
                <w:rFonts w:ascii="Times New Roman" w:eastAsia="Calibri" w:hAnsi="Times New Roman" w:cs="Times New Roman"/>
                <w:b/>
                <w:bCs/>
                <w:sz w:val="24"/>
                <w:szCs w:val="24"/>
                <w:lang w:val="pt-BR" w:eastAsia="en-US"/>
              </w:rPr>
              <w:t>Mn</w:t>
            </w:r>
          </w:p>
        </w:tc>
        <w:tc>
          <w:tcPr>
            <w:tcW w:w="3402" w:type="dxa"/>
            <w:tcBorders>
              <w:top w:val="single" w:sz="12" w:space="0" w:color="auto"/>
              <w:left w:val="nil"/>
              <w:bottom w:val="single" w:sz="4" w:space="0" w:color="auto"/>
              <w:right w:val="nil"/>
            </w:tcBorders>
            <w:shd w:val="clear" w:color="auto" w:fill="auto"/>
            <w:vAlign w:val="center"/>
          </w:tcPr>
          <w:p w14:paraId="1B62CB80" w14:textId="5CBBABFE" w:rsidR="004F0B58" w:rsidRPr="004F0B58" w:rsidRDefault="00A41699" w:rsidP="004F0B58">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Weathering of rocks</w:t>
            </w:r>
          </w:p>
        </w:tc>
        <w:tc>
          <w:tcPr>
            <w:tcW w:w="4394" w:type="dxa"/>
            <w:tcBorders>
              <w:top w:val="single" w:sz="12" w:space="0" w:color="auto"/>
              <w:left w:val="nil"/>
              <w:bottom w:val="single" w:sz="4" w:space="0" w:color="auto"/>
              <w:right w:val="nil"/>
            </w:tcBorders>
            <w:shd w:val="clear" w:color="auto" w:fill="auto"/>
            <w:vAlign w:val="center"/>
          </w:tcPr>
          <w:p w14:paraId="3825AED7" w14:textId="77777777" w:rsidR="004F0B58" w:rsidRPr="004F0B58" w:rsidRDefault="004F0B58" w:rsidP="004F0B58">
            <w:pPr>
              <w:spacing w:after="160"/>
              <w:jc w:val="both"/>
              <w:rPr>
                <w:rFonts w:ascii="Times New Roman" w:eastAsia="Calibri" w:hAnsi="Times New Roman" w:cs="Times New Roman"/>
                <w:sz w:val="24"/>
                <w:szCs w:val="24"/>
                <w:lang w:val="pt-BR" w:eastAsia="en-US"/>
              </w:rPr>
            </w:pPr>
            <w:r w:rsidRPr="004F0B58">
              <w:rPr>
                <w:rFonts w:ascii="Times New Roman" w:eastAsia="Calibri" w:hAnsi="Times New Roman" w:cs="Times New Roman"/>
                <w:sz w:val="24"/>
                <w:szCs w:val="24"/>
                <w:lang w:val="en-US" w:eastAsia="en-US"/>
              </w:rPr>
              <w:t>Rupakheti et al. (2017), Islam et al. (2018), Wang et al. (2020b)</w:t>
            </w:r>
          </w:p>
        </w:tc>
      </w:tr>
      <w:tr w:rsidR="004F0B58" w:rsidRPr="004F0B58" w14:paraId="303BEE25" w14:textId="77777777" w:rsidTr="00013B24">
        <w:tc>
          <w:tcPr>
            <w:tcW w:w="1276" w:type="dxa"/>
            <w:vMerge/>
            <w:tcBorders>
              <w:top w:val="single" w:sz="12" w:space="0" w:color="auto"/>
              <w:left w:val="nil"/>
              <w:right w:val="nil"/>
            </w:tcBorders>
            <w:shd w:val="clear" w:color="auto" w:fill="auto"/>
            <w:vAlign w:val="center"/>
          </w:tcPr>
          <w:p w14:paraId="60A108EF" w14:textId="77777777" w:rsidR="004F0B58" w:rsidRPr="004F0B58" w:rsidRDefault="004F0B58" w:rsidP="004F0B58">
            <w:pPr>
              <w:spacing w:after="160"/>
              <w:jc w:val="center"/>
              <w:rPr>
                <w:rFonts w:ascii="Times New Roman" w:eastAsia="Calibri" w:hAnsi="Times New Roman" w:cs="Times New Roman"/>
                <w:b/>
                <w:bCs/>
                <w:sz w:val="24"/>
                <w:szCs w:val="24"/>
                <w:lang w:val="pt-BR" w:eastAsia="en-US"/>
              </w:rPr>
            </w:pPr>
          </w:p>
        </w:tc>
        <w:tc>
          <w:tcPr>
            <w:tcW w:w="3402" w:type="dxa"/>
            <w:tcBorders>
              <w:top w:val="single" w:sz="4" w:space="0" w:color="auto"/>
              <w:left w:val="nil"/>
              <w:bottom w:val="single" w:sz="4" w:space="0" w:color="auto"/>
              <w:right w:val="nil"/>
            </w:tcBorders>
            <w:shd w:val="clear" w:color="auto" w:fill="auto"/>
            <w:vAlign w:val="center"/>
          </w:tcPr>
          <w:p w14:paraId="1CE0A5FF" w14:textId="08DBA6A3" w:rsidR="004F0B58" w:rsidRPr="004F0B58" w:rsidRDefault="00A41699" w:rsidP="004F0B58">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Soil composition</w:t>
            </w:r>
          </w:p>
        </w:tc>
        <w:tc>
          <w:tcPr>
            <w:tcW w:w="4394" w:type="dxa"/>
            <w:tcBorders>
              <w:top w:val="single" w:sz="4" w:space="0" w:color="auto"/>
              <w:left w:val="nil"/>
              <w:bottom w:val="single" w:sz="4" w:space="0" w:color="auto"/>
              <w:right w:val="nil"/>
            </w:tcBorders>
            <w:shd w:val="clear" w:color="auto" w:fill="auto"/>
            <w:vAlign w:val="center"/>
          </w:tcPr>
          <w:p w14:paraId="714CF410" w14:textId="77777777" w:rsidR="004F0B58" w:rsidRPr="004F0B58" w:rsidRDefault="004F0B58" w:rsidP="004F0B58">
            <w:pPr>
              <w:spacing w:after="160"/>
              <w:jc w:val="both"/>
              <w:rPr>
                <w:rFonts w:ascii="Times New Roman" w:eastAsia="Calibri" w:hAnsi="Times New Roman" w:cs="Times New Roman"/>
                <w:sz w:val="24"/>
                <w:szCs w:val="24"/>
                <w:lang w:val="pt-BR" w:eastAsia="en-US"/>
              </w:rPr>
            </w:pPr>
            <w:r w:rsidRPr="004F0B58">
              <w:rPr>
                <w:rFonts w:ascii="Times New Roman" w:eastAsia="Calibri" w:hAnsi="Times New Roman" w:cs="Times New Roman"/>
                <w:sz w:val="24"/>
                <w:szCs w:val="24"/>
                <w:lang w:val="en-US" w:eastAsia="en-US"/>
              </w:rPr>
              <w:t>Wang et al. (2020b)</w:t>
            </w:r>
          </w:p>
        </w:tc>
      </w:tr>
      <w:tr w:rsidR="004F0B58" w:rsidRPr="004F0B58" w14:paraId="2D7372E7" w14:textId="77777777" w:rsidTr="00013B24">
        <w:tc>
          <w:tcPr>
            <w:tcW w:w="1276" w:type="dxa"/>
            <w:vMerge/>
            <w:tcBorders>
              <w:top w:val="single" w:sz="12" w:space="0" w:color="auto"/>
              <w:left w:val="nil"/>
              <w:right w:val="nil"/>
            </w:tcBorders>
            <w:shd w:val="clear" w:color="auto" w:fill="auto"/>
            <w:vAlign w:val="center"/>
          </w:tcPr>
          <w:p w14:paraId="062BBD50" w14:textId="77777777" w:rsidR="004F0B58" w:rsidRPr="004F0B58" w:rsidRDefault="004F0B58" w:rsidP="004F0B58">
            <w:pPr>
              <w:spacing w:after="160"/>
              <w:jc w:val="center"/>
              <w:rPr>
                <w:rFonts w:ascii="Times New Roman" w:eastAsia="Calibri" w:hAnsi="Times New Roman" w:cs="Times New Roman"/>
                <w:b/>
                <w:bCs/>
                <w:sz w:val="24"/>
                <w:szCs w:val="24"/>
                <w:lang w:val="pt-BR" w:eastAsia="en-US"/>
              </w:rPr>
            </w:pPr>
          </w:p>
        </w:tc>
        <w:tc>
          <w:tcPr>
            <w:tcW w:w="3402" w:type="dxa"/>
            <w:tcBorders>
              <w:top w:val="single" w:sz="4" w:space="0" w:color="auto"/>
              <w:left w:val="nil"/>
              <w:bottom w:val="single" w:sz="4" w:space="0" w:color="auto"/>
              <w:right w:val="nil"/>
            </w:tcBorders>
            <w:shd w:val="clear" w:color="auto" w:fill="auto"/>
            <w:vAlign w:val="center"/>
          </w:tcPr>
          <w:p w14:paraId="570A5E8F" w14:textId="32FCDF55" w:rsidR="004F0B58" w:rsidRPr="004F0B58" w:rsidRDefault="00A41699" w:rsidP="004F0B58">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Lithogenic origin</w:t>
            </w:r>
          </w:p>
        </w:tc>
        <w:tc>
          <w:tcPr>
            <w:tcW w:w="4394" w:type="dxa"/>
            <w:tcBorders>
              <w:top w:val="single" w:sz="4" w:space="0" w:color="auto"/>
              <w:left w:val="nil"/>
              <w:bottom w:val="single" w:sz="4" w:space="0" w:color="auto"/>
              <w:right w:val="nil"/>
            </w:tcBorders>
            <w:shd w:val="clear" w:color="auto" w:fill="auto"/>
            <w:vAlign w:val="center"/>
          </w:tcPr>
          <w:p w14:paraId="43DA6C24" w14:textId="77777777" w:rsidR="004F0B58" w:rsidRPr="004F0B58" w:rsidRDefault="004F0B58" w:rsidP="004F0B58">
            <w:pPr>
              <w:spacing w:after="160"/>
              <w:jc w:val="both"/>
              <w:rPr>
                <w:rFonts w:ascii="Times New Roman" w:eastAsia="Calibri" w:hAnsi="Times New Roman" w:cs="Times New Roman"/>
                <w:sz w:val="24"/>
                <w:szCs w:val="24"/>
                <w:lang w:val="en-US" w:eastAsia="en-US"/>
              </w:rPr>
            </w:pPr>
            <w:r w:rsidRPr="004F0B58">
              <w:rPr>
                <w:rFonts w:ascii="Times New Roman" w:eastAsia="Calibri" w:hAnsi="Times New Roman" w:cs="Times New Roman"/>
                <w:sz w:val="24"/>
                <w:szCs w:val="24"/>
                <w:lang w:val="pt-BR" w:eastAsia="en-US"/>
              </w:rPr>
              <w:t>Santos et al. (2020)</w:t>
            </w:r>
          </w:p>
        </w:tc>
      </w:tr>
      <w:tr w:rsidR="004F0B58" w:rsidRPr="004F0B58" w14:paraId="47B63125" w14:textId="77777777" w:rsidTr="00013B24">
        <w:tc>
          <w:tcPr>
            <w:tcW w:w="1276" w:type="dxa"/>
            <w:vMerge/>
            <w:tcBorders>
              <w:left w:val="nil"/>
              <w:right w:val="nil"/>
            </w:tcBorders>
            <w:shd w:val="clear" w:color="auto" w:fill="auto"/>
          </w:tcPr>
          <w:p w14:paraId="410BC8E2" w14:textId="77777777" w:rsidR="004F0B58" w:rsidRPr="004F0B58" w:rsidRDefault="004F0B58" w:rsidP="004F0B58">
            <w:pPr>
              <w:spacing w:after="160"/>
              <w:jc w:val="both"/>
              <w:rPr>
                <w:rFonts w:ascii="Times New Roman" w:eastAsia="Calibri" w:hAnsi="Times New Roman" w:cs="Times New Roman"/>
                <w:b/>
                <w:bCs/>
                <w:sz w:val="24"/>
                <w:szCs w:val="24"/>
                <w:lang w:val="pt-BR" w:eastAsia="en-US"/>
              </w:rPr>
            </w:pPr>
          </w:p>
        </w:tc>
        <w:tc>
          <w:tcPr>
            <w:tcW w:w="3402" w:type="dxa"/>
            <w:tcBorders>
              <w:top w:val="single" w:sz="4" w:space="0" w:color="auto"/>
              <w:left w:val="nil"/>
              <w:bottom w:val="single" w:sz="4" w:space="0" w:color="808080"/>
              <w:right w:val="nil"/>
            </w:tcBorders>
            <w:shd w:val="clear" w:color="auto" w:fill="auto"/>
            <w:vAlign w:val="center"/>
          </w:tcPr>
          <w:p w14:paraId="7C264C15" w14:textId="396712A9" w:rsidR="004F0B58" w:rsidRPr="004F0B58" w:rsidRDefault="00A41699" w:rsidP="004F0B58">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Geogenic origin</w:t>
            </w:r>
          </w:p>
        </w:tc>
        <w:tc>
          <w:tcPr>
            <w:tcW w:w="4394" w:type="dxa"/>
            <w:tcBorders>
              <w:top w:val="single" w:sz="4" w:space="0" w:color="auto"/>
              <w:left w:val="nil"/>
              <w:bottom w:val="single" w:sz="4" w:space="0" w:color="808080"/>
              <w:right w:val="nil"/>
            </w:tcBorders>
            <w:shd w:val="clear" w:color="auto" w:fill="auto"/>
            <w:vAlign w:val="center"/>
          </w:tcPr>
          <w:p w14:paraId="6441B47E" w14:textId="77777777" w:rsidR="004F0B58" w:rsidRPr="004F0B58" w:rsidRDefault="004F0B58" w:rsidP="004F0B58">
            <w:pPr>
              <w:spacing w:after="160"/>
              <w:jc w:val="both"/>
              <w:rPr>
                <w:rFonts w:ascii="Times New Roman" w:eastAsia="Calibri" w:hAnsi="Times New Roman" w:cs="Times New Roman"/>
                <w:sz w:val="24"/>
                <w:szCs w:val="24"/>
                <w:lang w:val="pt-BR" w:eastAsia="en-US"/>
              </w:rPr>
            </w:pPr>
            <w:r w:rsidRPr="004F0B58">
              <w:rPr>
                <w:rFonts w:ascii="Times New Roman" w:eastAsia="Calibri" w:hAnsi="Times New Roman" w:cs="Times New Roman"/>
                <w:sz w:val="24"/>
                <w:szCs w:val="24"/>
                <w:lang w:val="pt-BR" w:eastAsia="en-US"/>
              </w:rPr>
              <w:t>Ustaoğlua e Islam (2020)</w:t>
            </w:r>
          </w:p>
        </w:tc>
      </w:tr>
      <w:tr w:rsidR="004F0B58" w:rsidRPr="004F0B58" w14:paraId="7BE12537" w14:textId="77777777" w:rsidTr="00013B24">
        <w:tc>
          <w:tcPr>
            <w:tcW w:w="1276" w:type="dxa"/>
            <w:vMerge w:val="restart"/>
            <w:tcBorders>
              <w:top w:val="single" w:sz="12" w:space="0" w:color="auto"/>
              <w:left w:val="nil"/>
              <w:right w:val="nil"/>
            </w:tcBorders>
            <w:shd w:val="clear" w:color="auto" w:fill="auto"/>
            <w:vAlign w:val="center"/>
          </w:tcPr>
          <w:p w14:paraId="33883D72" w14:textId="77777777" w:rsidR="004F0B58" w:rsidRPr="004F0B58" w:rsidRDefault="004F0B58" w:rsidP="004F0B58">
            <w:pPr>
              <w:spacing w:after="160"/>
              <w:jc w:val="center"/>
              <w:rPr>
                <w:rFonts w:ascii="Times New Roman" w:eastAsia="Calibri" w:hAnsi="Times New Roman" w:cs="Times New Roman"/>
                <w:b/>
                <w:bCs/>
                <w:sz w:val="24"/>
                <w:szCs w:val="24"/>
                <w:lang w:val="pt-BR" w:eastAsia="en-US"/>
              </w:rPr>
            </w:pPr>
            <w:r w:rsidRPr="004F0B58">
              <w:rPr>
                <w:rFonts w:ascii="Times New Roman" w:eastAsia="Calibri" w:hAnsi="Times New Roman" w:cs="Times New Roman"/>
                <w:b/>
                <w:bCs/>
                <w:sz w:val="24"/>
                <w:szCs w:val="24"/>
                <w:lang w:val="pt-BR" w:eastAsia="en-US"/>
              </w:rPr>
              <w:t>Mo</w:t>
            </w:r>
          </w:p>
        </w:tc>
        <w:tc>
          <w:tcPr>
            <w:tcW w:w="3402" w:type="dxa"/>
            <w:tcBorders>
              <w:top w:val="single" w:sz="12" w:space="0" w:color="auto"/>
              <w:left w:val="nil"/>
              <w:bottom w:val="single" w:sz="4" w:space="0" w:color="auto"/>
              <w:right w:val="nil"/>
            </w:tcBorders>
            <w:shd w:val="clear" w:color="auto" w:fill="auto"/>
            <w:vAlign w:val="center"/>
          </w:tcPr>
          <w:p w14:paraId="0CAA1290" w14:textId="00DE016E" w:rsidR="004F0B58" w:rsidRPr="004F0B58" w:rsidRDefault="00A41699" w:rsidP="004F0B58">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Weathering of rocks</w:t>
            </w:r>
          </w:p>
        </w:tc>
        <w:tc>
          <w:tcPr>
            <w:tcW w:w="4394" w:type="dxa"/>
            <w:tcBorders>
              <w:top w:val="single" w:sz="12" w:space="0" w:color="auto"/>
              <w:left w:val="nil"/>
              <w:bottom w:val="single" w:sz="4" w:space="0" w:color="auto"/>
              <w:right w:val="nil"/>
            </w:tcBorders>
            <w:shd w:val="clear" w:color="auto" w:fill="auto"/>
            <w:vAlign w:val="center"/>
          </w:tcPr>
          <w:p w14:paraId="7396D11C" w14:textId="77777777" w:rsidR="004F0B58" w:rsidRPr="004F0B58" w:rsidRDefault="004F0B58" w:rsidP="004F0B58">
            <w:pPr>
              <w:spacing w:after="160"/>
              <w:jc w:val="both"/>
              <w:rPr>
                <w:rFonts w:ascii="Times New Roman" w:eastAsia="Calibri" w:hAnsi="Times New Roman" w:cs="Times New Roman"/>
                <w:sz w:val="24"/>
                <w:szCs w:val="24"/>
                <w:lang w:val="pt-BR" w:eastAsia="en-US"/>
              </w:rPr>
            </w:pPr>
            <w:r w:rsidRPr="004F0B58">
              <w:rPr>
                <w:rFonts w:ascii="Times New Roman" w:eastAsia="Calibri" w:hAnsi="Times New Roman" w:cs="Times New Roman"/>
                <w:sz w:val="24"/>
                <w:szCs w:val="24"/>
                <w:lang w:val="pt-BR" w:eastAsia="en-US"/>
              </w:rPr>
              <w:t>Munk; Faure (2004)</w:t>
            </w:r>
          </w:p>
        </w:tc>
      </w:tr>
      <w:tr w:rsidR="004F0B58" w:rsidRPr="004F0B58" w14:paraId="6952E4F2" w14:textId="77777777" w:rsidTr="00013B24">
        <w:tc>
          <w:tcPr>
            <w:tcW w:w="1276" w:type="dxa"/>
            <w:vMerge/>
            <w:tcBorders>
              <w:top w:val="single" w:sz="12" w:space="0" w:color="auto"/>
              <w:left w:val="nil"/>
              <w:right w:val="nil"/>
            </w:tcBorders>
            <w:shd w:val="clear" w:color="auto" w:fill="auto"/>
            <w:vAlign w:val="center"/>
          </w:tcPr>
          <w:p w14:paraId="075DAD8A" w14:textId="77777777" w:rsidR="004F0B58" w:rsidRPr="004F0B58" w:rsidRDefault="004F0B58" w:rsidP="004F0B58">
            <w:pPr>
              <w:spacing w:after="160"/>
              <w:jc w:val="center"/>
              <w:rPr>
                <w:rFonts w:ascii="Times New Roman" w:eastAsia="Calibri" w:hAnsi="Times New Roman" w:cs="Times New Roman"/>
                <w:sz w:val="24"/>
                <w:szCs w:val="24"/>
                <w:lang w:val="pt-BR" w:eastAsia="en-US"/>
              </w:rPr>
            </w:pPr>
          </w:p>
        </w:tc>
        <w:tc>
          <w:tcPr>
            <w:tcW w:w="3402" w:type="dxa"/>
            <w:tcBorders>
              <w:top w:val="single" w:sz="4" w:space="0" w:color="auto"/>
              <w:left w:val="nil"/>
              <w:bottom w:val="single" w:sz="12" w:space="0" w:color="auto"/>
              <w:right w:val="nil"/>
            </w:tcBorders>
            <w:shd w:val="clear" w:color="auto" w:fill="auto"/>
            <w:vAlign w:val="center"/>
          </w:tcPr>
          <w:p w14:paraId="2FD732AB" w14:textId="3C7FD775" w:rsidR="004F0B58" w:rsidRPr="004F0B58" w:rsidRDefault="00A41699" w:rsidP="004F0B58">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Geogenic origin</w:t>
            </w:r>
          </w:p>
        </w:tc>
        <w:tc>
          <w:tcPr>
            <w:tcW w:w="4394" w:type="dxa"/>
            <w:tcBorders>
              <w:top w:val="single" w:sz="4" w:space="0" w:color="auto"/>
              <w:left w:val="nil"/>
              <w:bottom w:val="single" w:sz="12" w:space="0" w:color="auto"/>
              <w:right w:val="nil"/>
            </w:tcBorders>
            <w:shd w:val="clear" w:color="auto" w:fill="auto"/>
            <w:vAlign w:val="center"/>
          </w:tcPr>
          <w:p w14:paraId="6DBF920D" w14:textId="77777777" w:rsidR="004F0B58" w:rsidRPr="004F0B58" w:rsidRDefault="004F0B58" w:rsidP="004F0B58">
            <w:pPr>
              <w:spacing w:after="160"/>
              <w:jc w:val="both"/>
              <w:rPr>
                <w:rFonts w:ascii="Times New Roman" w:eastAsia="Calibri" w:hAnsi="Times New Roman" w:cs="Times New Roman"/>
                <w:sz w:val="24"/>
                <w:szCs w:val="24"/>
                <w:lang w:val="pt-BR" w:eastAsia="en-US"/>
              </w:rPr>
            </w:pPr>
            <w:r w:rsidRPr="004F0B58">
              <w:rPr>
                <w:rFonts w:ascii="Times New Roman" w:eastAsia="Calibri" w:hAnsi="Times New Roman" w:cs="Times New Roman"/>
                <w:sz w:val="24"/>
                <w:szCs w:val="24"/>
                <w:lang w:val="pt-BR" w:eastAsia="en-US"/>
              </w:rPr>
              <w:t>Vystavna et al. (2012)</w:t>
            </w:r>
          </w:p>
        </w:tc>
      </w:tr>
      <w:tr w:rsidR="004F0B58" w:rsidRPr="004F0B58" w14:paraId="07374150" w14:textId="77777777" w:rsidTr="00013B24">
        <w:tc>
          <w:tcPr>
            <w:tcW w:w="1276" w:type="dxa"/>
            <w:vMerge w:val="restart"/>
            <w:tcBorders>
              <w:top w:val="single" w:sz="12" w:space="0" w:color="auto"/>
              <w:left w:val="nil"/>
              <w:right w:val="nil"/>
            </w:tcBorders>
            <w:vAlign w:val="center"/>
          </w:tcPr>
          <w:p w14:paraId="2C260B3B" w14:textId="77777777" w:rsidR="004F0B58" w:rsidRPr="004F0B58" w:rsidRDefault="004F0B58" w:rsidP="004F0B58">
            <w:pPr>
              <w:spacing w:after="160"/>
              <w:jc w:val="center"/>
              <w:rPr>
                <w:rFonts w:ascii="Times New Roman" w:eastAsia="Calibri" w:hAnsi="Times New Roman" w:cs="Times New Roman"/>
                <w:b/>
                <w:bCs/>
                <w:sz w:val="24"/>
                <w:szCs w:val="24"/>
                <w:lang w:val="pt-BR" w:eastAsia="en-US"/>
              </w:rPr>
            </w:pPr>
            <w:r w:rsidRPr="004F0B58">
              <w:rPr>
                <w:rFonts w:ascii="Times New Roman" w:eastAsia="Calibri" w:hAnsi="Times New Roman" w:cs="Times New Roman"/>
                <w:b/>
                <w:bCs/>
                <w:sz w:val="24"/>
                <w:szCs w:val="24"/>
                <w:lang w:val="pt-BR" w:eastAsia="en-US"/>
              </w:rPr>
              <w:t>Ni</w:t>
            </w:r>
          </w:p>
        </w:tc>
        <w:tc>
          <w:tcPr>
            <w:tcW w:w="3402" w:type="dxa"/>
            <w:tcBorders>
              <w:top w:val="single" w:sz="12" w:space="0" w:color="auto"/>
              <w:left w:val="nil"/>
              <w:bottom w:val="single" w:sz="4" w:space="0" w:color="auto"/>
              <w:right w:val="nil"/>
            </w:tcBorders>
            <w:shd w:val="clear" w:color="auto" w:fill="auto"/>
            <w:vAlign w:val="center"/>
          </w:tcPr>
          <w:p w14:paraId="4A899ED0" w14:textId="1D83F8F3" w:rsidR="004F0B58" w:rsidRPr="004F0B58" w:rsidRDefault="00A41699" w:rsidP="004F0B58">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en-US" w:eastAsia="en-US"/>
              </w:rPr>
              <w:t>Weathering of rocks</w:t>
            </w:r>
          </w:p>
        </w:tc>
        <w:tc>
          <w:tcPr>
            <w:tcW w:w="4394" w:type="dxa"/>
            <w:tcBorders>
              <w:top w:val="single" w:sz="12" w:space="0" w:color="auto"/>
              <w:left w:val="nil"/>
              <w:bottom w:val="single" w:sz="4" w:space="0" w:color="auto"/>
              <w:right w:val="nil"/>
            </w:tcBorders>
            <w:shd w:val="clear" w:color="auto" w:fill="auto"/>
            <w:vAlign w:val="center"/>
          </w:tcPr>
          <w:p w14:paraId="1C9E7D3D" w14:textId="77777777" w:rsidR="004F0B58" w:rsidRPr="004F0B58" w:rsidRDefault="004F0B58" w:rsidP="004F0B58">
            <w:pPr>
              <w:spacing w:after="160"/>
              <w:jc w:val="both"/>
              <w:rPr>
                <w:rFonts w:ascii="Times New Roman" w:eastAsia="Calibri" w:hAnsi="Times New Roman" w:cs="Times New Roman"/>
                <w:sz w:val="24"/>
                <w:szCs w:val="24"/>
                <w:lang w:val="en-US" w:eastAsia="en-US"/>
              </w:rPr>
            </w:pPr>
            <w:r w:rsidRPr="004F0B58">
              <w:rPr>
                <w:rFonts w:ascii="Times New Roman" w:eastAsia="Calibri" w:hAnsi="Times New Roman" w:cs="Times New Roman"/>
                <w:sz w:val="24"/>
                <w:szCs w:val="24"/>
                <w:lang w:val="en-US" w:eastAsia="en-US"/>
              </w:rPr>
              <w:t>Ahmad et al. (2020), Li et al. (2020), Yuan et al. (2019), Zhang et al. (2018), Shakeri et al. (2020), Amini e Qishlaqi (2020), Huang et al. (2020a), Xiao et al. (2019), Huang et al. (2020b)</w:t>
            </w:r>
          </w:p>
        </w:tc>
      </w:tr>
      <w:tr w:rsidR="004F0B58" w:rsidRPr="004F0B58" w14:paraId="28FEFAD6" w14:textId="77777777" w:rsidTr="00013B24">
        <w:tc>
          <w:tcPr>
            <w:tcW w:w="1276" w:type="dxa"/>
            <w:vMerge/>
            <w:tcBorders>
              <w:left w:val="nil"/>
              <w:right w:val="nil"/>
            </w:tcBorders>
          </w:tcPr>
          <w:p w14:paraId="6DD15DB8" w14:textId="77777777" w:rsidR="004F0B58" w:rsidRPr="004F0B58" w:rsidRDefault="004F0B58" w:rsidP="004F0B58">
            <w:pPr>
              <w:spacing w:after="160"/>
              <w:jc w:val="both"/>
              <w:rPr>
                <w:rFonts w:ascii="Times New Roman" w:eastAsia="Calibri" w:hAnsi="Times New Roman" w:cs="Times New Roman"/>
                <w:sz w:val="24"/>
                <w:szCs w:val="24"/>
                <w:lang w:val="en-US" w:eastAsia="en-US"/>
              </w:rPr>
            </w:pPr>
          </w:p>
        </w:tc>
        <w:tc>
          <w:tcPr>
            <w:tcW w:w="3402" w:type="dxa"/>
            <w:tcBorders>
              <w:top w:val="single" w:sz="4" w:space="0" w:color="auto"/>
              <w:left w:val="nil"/>
              <w:bottom w:val="single" w:sz="4" w:space="0" w:color="auto"/>
              <w:right w:val="nil"/>
            </w:tcBorders>
            <w:shd w:val="clear" w:color="auto" w:fill="auto"/>
            <w:vAlign w:val="center"/>
          </w:tcPr>
          <w:p w14:paraId="14055CE0" w14:textId="43ECBD94" w:rsidR="004F0B58" w:rsidRPr="004F0B58" w:rsidRDefault="00A41699" w:rsidP="004F0B58">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en-US" w:eastAsia="en-US"/>
              </w:rPr>
              <w:t>Geogenic origin</w:t>
            </w:r>
          </w:p>
        </w:tc>
        <w:tc>
          <w:tcPr>
            <w:tcW w:w="4394" w:type="dxa"/>
            <w:tcBorders>
              <w:top w:val="single" w:sz="4" w:space="0" w:color="auto"/>
              <w:left w:val="nil"/>
              <w:bottom w:val="single" w:sz="4" w:space="0" w:color="auto"/>
              <w:right w:val="nil"/>
            </w:tcBorders>
            <w:shd w:val="clear" w:color="auto" w:fill="auto"/>
            <w:vAlign w:val="center"/>
          </w:tcPr>
          <w:p w14:paraId="2CC8A8C3" w14:textId="77777777" w:rsidR="004F0B58" w:rsidRPr="004F0B58" w:rsidRDefault="004F0B58" w:rsidP="004F0B58">
            <w:pPr>
              <w:spacing w:after="160"/>
              <w:jc w:val="both"/>
              <w:rPr>
                <w:rFonts w:ascii="Times New Roman" w:eastAsia="Calibri" w:hAnsi="Times New Roman" w:cs="Times New Roman"/>
                <w:sz w:val="24"/>
                <w:szCs w:val="24"/>
                <w:lang w:val="en-US" w:eastAsia="en-US"/>
              </w:rPr>
            </w:pPr>
            <w:r w:rsidRPr="004F0B58">
              <w:rPr>
                <w:rFonts w:ascii="Times New Roman" w:eastAsia="Calibri" w:hAnsi="Times New Roman" w:cs="Times New Roman"/>
                <w:sz w:val="24"/>
                <w:szCs w:val="24"/>
                <w:lang w:val="en-US" w:eastAsia="en-US"/>
              </w:rPr>
              <w:t>Milačič et al. (2019), Xia et al. (2020), Chaparro et al. (2020)</w:t>
            </w:r>
          </w:p>
        </w:tc>
      </w:tr>
      <w:tr w:rsidR="004F0B58" w:rsidRPr="004F0B58" w14:paraId="380F8CEE" w14:textId="77777777" w:rsidTr="00013B24">
        <w:tc>
          <w:tcPr>
            <w:tcW w:w="1276" w:type="dxa"/>
            <w:vMerge/>
            <w:tcBorders>
              <w:left w:val="nil"/>
              <w:right w:val="nil"/>
            </w:tcBorders>
          </w:tcPr>
          <w:p w14:paraId="58E9ADD8" w14:textId="77777777" w:rsidR="004F0B58" w:rsidRPr="004F0B58" w:rsidRDefault="004F0B58" w:rsidP="004F0B58">
            <w:pPr>
              <w:spacing w:after="160"/>
              <w:jc w:val="both"/>
              <w:rPr>
                <w:rFonts w:ascii="Times New Roman" w:eastAsia="Calibri" w:hAnsi="Times New Roman" w:cs="Times New Roman"/>
                <w:sz w:val="24"/>
                <w:szCs w:val="24"/>
                <w:lang w:val="en-US" w:eastAsia="en-US"/>
              </w:rPr>
            </w:pPr>
          </w:p>
        </w:tc>
        <w:tc>
          <w:tcPr>
            <w:tcW w:w="3402" w:type="dxa"/>
            <w:tcBorders>
              <w:top w:val="single" w:sz="4" w:space="0" w:color="auto"/>
              <w:left w:val="nil"/>
              <w:bottom w:val="single" w:sz="4" w:space="0" w:color="auto"/>
              <w:right w:val="nil"/>
            </w:tcBorders>
            <w:shd w:val="clear" w:color="auto" w:fill="auto"/>
            <w:vAlign w:val="center"/>
          </w:tcPr>
          <w:p w14:paraId="17BF29F6" w14:textId="5975DE8F" w:rsidR="004F0B58" w:rsidRPr="004F0B58" w:rsidRDefault="00A41699" w:rsidP="004F0B58">
            <w:pPr>
              <w:spacing w:after="160"/>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Lithogenic origin</w:t>
            </w:r>
          </w:p>
        </w:tc>
        <w:tc>
          <w:tcPr>
            <w:tcW w:w="4394" w:type="dxa"/>
            <w:tcBorders>
              <w:top w:val="single" w:sz="4" w:space="0" w:color="auto"/>
              <w:left w:val="nil"/>
              <w:bottom w:val="single" w:sz="4" w:space="0" w:color="auto"/>
              <w:right w:val="nil"/>
            </w:tcBorders>
            <w:shd w:val="clear" w:color="auto" w:fill="auto"/>
            <w:vAlign w:val="center"/>
          </w:tcPr>
          <w:p w14:paraId="1BB98AD3" w14:textId="77777777" w:rsidR="004F0B58" w:rsidRPr="004F0B58" w:rsidRDefault="004F0B58" w:rsidP="004F0B58">
            <w:pPr>
              <w:spacing w:after="160"/>
              <w:jc w:val="both"/>
              <w:rPr>
                <w:rFonts w:ascii="Times New Roman" w:eastAsia="Calibri" w:hAnsi="Times New Roman" w:cs="Times New Roman"/>
                <w:sz w:val="24"/>
                <w:szCs w:val="24"/>
                <w:lang w:val="en-US" w:eastAsia="en-US"/>
              </w:rPr>
            </w:pPr>
            <w:r w:rsidRPr="004F0B58">
              <w:rPr>
                <w:rFonts w:ascii="Times New Roman" w:eastAsia="Calibri" w:hAnsi="Times New Roman" w:cs="Times New Roman"/>
                <w:sz w:val="24"/>
                <w:szCs w:val="24"/>
                <w:lang w:val="pt-BR" w:eastAsia="en-US"/>
              </w:rPr>
              <w:t xml:space="preserve">Shakeri et al. (2020), Amini e Qishlaqi (2020), Santos et al. </w:t>
            </w:r>
            <w:r w:rsidRPr="004F0B58">
              <w:rPr>
                <w:rFonts w:ascii="Times New Roman" w:eastAsia="Calibri" w:hAnsi="Times New Roman" w:cs="Times New Roman"/>
                <w:sz w:val="24"/>
                <w:szCs w:val="24"/>
                <w:lang w:val="en-US" w:eastAsia="en-US"/>
              </w:rPr>
              <w:t>(2020)</w:t>
            </w:r>
          </w:p>
        </w:tc>
      </w:tr>
      <w:tr w:rsidR="004F0B58" w:rsidRPr="004F0B58" w14:paraId="5B41DBC7" w14:textId="77777777" w:rsidTr="00013B24">
        <w:tc>
          <w:tcPr>
            <w:tcW w:w="1276" w:type="dxa"/>
            <w:vMerge/>
            <w:tcBorders>
              <w:left w:val="nil"/>
              <w:right w:val="nil"/>
            </w:tcBorders>
          </w:tcPr>
          <w:p w14:paraId="479E5CDA" w14:textId="77777777" w:rsidR="004F0B58" w:rsidRPr="004F0B58" w:rsidRDefault="004F0B58" w:rsidP="004F0B58">
            <w:pPr>
              <w:spacing w:after="160"/>
              <w:jc w:val="both"/>
              <w:rPr>
                <w:rFonts w:ascii="Times New Roman" w:eastAsia="Calibri" w:hAnsi="Times New Roman" w:cs="Times New Roman"/>
                <w:sz w:val="24"/>
                <w:szCs w:val="24"/>
                <w:lang w:val="en-US" w:eastAsia="en-US"/>
              </w:rPr>
            </w:pPr>
          </w:p>
        </w:tc>
        <w:tc>
          <w:tcPr>
            <w:tcW w:w="3402" w:type="dxa"/>
            <w:tcBorders>
              <w:top w:val="single" w:sz="4" w:space="0" w:color="auto"/>
              <w:left w:val="nil"/>
              <w:bottom w:val="single" w:sz="4" w:space="0" w:color="808080"/>
              <w:right w:val="nil"/>
            </w:tcBorders>
            <w:shd w:val="clear" w:color="auto" w:fill="auto"/>
            <w:vAlign w:val="center"/>
          </w:tcPr>
          <w:p w14:paraId="215D0198" w14:textId="744FF7FC" w:rsidR="004F0B58" w:rsidRPr="004F0B58" w:rsidRDefault="00A41699" w:rsidP="004F0B58">
            <w:pPr>
              <w:spacing w:after="160"/>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Soil composition</w:t>
            </w:r>
          </w:p>
        </w:tc>
        <w:tc>
          <w:tcPr>
            <w:tcW w:w="4394" w:type="dxa"/>
            <w:tcBorders>
              <w:top w:val="single" w:sz="4" w:space="0" w:color="auto"/>
              <w:left w:val="nil"/>
              <w:bottom w:val="single" w:sz="4" w:space="0" w:color="808080"/>
              <w:right w:val="nil"/>
            </w:tcBorders>
            <w:shd w:val="clear" w:color="auto" w:fill="auto"/>
            <w:vAlign w:val="center"/>
          </w:tcPr>
          <w:p w14:paraId="0812FB5D" w14:textId="77777777" w:rsidR="004F0B58" w:rsidRPr="004F0B58" w:rsidRDefault="004F0B58" w:rsidP="004F0B58">
            <w:pPr>
              <w:spacing w:after="160"/>
              <w:jc w:val="both"/>
              <w:rPr>
                <w:rFonts w:ascii="Times New Roman" w:eastAsia="Calibri" w:hAnsi="Times New Roman" w:cs="Times New Roman"/>
                <w:sz w:val="24"/>
                <w:szCs w:val="24"/>
                <w:lang w:val="pt-BR" w:eastAsia="en-US"/>
              </w:rPr>
            </w:pPr>
            <w:r w:rsidRPr="004F0B58">
              <w:rPr>
                <w:rFonts w:ascii="Times New Roman" w:eastAsia="Calibri" w:hAnsi="Times New Roman" w:cs="Times New Roman"/>
                <w:sz w:val="24"/>
                <w:szCs w:val="24"/>
                <w:lang w:val="en-US" w:eastAsia="en-US"/>
              </w:rPr>
              <w:t>Sheykhi et al. (2017)</w:t>
            </w:r>
          </w:p>
        </w:tc>
      </w:tr>
      <w:tr w:rsidR="004F0B58" w:rsidRPr="004F0B58" w14:paraId="1854C456" w14:textId="77777777" w:rsidTr="00013B24">
        <w:tc>
          <w:tcPr>
            <w:tcW w:w="1276" w:type="dxa"/>
            <w:vMerge/>
            <w:tcBorders>
              <w:left w:val="nil"/>
              <w:right w:val="nil"/>
            </w:tcBorders>
          </w:tcPr>
          <w:p w14:paraId="08993597" w14:textId="77777777" w:rsidR="004F0B58" w:rsidRPr="004F0B58" w:rsidRDefault="004F0B58" w:rsidP="004F0B58">
            <w:pPr>
              <w:spacing w:after="160"/>
              <w:jc w:val="both"/>
              <w:rPr>
                <w:rFonts w:ascii="Times New Roman" w:eastAsia="Calibri" w:hAnsi="Times New Roman" w:cs="Times New Roman"/>
                <w:sz w:val="24"/>
                <w:szCs w:val="24"/>
                <w:lang w:val="en-US" w:eastAsia="en-US"/>
              </w:rPr>
            </w:pPr>
          </w:p>
        </w:tc>
        <w:tc>
          <w:tcPr>
            <w:tcW w:w="3402" w:type="dxa"/>
            <w:tcBorders>
              <w:top w:val="single" w:sz="4" w:space="0" w:color="auto"/>
              <w:left w:val="nil"/>
              <w:bottom w:val="single" w:sz="4" w:space="0" w:color="808080"/>
              <w:right w:val="nil"/>
            </w:tcBorders>
            <w:shd w:val="clear" w:color="auto" w:fill="auto"/>
            <w:vAlign w:val="center"/>
          </w:tcPr>
          <w:p w14:paraId="78A9A297" w14:textId="478863F4" w:rsidR="004F0B58" w:rsidRPr="004F0B58" w:rsidRDefault="0075076F" w:rsidP="004F0B58">
            <w:pPr>
              <w:spacing w:after="160"/>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Geothermal areas</w:t>
            </w:r>
          </w:p>
        </w:tc>
        <w:tc>
          <w:tcPr>
            <w:tcW w:w="4394" w:type="dxa"/>
            <w:tcBorders>
              <w:top w:val="single" w:sz="4" w:space="0" w:color="auto"/>
              <w:left w:val="nil"/>
              <w:bottom w:val="single" w:sz="4" w:space="0" w:color="808080"/>
              <w:right w:val="nil"/>
            </w:tcBorders>
            <w:shd w:val="clear" w:color="auto" w:fill="auto"/>
            <w:vAlign w:val="center"/>
          </w:tcPr>
          <w:p w14:paraId="1ECF78AA" w14:textId="77777777" w:rsidR="004F0B58" w:rsidRPr="004F0B58" w:rsidRDefault="004F0B58" w:rsidP="004F0B58">
            <w:pPr>
              <w:spacing w:after="160"/>
              <w:jc w:val="both"/>
              <w:rPr>
                <w:rFonts w:ascii="Times New Roman" w:eastAsia="Calibri" w:hAnsi="Times New Roman" w:cs="Times New Roman"/>
                <w:sz w:val="24"/>
                <w:szCs w:val="24"/>
                <w:lang w:val="en-US" w:eastAsia="en-US"/>
              </w:rPr>
            </w:pPr>
            <w:r w:rsidRPr="004F0B58">
              <w:rPr>
                <w:rFonts w:ascii="Times New Roman" w:eastAsia="Calibri" w:hAnsi="Times New Roman" w:cs="Times New Roman"/>
                <w:sz w:val="24"/>
                <w:szCs w:val="24"/>
                <w:lang w:val="en-US" w:eastAsia="en-US"/>
              </w:rPr>
              <w:t>Shakeri et al. (2020)</w:t>
            </w:r>
          </w:p>
        </w:tc>
      </w:tr>
      <w:tr w:rsidR="004F0B58" w:rsidRPr="004F0B58" w14:paraId="2EDA6041" w14:textId="77777777" w:rsidTr="00013B24">
        <w:tc>
          <w:tcPr>
            <w:tcW w:w="1276" w:type="dxa"/>
            <w:vMerge w:val="restart"/>
            <w:tcBorders>
              <w:top w:val="single" w:sz="12" w:space="0" w:color="auto"/>
              <w:left w:val="nil"/>
              <w:right w:val="nil"/>
            </w:tcBorders>
            <w:shd w:val="clear" w:color="auto" w:fill="auto"/>
            <w:vAlign w:val="center"/>
          </w:tcPr>
          <w:p w14:paraId="06FCE206" w14:textId="77777777" w:rsidR="004F0B58" w:rsidRPr="004F0B58" w:rsidRDefault="004F0B58" w:rsidP="004F0B58">
            <w:pPr>
              <w:spacing w:after="160"/>
              <w:jc w:val="center"/>
              <w:rPr>
                <w:rFonts w:ascii="Times New Roman" w:eastAsia="Calibri" w:hAnsi="Times New Roman" w:cs="Times New Roman"/>
                <w:b/>
                <w:bCs/>
                <w:sz w:val="24"/>
                <w:szCs w:val="24"/>
                <w:lang w:val="pt-BR" w:eastAsia="en-US"/>
              </w:rPr>
            </w:pPr>
            <w:r w:rsidRPr="004F0B58">
              <w:rPr>
                <w:rFonts w:ascii="Times New Roman" w:eastAsia="Calibri" w:hAnsi="Times New Roman" w:cs="Times New Roman"/>
                <w:b/>
                <w:bCs/>
                <w:sz w:val="24"/>
                <w:szCs w:val="24"/>
                <w:lang w:val="pt-BR" w:eastAsia="en-US"/>
              </w:rPr>
              <w:lastRenderedPageBreak/>
              <w:t>Pb</w:t>
            </w:r>
          </w:p>
        </w:tc>
        <w:tc>
          <w:tcPr>
            <w:tcW w:w="3402" w:type="dxa"/>
            <w:tcBorders>
              <w:top w:val="single" w:sz="12" w:space="0" w:color="auto"/>
              <w:left w:val="nil"/>
              <w:bottom w:val="single" w:sz="4" w:space="0" w:color="auto"/>
              <w:right w:val="nil"/>
            </w:tcBorders>
            <w:shd w:val="clear" w:color="auto" w:fill="auto"/>
            <w:vAlign w:val="center"/>
          </w:tcPr>
          <w:p w14:paraId="2E77BE4C" w14:textId="6B8601F1" w:rsidR="004F0B58" w:rsidRPr="004F0B58" w:rsidRDefault="00A41699" w:rsidP="004F0B58">
            <w:pPr>
              <w:spacing w:after="160"/>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pt-BR" w:eastAsia="en-US"/>
              </w:rPr>
              <w:t>Weathering of rocks</w:t>
            </w:r>
          </w:p>
        </w:tc>
        <w:tc>
          <w:tcPr>
            <w:tcW w:w="4394" w:type="dxa"/>
            <w:tcBorders>
              <w:top w:val="single" w:sz="12" w:space="0" w:color="auto"/>
              <w:left w:val="nil"/>
              <w:bottom w:val="single" w:sz="4" w:space="0" w:color="auto"/>
              <w:right w:val="nil"/>
            </w:tcBorders>
            <w:shd w:val="clear" w:color="auto" w:fill="auto"/>
            <w:vAlign w:val="center"/>
          </w:tcPr>
          <w:p w14:paraId="42CC3357" w14:textId="77777777" w:rsidR="004F0B58" w:rsidRPr="004F0B58" w:rsidRDefault="004F0B58" w:rsidP="004F0B58">
            <w:pPr>
              <w:spacing w:after="160"/>
              <w:jc w:val="both"/>
              <w:rPr>
                <w:rFonts w:ascii="Times New Roman" w:eastAsia="Calibri" w:hAnsi="Times New Roman" w:cs="Times New Roman"/>
                <w:sz w:val="24"/>
                <w:szCs w:val="24"/>
                <w:lang w:val="en-US" w:eastAsia="en-US"/>
              </w:rPr>
            </w:pPr>
            <w:r w:rsidRPr="004F0B58">
              <w:rPr>
                <w:rFonts w:ascii="Times New Roman" w:eastAsia="Calibri" w:hAnsi="Times New Roman" w:cs="Times New Roman"/>
                <w:sz w:val="24"/>
                <w:szCs w:val="24"/>
                <w:lang w:val="en-US" w:eastAsia="en-US"/>
              </w:rPr>
              <w:t>Huang et al. (2020b), Xiao et al. (2019), Ahmad et al. (2020), Islam et al. (2018), Munk; Faure (2004), Zhuang et al. (2019)</w:t>
            </w:r>
          </w:p>
        </w:tc>
      </w:tr>
      <w:tr w:rsidR="004F0B58" w:rsidRPr="004F0B58" w14:paraId="7346A995" w14:textId="77777777" w:rsidTr="00013B24">
        <w:tc>
          <w:tcPr>
            <w:tcW w:w="1276" w:type="dxa"/>
            <w:vMerge/>
            <w:tcBorders>
              <w:top w:val="single" w:sz="12" w:space="0" w:color="auto"/>
              <w:left w:val="nil"/>
              <w:right w:val="nil"/>
            </w:tcBorders>
            <w:shd w:val="clear" w:color="auto" w:fill="auto"/>
            <w:vAlign w:val="center"/>
          </w:tcPr>
          <w:p w14:paraId="0AAB7AAE" w14:textId="77777777" w:rsidR="004F0B58" w:rsidRPr="004F0B58" w:rsidRDefault="004F0B58" w:rsidP="004F0B58">
            <w:pPr>
              <w:spacing w:after="160"/>
              <w:jc w:val="center"/>
              <w:rPr>
                <w:rFonts w:ascii="Times New Roman" w:eastAsia="Calibri" w:hAnsi="Times New Roman" w:cs="Times New Roman"/>
                <w:sz w:val="24"/>
                <w:szCs w:val="24"/>
                <w:lang w:val="pt-BR" w:eastAsia="en-US"/>
              </w:rPr>
            </w:pPr>
          </w:p>
        </w:tc>
        <w:tc>
          <w:tcPr>
            <w:tcW w:w="3402" w:type="dxa"/>
            <w:tcBorders>
              <w:top w:val="single" w:sz="4" w:space="0" w:color="auto"/>
              <w:left w:val="nil"/>
              <w:bottom w:val="single" w:sz="4" w:space="0" w:color="auto"/>
              <w:right w:val="nil"/>
            </w:tcBorders>
            <w:shd w:val="clear" w:color="auto" w:fill="auto"/>
            <w:vAlign w:val="center"/>
          </w:tcPr>
          <w:p w14:paraId="6F8E0940" w14:textId="589B6619" w:rsidR="004F0B58" w:rsidRPr="004F0B58" w:rsidRDefault="0075076F" w:rsidP="004F0B58">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Unexplored mineral deposits</w:t>
            </w:r>
            <w:r w:rsidR="004F0B58" w:rsidRPr="004F0B58">
              <w:rPr>
                <w:rFonts w:ascii="Times New Roman" w:eastAsia="Calibri" w:hAnsi="Times New Roman" w:cs="Times New Roman"/>
                <w:sz w:val="24"/>
                <w:szCs w:val="24"/>
                <w:lang w:val="pt-BR" w:eastAsia="en-US"/>
              </w:rPr>
              <w:t xml:space="preserve"> </w:t>
            </w:r>
          </w:p>
        </w:tc>
        <w:tc>
          <w:tcPr>
            <w:tcW w:w="4394" w:type="dxa"/>
            <w:tcBorders>
              <w:top w:val="single" w:sz="4" w:space="0" w:color="auto"/>
              <w:left w:val="nil"/>
              <w:bottom w:val="single" w:sz="4" w:space="0" w:color="auto"/>
              <w:right w:val="nil"/>
            </w:tcBorders>
            <w:shd w:val="clear" w:color="auto" w:fill="auto"/>
            <w:vAlign w:val="center"/>
          </w:tcPr>
          <w:p w14:paraId="3705C440" w14:textId="77777777" w:rsidR="004F0B58" w:rsidRPr="004F0B58" w:rsidRDefault="004F0B58" w:rsidP="004F0B58">
            <w:pPr>
              <w:spacing w:after="160"/>
              <w:jc w:val="both"/>
              <w:rPr>
                <w:rFonts w:ascii="Times New Roman" w:eastAsia="Calibri" w:hAnsi="Times New Roman" w:cs="Times New Roman"/>
                <w:sz w:val="24"/>
                <w:szCs w:val="24"/>
                <w:lang w:val="pt-BR" w:eastAsia="en-US"/>
              </w:rPr>
            </w:pPr>
            <w:r w:rsidRPr="004F0B58">
              <w:rPr>
                <w:rFonts w:ascii="Times New Roman" w:eastAsia="Calibri" w:hAnsi="Times New Roman" w:cs="Times New Roman"/>
                <w:sz w:val="24"/>
                <w:szCs w:val="24"/>
                <w:lang w:val="pt-BR" w:eastAsia="en-US"/>
              </w:rPr>
              <w:t>Qiao et al. (2020)</w:t>
            </w:r>
          </w:p>
        </w:tc>
      </w:tr>
      <w:tr w:rsidR="004F0B58" w:rsidRPr="004F0B58" w14:paraId="6A0F8557" w14:textId="77777777" w:rsidTr="00013B24">
        <w:tc>
          <w:tcPr>
            <w:tcW w:w="1276" w:type="dxa"/>
            <w:vMerge/>
            <w:tcBorders>
              <w:left w:val="nil"/>
              <w:bottom w:val="nil"/>
              <w:right w:val="nil"/>
            </w:tcBorders>
            <w:shd w:val="clear" w:color="auto" w:fill="auto"/>
          </w:tcPr>
          <w:p w14:paraId="78E4AD44" w14:textId="77777777" w:rsidR="004F0B58" w:rsidRPr="004F0B58" w:rsidRDefault="004F0B58" w:rsidP="004F0B58">
            <w:pPr>
              <w:spacing w:after="160"/>
              <w:jc w:val="both"/>
              <w:rPr>
                <w:rFonts w:ascii="Times New Roman" w:eastAsia="Calibri" w:hAnsi="Times New Roman" w:cs="Times New Roman"/>
                <w:sz w:val="24"/>
                <w:szCs w:val="24"/>
                <w:lang w:val="pt-BR" w:eastAsia="en-US"/>
              </w:rPr>
            </w:pPr>
          </w:p>
        </w:tc>
        <w:tc>
          <w:tcPr>
            <w:tcW w:w="3402" w:type="dxa"/>
            <w:tcBorders>
              <w:top w:val="single" w:sz="4" w:space="0" w:color="auto"/>
              <w:left w:val="nil"/>
              <w:bottom w:val="single" w:sz="4" w:space="0" w:color="808080"/>
              <w:right w:val="nil"/>
            </w:tcBorders>
            <w:shd w:val="clear" w:color="auto" w:fill="auto"/>
            <w:vAlign w:val="center"/>
          </w:tcPr>
          <w:p w14:paraId="77D7F885" w14:textId="291DEF9B" w:rsidR="004F0B58" w:rsidRPr="004F0B58" w:rsidRDefault="00A41699" w:rsidP="004F0B58">
            <w:pPr>
              <w:spacing w:after="160"/>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pt-BR" w:eastAsia="en-US"/>
              </w:rPr>
              <w:t>Soil composition</w:t>
            </w:r>
          </w:p>
        </w:tc>
        <w:tc>
          <w:tcPr>
            <w:tcW w:w="4394" w:type="dxa"/>
            <w:tcBorders>
              <w:top w:val="single" w:sz="4" w:space="0" w:color="auto"/>
              <w:left w:val="nil"/>
              <w:bottom w:val="single" w:sz="4" w:space="0" w:color="808080"/>
              <w:right w:val="nil"/>
            </w:tcBorders>
            <w:shd w:val="clear" w:color="auto" w:fill="auto"/>
            <w:vAlign w:val="center"/>
          </w:tcPr>
          <w:p w14:paraId="3365F908" w14:textId="77777777" w:rsidR="004F0B58" w:rsidRPr="004F0B58" w:rsidRDefault="004F0B58" w:rsidP="004F0B58">
            <w:pPr>
              <w:spacing w:after="160"/>
              <w:jc w:val="both"/>
              <w:rPr>
                <w:rFonts w:ascii="Times New Roman" w:eastAsia="Calibri" w:hAnsi="Times New Roman" w:cs="Times New Roman"/>
                <w:sz w:val="24"/>
                <w:szCs w:val="24"/>
                <w:lang w:val="en-US" w:eastAsia="en-US"/>
              </w:rPr>
            </w:pPr>
            <w:r w:rsidRPr="004F0B58">
              <w:rPr>
                <w:rFonts w:ascii="Times New Roman" w:eastAsia="Calibri" w:hAnsi="Times New Roman" w:cs="Times New Roman"/>
                <w:sz w:val="24"/>
                <w:szCs w:val="24"/>
                <w:lang w:val="en-US" w:eastAsia="en-US"/>
              </w:rPr>
              <w:t>Wang et al. (2020b)</w:t>
            </w:r>
          </w:p>
        </w:tc>
      </w:tr>
      <w:tr w:rsidR="004F0B58" w:rsidRPr="004F0B58" w14:paraId="31BC5637" w14:textId="77777777" w:rsidTr="00013B24">
        <w:tc>
          <w:tcPr>
            <w:tcW w:w="1276" w:type="dxa"/>
            <w:vMerge/>
            <w:tcBorders>
              <w:top w:val="single" w:sz="4" w:space="0" w:color="auto"/>
              <w:left w:val="nil"/>
              <w:right w:val="nil"/>
            </w:tcBorders>
            <w:shd w:val="clear" w:color="auto" w:fill="auto"/>
          </w:tcPr>
          <w:p w14:paraId="707B47D9" w14:textId="77777777" w:rsidR="004F0B58" w:rsidRPr="004F0B58" w:rsidRDefault="004F0B58" w:rsidP="004F0B58">
            <w:pPr>
              <w:spacing w:after="160"/>
              <w:jc w:val="both"/>
              <w:rPr>
                <w:rFonts w:ascii="Times New Roman" w:eastAsia="Calibri" w:hAnsi="Times New Roman" w:cs="Times New Roman"/>
                <w:sz w:val="24"/>
                <w:szCs w:val="24"/>
                <w:lang w:val="en-US" w:eastAsia="en-US"/>
              </w:rPr>
            </w:pPr>
          </w:p>
        </w:tc>
        <w:tc>
          <w:tcPr>
            <w:tcW w:w="3402" w:type="dxa"/>
            <w:tcBorders>
              <w:top w:val="single" w:sz="4" w:space="0" w:color="auto"/>
              <w:left w:val="nil"/>
              <w:bottom w:val="single" w:sz="4" w:space="0" w:color="auto"/>
              <w:right w:val="nil"/>
            </w:tcBorders>
            <w:shd w:val="clear" w:color="auto" w:fill="auto"/>
            <w:vAlign w:val="center"/>
          </w:tcPr>
          <w:p w14:paraId="44804997" w14:textId="729FC449" w:rsidR="004F0B58" w:rsidRPr="004F0B58" w:rsidRDefault="00A41699" w:rsidP="004F0B58">
            <w:pPr>
              <w:spacing w:after="160"/>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Lithogenic origin</w:t>
            </w:r>
          </w:p>
        </w:tc>
        <w:tc>
          <w:tcPr>
            <w:tcW w:w="4394" w:type="dxa"/>
            <w:tcBorders>
              <w:top w:val="single" w:sz="4" w:space="0" w:color="auto"/>
              <w:left w:val="nil"/>
              <w:bottom w:val="single" w:sz="4" w:space="0" w:color="auto"/>
              <w:right w:val="nil"/>
            </w:tcBorders>
            <w:shd w:val="clear" w:color="auto" w:fill="auto"/>
            <w:vAlign w:val="center"/>
          </w:tcPr>
          <w:p w14:paraId="08940624" w14:textId="77777777" w:rsidR="004F0B58" w:rsidRPr="004F0B58" w:rsidRDefault="004F0B58" w:rsidP="004F0B58">
            <w:pPr>
              <w:spacing w:after="160"/>
              <w:jc w:val="both"/>
              <w:rPr>
                <w:rFonts w:ascii="Times New Roman" w:eastAsia="Calibri" w:hAnsi="Times New Roman" w:cs="Times New Roman"/>
                <w:sz w:val="24"/>
                <w:szCs w:val="24"/>
                <w:lang w:val="en-US" w:eastAsia="en-US"/>
              </w:rPr>
            </w:pPr>
            <w:r w:rsidRPr="004F0B58">
              <w:rPr>
                <w:rFonts w:ascii="Times New Roman" w:eastAsia="Calibri" w:hAnsi="Times New Roman" w:cs="Times New Roman"/>
                <w:sz w:val="24"/>
                <w:szCs w:val="24"/>
                <w:lang w:val="en-US" w:eastAsia="en-US"/>
              </w:rPr>
              <w:t>Santos et al. (2020)</w:t>
            </w:r>
          </w:p>
        </w:tc>
      </w:tr>
      <w:tr w:rsidR="004F0B58" w:rsidRPr="004F0B58" w14:paraId="4D7CDEBF" w14:textId="77777777" w:rsidTr="00013B24">
        <w:tc>
          <w:tcPr>
            <w:tcW w:w="1276" w:type="dxa"/>
            <w:vMerge/>
            <w:tcBorders>
              <w:top w:val="nil"/>
              <w:left w:val="nil"/>
              <w:right w:val="nil"/>
            </w:tcBorders>
            <w:shd w:val="clear" w:color="auto" w:fill="auto"/>
          </w:tcPr>
          <w:p w14:paraId="21444C3B" w14:textId="77777777" w:rsidR="004F0B58" w:rsidRPr="004F0B58" w:rsidRDefault="004F0B58" w:rsidP="004F0B58">
            <w:pPr>
              <w:spacing w:after="160"/>
              <w:jc w:val="both"/>
              <w:rPr>
                <w:rFonts w:ascii="Times New Roman" w:eastAsia="Calibri" w:hAnsi="Times New Roman" w:cs="Times New Roman"/>
                <w:sz w:val="24"/>
                <w:szCs w:val="24"/>
                <w:lang w:val="pt-BR" w:eastAsia="en-US"/>
              </w:rPr>
            </w:pPr>
          </w:p>
        </w:tc>
        <w:tc>
          <w:tcPr>
            <w:tcW w:w="3402" w:type="dxa"/>
            <w:tcBorders>
              <w:top w:val="single" w:sz="4" w:space="0" w:color="auto"/>
              <w:left w:val="nil"/>
              <w:bottom w:val="single" w:sz="4" w:space="0" w:color="auto"/>
              <w:right w:val="nil"/>
            </w:tcBorders>
            <w:shd w:val="clear" w:color="auto" w:fill="auto"/>
            <w:vAlign w:val="center"/>
          </w:tcPr>
          <w:p w14:paraId="542D3B84" w14:textId="4A1D12CC" w:rsidR="004F0B58" w:rsidRPr="004F0B58" w:rsidRDefault="00A41699" w:rsidP="004F0B58">
            <w:pPr>
              <w:spacing w:after="160"/>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Geogenic origin</w:t>
            </w:r>
          </w:p>
        </w:tc>
        <w:tc>
          <w:tcPr>
            <w:tcW w:w="4394" w:type="dxa"/>
            <w:tcBorders>
              <w:top w:val="single" w:sz="4" w:space="0" w:color="auto"/>
              <w:left w:val="nil"/>
              <w:bottom w:val="single" w:sz="4" w:space="0" w:color="auto"/>
              <w:right w:val="nil"/>
            </w:tcBorders>
            <w:shd w:val="clear" w:color="auto" w:fill="auto"/>
            <w:vAlign w:val="center"/>
          </w:tcPr>
          <w:p w14:paraId="665106C0" w14:textId="77777777" w:rsidR="004F0B58" w:rsidRPr="004F0B58" w:rsidRDefault="004F0B58" w:rsidP="004F0B58">
            <w:pPr>
              <w:spacing w:after="160"/>
              <w:jc w:val="both"/>
              <w:rPr>
                <w:rFonts w:ascii="Times New Roman" w:eastAsia="Calibri" w:hAnsi="Times New Roman" w:cs="Times New Roman"/>
                <w:sz w:val="24"/>
                <w:szCs w:val="24"/>
                <w:lang w:val="en-US" w:eastAsia="en-US"/>
              </w:rPr>
            </w:pPr>
            <w:r w:rsidRPr="004F0B58">
              <w:rPr>
                <w:rFonts w:ascii="Times New Roman" w:eastAsia="Calibri" w:hAnsi="Times New Roman" w:cs="Times New Roman"/>
                <w:sz w:val="24"/>
                <w:szCs w:val="24"/>
                <w:lang w:val="en-US" w:eastAsia="en-US"/>
              </w:rPr>
              <w:t>Xia et al. (2020)</w:t>
            </w:r>
          </w:p>
        </w:tc>
      </w:tr>
      <w:tr w:rsidR="004F0B58" w:rsidRPr="004F0B58" w14:paraId="2E308F7A" w14:textId="77777777" w:rsidTr="00013B24">
        <w:tc>
          <w:tcPr>
            <w:tcW w:w="1276" w:type="dxa"/>
            <w:tcBorders>
              <w:top w:val="single" w:sz="12" w:space="0" w:color="auto"/>
              <w:left w:val="nil"/>
              <w:right w:val="nil"/>
            </w:tcBorders>
            <w:vAlign w:val="center"/>
          </w:tcPr>
          <w:p w14:paraId="4A7A2DE9" w14:textId="77777777" w:rsidR="004F0B58" w:rsidRPr="004F0B58" w:rsidRDefault="004F0B58" w:rsidP="004F0B58">
            <w:pPr>
              <w:spacing w:after="160"/>
              <w:jc w:val="center"/>
              <w:rPr>
                <w:rFonts w:ascii="Times New Roman" w:eastAsia="Calibri" w:hAnsi="Times New Roman" w:cs="Times New Roman"/>
                <w:b/>
                <w:bCs/>
                <w:sz w:val="24"/>
                <w:szCs w:val="24"/>
                <w:lang w:val="pt-BR" w:eastAsia="en-US"/>
              </w:rPr>
            </w:pPr>
            <w:r w:rsidRPr="004F0B58">
              <w:rPr>
                <w:rFonts w:ascii="Times New Roman" w:eastAsia="Calibri" w:hAnsi="Times New Roman" w:cs="Times New Roman"/>
                <w:b/>
                <w:bCs/>
                <w:sz w:val="24"/>
                <w:szCs w:val="24"/>
                <w:lang w:val="pt-BR" w:eastAsia="en-US"/>
              </w:rPr>
              <w:t>V</w:t>
            </w:r>
          </w:p>
        </w:tc>
        <w:tc>
          <w:tcPr>
            <w:tcW w:w="3402" w:type="dxa"/>
            <w:tcBorders>
              <w:top w:val="single" w:sz="12" w:space="0" w:color="auto"/>
              <w:left w:val="nil"/>
              <w:bottom w:val="single" w:sz="4" w:space="0" w:color="auto"/>
              <w:right w:val="nil"/>
            </w:tcBorders>
            <w:vAlign w:val="center"/>
          </w:tcPr>
          <w:p w14:paraId="4C402C65" w14:textId="6076CD88" w:rsidR="004F0B58" w:rsidRPr="004F0B58" w:rsidRDefault="00A41699" w:rsidP="004F0B58">
            <w:pPr>
              <w:spacing w:after="160"/>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Weathering of rocks</w:t>
            </w:r>
          </w:p>
        </w:tc>
        <w:tc>
          <w:tcPr>
            <w:tcW w:w="4394" w:type="dxa"/>
            <w:tcBorders>
              <w:top w:val="single" w:sz="12" w:space="0" w:color="auto"/>
              <w:left w:val="nil"/>
              <w:bottom w:val="single" w:sz="4" w:space="0" w:color="auto"/>
              <w:right w:val="nil"/>
            </w:tcBorders>
            <w:vAlign w:val="center"/>
          </w:tcPr>
          <w:p w14:paraId="54F3F5FB" w14:textId="77777777" w:rsidR="004F0B58" w:rsidRPr="004F0B58" w:rsidRDefault="004F0B58" w:rsidP="004F0B58">
            <w:pPr>
              <w:spacing w:after="160"/>
              <w:jc w:val="both"/>
              <w:rPr>
                <w:rFonts w:ascii="Times New Roman" w:eastAsia="Calibri" w:hAnsi="Times New Roman" w:cs="Times New Roman"/>
                <w:sz w:val="24"/>
                <w:szCs w:val="24"/>
                <w:lang w:val="pt-BR" w:eastAsia="en-US"/>
              </w:rPr>
            </w:pPr>
            <w:r w:rsidRPr="004F0B58">
              <w:rPr>
                <w:rFonts w:ascii="Times New Roman" w:eastAsia="Calibri" w:hAnsi="Times New Roman" w:cs="Times New Roman"/>
                <w:sz w:val="24"/>
                <w:szCs w:val="24"/>
                <w:lang w:val="pt-BR" w:eastAsia="en-US"/>
              </w:rPr>
              <w:t>Huang et al. (2020b)</w:t>
            </w:r>
          </w:p>
        </w:tc>
      </w:tr>
      <w:tr w:rsidR="004F0B58" w:rsidRPr="004F0B58" w14:paraId="04980819" w14:textId="77777777" w:rsidTr="00013B24">
        <w:tc>
          <w:tcPr>
            <w:tcW w:w="1276" w:type="dxa"/>
            <w:vMerge w:val="restart"/>
            <w:tcBorders>
              <w:top w:val="single" w:sz="12" w:space="0" w:color="auto"/>
              <w:left w:val="nil"/>
              <w:right w:val="nil"/>
            </w:tcBorders>
            <w:vAlign w:val="center"/>
          </w:tcPr>
          <w:p w14:paraId="17FD0760" w14:textId="77777777" w:rsidR="004F0B58" w:rsidRPr="004F0B58" w:rsidRDefault="004F0B58" w:rsidP="004F0B58">
            <w:pPr>
              <w:spacing w:after="160"/>
              <w:jc w:val="center"/>
              <w:rPr>
                <w:rFonts w:ascii="Times New Roman" w:eastAsia="Calibri" w:hAnsi="Times New Roman" w:cs="Times New Roman"/>
                <w:b/>
                <w:bCs/>
                <w:sz w:val="24"/>
                <w:szCs w:val="24"/>
                <w:lang w:val="pt-BR" w:eastAsia="en-US"/>
              </w:rPr>
            </w:pPr>
            <w:r w:rsidRPr="004F0B58">
              <w:rPr>
                <w:rFonts w:ascii="Times New Roman" w:eastAsia="Calibri" w:hAnsi="Times New Roman" w:cs="Times New Roman"/>
                <w:b/>
                <w:bCs/>
                <w:sz w:val="24"/>
                <w:szCs w:val="24"/>
                <w:lang w:val="pt-BR" w:eastAsia="en-US"/>
              </w:rPr>
              <w:t>Zn</w:t>
            </w:r>
          </w:p>
        </w:tc>
        <w:tc>
          <w:tcPr>
            <w:tcW w:w="3402" w:type="dxa"/>
            <w:tcBorders>
              <w:top w:val="single" w:sz="12" w:space="0" w:color="auto"/>
              <w:left w:val="nil"/>
              <w:bottom w:val="single" w:sz="4" w:space="0" w:color="auto"/>
              <w:right w:val="nil"/>
            </w:tcBorders>
            <w:vAlign w:val="center"/>
          </w:tcPr>
          <w:p w14:paraId="6110AF5C" w14:textId="4BE676E9" w:rsidR="004F0B58" w:rsidRPr="004F0B58" w:rsidRDefault="00A41699" w:rsidP="004F0B58">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en-US" w:eastAsia="en-US"/>
              </w:rPr>
              <w:t>Weathering of rocks</w:t>
            </w:r>
          </w:p>
        </w:tc>
        <w:tc>
          <w:tcPr>
            <w:tcW w:w="4394" w:type="dxa"/>
            <w:tcBorders>
              <w:top w:val="single" w:sz="12" w:space="0" w:color="auto"/>
              <w:left w:val="nil"/>
              <w:bottom w:val="single" w:sz="4" w:space="0" w:color="auto"/>
              <w:right w:val="nil"/>
            </w:tcBorders>
            <w:vAlign w:val="center"/>
          </w:tcPr>
          <w:p w14:paraId="5824532F" w14:textId="77777777" w:rsidR="004F0B58" w:rsidRPr="004F0B58" w:rsidRDefault="004F0B58" w:rsidP="004F0B58">
            <w:pPr>
              <w:spacing w:after="160"/>
              <w:jc w:val="both"/>
              <w:rPr>
                <w:rFonts w:ascii="Times New Roman" w:eastAsia="Calibri" w:hAnsi="Times New Roman" w:cs="Times New Roman"/>
                <w:sz w:val="24"/>
                <w:szCs w:val="24"/>
                <w:lang w:val="en-US" w:eastAsia="en-US"/>
              </w:rPr>
            </w:pPr>
            <w:r w:rsidRPr="004F0B58">
              <w:rPr>
                <w:rFonts w:ascii="Times New Roman" w:eastAsia="Calibri" w:hAnsi="Times New Roman" w:cs="Times New Roman"/>
                <w:sz w:val="24"/>
                <w:szCs w:val="24"/>
                <w:lang w:val="pt-BR" w:eastAsia="en-US"/>
              </w:rPr>
              <w:t xml:space="preserve">Li et al. (2020), Santos et al. </w:t>
            </w:r>
            <w:r w:rsidRPr="004F0B58">
              <w:rPr>
                <w:rFonts w:ascii="Times New Roman" w:eastAsia="Calibri" w:hAnsi="Times New Roman" w:cs="Times New Roman"/>
                <w:sz w:val="24"/>
                <w:szCs w:val="24"/>
                <w:lang w:val="en-US" w:eastAsia="en-US"/>
              </w:rPr>
              <w:t xml:space="preserve">(2020), Huang et al. (2020b), Xiao et al. </w:t>
            </w:r>
            <w:r w:rsidRPr="004F0B58">
              <w:rPr>
                <w:rFonts w:ascii="Times New Roman" w:eastAsia="Calibri" w:hAnsi="Times New Roman" w:cs="Times New Roman"/>
                <w:sz w:val="24"/>
                <w:szCs w:val="24"/>
                <w:lang w:val="pt-BR" w:eastAsia="en-US"/>
              </w:rPr>
              <w:t>(2019), Ahmad et al. (2020), Shakeri et al. (2020), Munk; Faure (2004)</w:t>
            </w:r>
          </w:p>
        </w:tc>
      </w:tr>
      <w:tr w:rsidR="004F0B58" w:rsidRPr="004F0B58" w14:paraId="1D7646EC" w14:textId="77777777" w:rsidTr="00013B24">
        <w:tc>
          <w:tcPr>
            <w:tcW w:w="1276" w:type="dxa"/>
            <w:vMerge/>
            <w:tcBorders>
              <w:left w:val="nil"/>
              <w:right w:val="nil"/>
            </w:tcBorders>
          </w:tcPr>
          <w:p w14:paraId="577B4846" w14:textId="77777777" w:rsidR="004F0B58" w:rsidRPr="004F0B58" w:rsidRDefault="004F0B58" w:rsidP="004F0B58">
            <w:pPr>
              <w:spacing w:after="160"/>
              <w:jc w:val="both"/>
              <w:rPr>
                <w:rFonts w:ascii="Times New Roman" w:eastAsia="Calibri" w:hAnsi="Times New Roman" w:cs="Times New Roman"/>
                <w:sz w:val="24"/>
                <w:szCs w:val="24"/>
                <w:lang w:val="en-US" w:eastAsia="en-US"/>
              </w:rPr>
            </w:pPr>
          </w:p>
        </w:tc>
        <w:tc>
          <w:tcPr>
            <w:tcW w:w="3402" w:type="dxa"/>
            <w:tcBorders>
              <w:top w:val="single" w:sz="4" w:space="0" w:color="auto"/>
              <w:left w:val="nil"/>
              <w:bottom w:val="single" w:sz="4" w:space="0" w:color="auto"/>
              <w:right w:val="nil"/>
            </w:tcBorders>
            <w:vAlign w:val="center"/>
          </w:tcPr>
          <w:p w14:paraId="2F90912E" w14:textId="2B193300" w:rsidR="004F0B58" w:rsidRPr="004F0B58" w:rsidRDefault="00A41699" w:rsidP="004F0B58">
            <w:pPr>
              <w:spacing w:after="160"/>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Lithogenic origin</w:t>
            </w:r>
          </w:p>
        </w:tc>
        <w:tc>
          <w:tcPr>
            <w:tcW w:w="4394" w:type="dxa"/>
            <w:tcBorders>
              <w:top w:val="single" w:sz="4" w:space="0" w:color="auto"/>
              <w:left w:val="nil"/>
              <w:bottom w:val="single" w:sz="4" w:space="0" w:color="auto"/>
              <w:right w:val="nil"/>
            </w:tcBorders>
            <w:vAlign w:val="center"/>
          </w:tcPr>
          <w:p w14:paraId="581E4CD4" w14:textId="77777777" w:rsidR="004F0B58" w:rsidRPr="004F0B58" w:rsidRDefault="004F0B58" w:rsidP="004F0B58">
            <w:pPr>
              <w:spacing w:after="160"/>
              <w:jc w:val="both"/>
              <w:rPr>
                <w:rFonts w:ascii="Times New Roman" w:eastAsia="Calibri" w:hAnsi="Times New Roman" w:cs="Times New Roman"/>
                <w:sz w:val="24"/>
                <w:szCs w:val="24"/>
                <w:lang w:val="en-US" w:eastAsia="en-US"/>
              </w:rPr>
            </w:pPr>
            <w:r w:rsidRPr="004F0B58">
              <w:rPr>
                <w:rFonts w:ascii="Times New Roman" w:eastAsia="Calibri" w:hAnsi="Times New Roman" w:cs="Times New Roman"/>
                <w:sz w:val="24"/>
                <w:szCs w:val="24"/>
                <w:lang w:val="en-US" w:eastAsia="en-US"/>
              </w:rPr>
              <w:t>Shakeri et al. (2020), Santos et al. (2020)</w:t>
            </w:r>
          </w:p>
        </w:tc>
      </w:tr>
      <w:tr w:rsidR="004F0B58" w:rsidRPr="004F0B58" w14:paraId="3B8FEAE6" w14:textId="77777777" w:rsidTr="00013B24">
        <w:tc>
          <w:tcPr>
            <w:tcW w:w="1276" w:type="dxa"/>
            <w:vMerge/>
            <w:tcBorders>
              <w:left w:val="nil"/>
              <w:right w:val="nil"/>
            </w:tcBorders>
          </w:tcPr>
          <w:p w14:paraId="5D8B8068" w14:textId="77777777" w:rsidR="004F0B58" w:rsidRPr="004F0B58" w:rsidRDefault="004F0B58" w:rsidP="004F0B58">
            <w:pPr>
              <w:spacing w:after="160"/>
              <w:jc w:val="both"/>
              <w:rPr>
                <w:rFonts w:ascii="Times New Roman" w:eastAsia="Calibri" w:hAnsi="Times New Roman" w:cs="Times New Roman"/>
                <w:sz w:val="24"/>
                <w:szCs w:val="24"/>
                <w:lang w:val="en-US" w:eastAsia="en-US"/>
              </w:rPr>
            </w:pPr>
          </w:p>
        </w:tc>
        <w:tc>
          <w:tcPr>
            <w:tcW w:w="3402" w:type="dxa"/>
            <w:tcBorders>
              <w:top w:val="single" w:sz="4" w:space="0" w:color="auto"/>
              <w:left w:val="nil"/>
              <w:bottom w:val="single" w:sz="4" w:space="0" w:color="auto"/>
              <w:right w:val="nil"/>
            </w:tcBorders>
            <w:vAlign w:val="center"/>
          </w:tcPr>
          <w:p w14:paraId="4BCA0A38" w14:textId="59A177E5" w:rsidR="004F0B58" w:rsidRPr="004F0B58" w:rsidRDefault="0075076F" w:rsidP="004F0B58">
            <w:pPr>
              <w:spacing w:after="160"/>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pt-BR" w:eastAsia="en-US"/>
              </w:rPr>
              <w:t>Unexplored mineral deposits</w:t>
            </w:r>
            <w:r w:rsidR="004F0B58" w:rsidRPr="004F0B58">
              <w:rPr>
                <w:rFonts w:ascii="Times New Roman" w:eastAsia="Calibri" w:hAnsi="Times New Roman" w:cs="Times New Roman"/>
                <w:sz w:val="24"/>
                <w:szCs w:val="24"/>
                <w:lang w:val="pt-BR" w:eastAsia="en-US"/>
              </w:rPr>
              <w:t xml:space="preserve"> </w:t>
            </w:r>
          </w:p>
        </w:tc>
        <w:tc>
          <w:tcPr>
            <w:tcW w:w="4394" w:type="dxa"/>
            <w:tcBorders>
              <w:top w:val="single" w:sz="4" w:space="0" w:color="auto"/>
              <w:left w:val="nil"/>
              <w:bottom w:val="single" w:sz="4" w:space="0" w:color="auto"/>
              <w:right w:val="nil"/>
            </w:tcBorders>
            <w:vAlign w:val="center"/>
          </w:tcPr>
          <w:p w14:paraId="20F6EA86" w14:textId="77777777" w:rsidR="004F0B58" w:rsidRPr="004F0B58" w:rsidRDefault="004F0B58" w:rsidP="004F0B58">
            <w:pPr>
              <w:spacing w:after="160"/>
              <w:jc w:val="both"/>
              <w:rPr>
                <w:rFonts w:ascii="Times New Roman" w:eastAsia="Calibri" w:hAnsi="Times New Roman" w:cs="Times New Roman"/>
                <w:sz w:val="24"/>
                <w:szCs w:val="24"/>
                <w:lang w:val="en-US" w:eastAsia="en-US"/>
              </w:rPr>
            </w:pPr>
            <w:r w:rsidRPr="004F0B58">
              <w:rPr>
                <w:rFonts w:ascii="Times New Roman" w:eastAsia="Calibri" w:hAnsi="Times New Roman" w:cs="Times New Roman"/>
                <w:sz w:val="24"/>
                <w:szCs w:val="24"/>
                <w:lang w:val="pt-BR" w:eastAsia="en-US"/>
              </w:rPr>
              <w:t>Qiao et al. (2020)</w:t>
            </w:r>
          </w:p>
        </w:tc>
      </w:tr>
      <w:tr w:rsidR="004F0B58" w:rsidRPr="004F0B58" w14:paraId="049E159C" w14:textId="77777777" w:rsidTr="00013B24">
        <w:tc>
          <w:tcPr>
            <w:tcW w:w="1276" w:type="dxa"/>
            <w:vMerge/>
            <w:tcBorders>
              <w:left w:val="nil"/>
              <w:right w:val="nil"/>
            </w:tcBorders>
          </w:tcPr>
          <w:p w14:paraId="1B3359B1" w14:textId="77777777" w:rsidR="004F0B58" w:rsidRPr="004F0B58" w:rsidRDefault="004F0B58" w:rsidP="004F0B58">
            <w:pPr>
              <w:spacing w:after="160"/>
              <w:jc w:val="both"/>
              <w:rPr>
                <w:rFonts w:ascii="Times New Roman" w:eastAsia="Calibri" w:hAnsi="Times New Roman" w:cs="Times New Roman"/>
                <w:sz w:val="24"/>
                <w:szCs w:val="24"/>
                <w:lang w:val="en-US" w:eastAsia="en-US"/>
              </w:rPr>
            </w:pPr>
          </w:p>
        </w:tc>
        <w:tc>
          <w:tcPr>
            <w:tcW w:w="3402" w:type="dxa"/>
            <w:tcBorders>
              <w:top w:val="single" w:sz="4" w:space="0" w:color="auto"/>
              <w:left w:val="nil"/>
              <w:bottom w:val="single" w:sz="4" w:space="0" w:color="auto"/>
              <w:right w:val="nil"/>
            </w:tcBorders>
            <w:vAlign w:val="center"/>
          </w:tcPr>
          <w:p w14:paraId="1C049081" w14:textId="030CE4E6" w:rsidR="004F0B58" w:rsidRPr="004F0B58" w:rsidRDefault="00A41699" w:rsidP="004F0B58">
            <w:pPr>
              <w:spacing w:after="160"/>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Geogenic origin</w:t>
            </w:r>
          </w:p>
        </w:tc>
        <w:tc>
          <w:tcPr>
            <w:tcW w:w="4394" w:type="dxa"/>
            <w:tcBorders>
              <w:top w:val="single" w:sz="4" w:space="0" w:color="auto"/>
              <w:left w:val="nil"/>
              <w:bottom w:val="single" w:sz="4" w:space="0" w:color="auto"/>
              <w:right w:val="nil"/>
            </w:tcBorders>
            <w:vAlign w:val="center"/>
          </w:tcPr>
          <w:p w14:paraId="762856FD" w14:textId="77777777" w:rsidR="004F0B58" w:rsidRPr="004F0B58" w:rsidRDefault="004F0B58" w:rsidP="004F0B58">
            <w:pPr>
              <w:spacing w:after="160"/>
              <w:jc w:val="both"/>
              <w:rPr>
                <w:rFonts w:ascii="Times New Roman" w:eastAsia="Calibri" w:hAnsi="Times New Roman" w:cs="Times New Roman"/>
                <w:sz w:val="24"/>
                <w:szCs w:val="24"/>
                <w:lang w:val="en-US" w:eastAsia="en-US"/>
              </w:rPr>
            </w:pPr>
            <w:r w:rsidRPr="004F0B58">
              <w:rPr>
                <w:rFonts w:ascii="Times New Roman" w:eastAsia="Calibri" w:hAnsi="Times New Roman" w:cs="Times New Roman"/>
                <w:sz w:val="24"/>
                <w:szCs w:val="24"/>
                <w:lang w:val="en-US" w:eastAsia="en-US"/>
              </w:rPr>
              <w:t>Santana et al. (2020)</w:t>
            </w:r>
          </w:p>
        </w:tc>
      </w:tr>
      <w:tr w:rsidR="004F0B58" w:rsidRPr="004F0B58" w14:paraId="6C86ED3B" w14:textId="77777777" w:rsidTr="001256AA">
        <w:tc>
          <w:tcPr>
            <w:tcW w:w="1276" w:type="dxa"/>
            <w:vMerge/>
            <w:tcBorders>
              <w:left w:val="nil"/>
              <w:bottom w:val="single" w:sz="12" w:space="0" w:color="auto"/>
              <w:right w:val="nil"/>
            </w:tcBorders>
          </w:tcPr>
          <w:p w14:paraId="3FAFB227" w14:textId="77777777" w:rsidR="004F0B58" w:rsidRPr="004F0B58" w:rsidRDefault="004F0B58" w:rsidP="004F0B58">
            <w:pPr>
              <w:spacing w:after="160"/>
              <w:jc w:val="both"/>
              <w:rPr>
                <w:rFonts w:ascii="Times New Roman" w:eastAsia="Calibri" w:hAnsi="Times New Roman" w:cs="Times New Roman"/>
                <w:sz w:val="24"/>
                <w:szCs w:val="24"/>
                <w:lang w:val="en-US" w:eastAsia="en-US"/>
              </w:rPr>
            </w:pPr>
          </w:p>
        </w:tc>
        <w:tc>
          <w:tcPr>
            <w:tcW w:w="3402" w:type="dxa"/>
            <w:tcBorders>
              <w:top w:val="single" w:sz="4" w:space="0" w:color="auto"/>
              <w:left w:val="nil"/>
              <w:bottom w:val="single" w:sz="4" w:space="0" w:color="auto"/>
              <w:right w:val="nil"/>
            </w:tcBorders>
            <w:vAlign w:val="center"/>
          </w:tcPr>
          <w:p w14:paraId="525249A6" w14:textId="4D1E8F53" w:rsidR="004F0B58" w:rsidRPr="004F0B58" w:rsidRDefault="0075076F" w:rsidP="004F0B58">
            <w:pPr>
              <w:spacing w:after="160"/>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Geothermal areas</w:t>
            </w:r>
          </w:p>
        </w:tc>
        <w:tc>
          <w:tcPr>
            <w:tcW w:w="4394" w:type="dxa"/>
            <w:tcBorders>
              <w:top w:val="single" w:sz="4" w:space="0" w:color="auto"/>
              <w:left w:val="nil"/>
              <w:bottom w:val="single" w:sz="4" w:space="0" w:color="auto"/>
              <w:right w:val="nil"/>
            </w:tcBorders>
            <w:vAlign w:val="center"/>
          </w:tcPr>
          <w:p w14:paraId="39E04A15" w14:textId="77777777" w:rsidR="004F0B58" w:rsidRPr="004F0B58" w:rsidRDefault="004F0B58" w:rsidP="004F0B58">
            <w:pPr>
              <w:spacing w:after="160"/>
              <w:jc w:val="both"/>
              <w:rPr>
                <w:rFonts w:ascii="Times New Roman" w:eastAsia="Calibri" w:hAnsi="Times New Roman" w:cs="Times New Roman"/>
                <w:sz w:val="24"/>
                <w:szCs w:val="24"/>
                <w:lang w:val="en-US" w:eastAsia="en-US"/>
              </w:rPr>
            </w:pPr>
            <w:r w:rsidRPr="004F0B58">
              <w:rPr>
                <w:rFonts w:ascii="Times New Roman" w:eastAsia="Calibri" w:hAnsi="Times New Roman" w:cs="Times New Roman"/>
                <w:sz w:val="24"/>
                <w:szCs w:val="24"/>
                <w:lang w:val="en-US" w:eastAsia="en-US"/>
              </w:rPr>
              <w:t>Shakeri et al. (2020)</w:t>
            </w:r>
          </w:p>
        </w:tc>
      </w:tr>
      <w:tr w:rsidR="004F0B58" w:rsidRPr="004F0B58" w14:paraId="2914287E" w14:textId="77777777" w:rsidTr="00013B24">
        <w:tc>
          <w:tcPr>
            <w:tcW w:w="1276" w:type="dxa"/>
            <w:vMerge/>
            <w:tcBorders>
              <w:left w:val="nil"/>
              <w:bottom w:val="single" w:sz="12" w:space="0" w:color="auto"/>
              <w:right w:val="nil"/>
            </w:tcBorders>
          </w:tcPr>
          <w:p w14:paraId="0F47D5F7" w14:textId="77777777" w:rsidR="004F0B58" w:rsidRPr="004F0B58" w:rsidRDefault="004F0B58" w:rsidP="004F0B58">
            <w:pPr>
              <w:spacing w:after="160"/>
              <w:jc w:val="both"/>
              <w:rPr>
                <w:rFonts w:ascii="Times New Roman" w:eastAsia="Calibri" w:hAnsi="Times New Roman" w:cs="Times New Roman"/>
                <w:sz w:val="24"/>
                <w:szCs w:val="24"/>
                <w:lang w:val="en-US" w:eastAsia="en-US"/>
              </w:rPr>
            </w:pPr>
          </w:p>
        </w:tc>
        <w:tc>
          <w:tcPr>
            <w:tcW w:w="3402" w:type="dxa"/>
            <w:tcBorders>
              <w:top w:val="single" w:sz="4" w:space="0" w:color="auto"/>
              <w:left w:val="nil"/>
              <w:bottom w:val="single" w:sz="12" w:space="0" w:color="auto"/>
              <w:right w:val="nil"/>
            </w:tcBorders>
            <w:vAlign w:val="center"/>
          </w:tcPr>
          <w:p w14:paraId="51E81D00" w14:textId="008D42DC" w:rsidR="004F0B58" w:rsidRPr="004F0B58" w:rsidRDefault="00A41699" w:rsidP="004F0B58">
            <w:pPr>
              <w:spacing w:after="160"/>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Soil composition</w:t>
            </w:r>
          </w:p>
        </w:tc>
        <w:tc>
          <w:tcPr>
            <w:tcW w:w="4394" w:type="dxa"/>
            <w:tcBorders>
              <w:top w:val="single" w:sz="4" w:space="0" w:color="auto"/>
              <w:left w:val="nil"/>
              <w:bottom w:val="single" w:sz="12" w:space="0" w:color="auto"/>
              <w:right w:val="nil"/>
            </w:tcBorders>
            <w:vAlign w:val="center"/>
          </w:tcPr>
          <w:p w14:paraId="50AD72A6" w14:textId="77777777" w:rsidR="004F0B58" w:rsidRPr="004F0B58" w:rsidRDefault="004F0B58" w:rsidP="004F0B58">
            <w:pPr>
              <w:spacing w:after="160"/>
              <w:jc w:val="both"/>
              <w:rPr>
                <w:rFonts w:ascii="Times New Roman" w:eastAsia="Calibri" w:hAnsi="Times New Roman" w:cs="Times New Roman"/>
                <w:sz w:val="24"/>
                <w:szCs w:val="24"/>
                <w:lang w:val="en-US" w:eastAsia="en-US"/>
              </w:rPr>
            </w:pPr>
            <w:r w:rsidRPr="004F0B58">
              <w:rPr>
                <w:rFonts w:ascii="Times New Roman" w:eastAsia="Calibri" w:hAnsi="Times New Roman" w:cs="Times New Roman"/>
                <w:sz w:val="24"/>
                <w:szCs w:val="24"/>
                <w:lang w:val="en-US" w:eastAsia="en-US"/>
              </w:rPr>
              <w:t>Huang et al. (2020a)</w:t>
            </w:r>
          </w:p>
        </w:tc>
      </w:tr>
    </w:tbl>
    <w:p w14:paraId="48852313" w14:textId="423BBBC8" w:rsidR="004F0B58" w:rsidRDefault="004F0B58" w:rsidP="00914FC4">
      <w:pPr>
        <w:spacing w:line="360" w:lineRule="auto"/>
        <w:jc w:val="center"/>
        <w:rPr>
          <w:rFonts w:ascii="Times New Roman" w:hAnsi="Times New Roman" w:cs="Times New Roman"/>
          <w:sz w:val="24"/>
          <w:szCs w:val="24"/>
        </w:rPr>
      </w:pPr>
    </w:p>
    <w:p w14:paraId="089FB92F" w14:textId="728FE529" w:rsidR="004F0B58" w:rsidRDefault="004F0B58" w:rsidP="00914FC4">
      <w:pPr>
        <w:spacing w:line="360" w:lineRule="auto"/>
        <w:jc w:val="center"/>
        <w:rPr>
          <w:rFonts w:ascii="Times New Roman" w:hAnsi="Times New Roman" w:cs="Times New Roman"/>
          <w:sz w:val="24"/>
          <w:szCs w:val="24"/>
        </w:rPr>
      </w:pPr>
    </w:p>
    <w:p w14:paraId="155752BA" w14:textId="520D74B9" w:rsidR="004F0B58" w:rsidRDefault="004F0B58" w:rsidP="00914FC4">
      <w:pPr>
        <w:spacing w:line="360" w:lineRule="auto"/>
        <w:jc w:val="center"/>
        <w:rPr>
          <w:rFonts w:ascii="Times New Roman" w:hAnsi="Times New Roman" w:cs="Times New Roman"/>
          <w:sz w:val="24"/>
          <w:szCs w:val="24"/>
        </w:rPr>
      </w:pPr>
    </w:p>
    <w:p w14:paraId="6943BE29" w14:textId="66E32CBE" w:rsidR="004F0B58" w:rsidRDefault="004F0B58" w:rsidP="00914FC4">
      <w:pPr>
        <w:spacing w:line="360" w:lineRule="auto"/>
        <w:jc w:val="center"/>
        <w:rPr>
          <w:rFonts w:ascii="Times New Roman" w:hAnsi="Times New Roman" w:cs="Times New Roman"/>
          <w:sz w:val="24"/>
          <w:szCs w:val="24"/>
        </w:rPr>
      </w:pPr>
    </w:p>
    <w:p w14:paraId="34386CE9" w14:textId="73B6F218" w:rsidR="004F0B58" w:rsidRDefault="004F0B58" w:rsidP="00914FC4">
      <w:pPr>
        <w:spacing w:line="360" w:lineRule="auto"/>
        <w:jc w:val="center"/>
        <w:rPr>
          <w:rFonts w:ascii="Times New Roman" w:hAnsi="Times New Roman" w:cs="Times New Roman"/>
          <w:sz w:val="24"/>
          <w:szCs w:val="24"/>
        </w:rPr>
      </w:pPr>
    </w:p>
    <w:p w14:paraId="4C727F8D" w14:textId="5F940F60" w:rsidR="004F0B58" w:rsidRDefault="004F0B58" w:rsidP="00914FC4">
      <w:pPr>
        <w:spacing w:line="360" w:lineRule="auto"/>
        <w:jc w:val="center"/>
        <w:rPr>
          <w:rFonts w:ascii="Times New Roman" w:hAnsi="Times New Roman" w:cs="Times New Roman"/>
          <w:sz w:val="24"/>
          <w:szCs w:val="24"/>
        </w:rPr>
      </w:pPr>
    </w:p>
    <w:p w14:paraId="4E1EB6D5" w14:textId="0B58E4DF" w:rsidR="004F0B58" w:rsidRDefault="004F0B58" w:rsidP="00914FC4">
      <w:pPr>
        <w:spacing w:line="360" w:lineRule="auto"/>
        <w:jc w:val="center"/>
        <w:rPr>
          <w:rFonts w:ascii="Times New Roman" w:hAnsi="Times New Roman" w:cs="Times New Roman"/>
          <w:sz w:val="24"/>
          <w:szCs w:val="24"/>
        </w:rPr>
      </w:pPr>
    </w:p>
    <w:p w14:paraId="6C50EA2B" w14:textId="7734656F" w:rsidR="004F0B58" w:rsidRDefault="004F0B58" w:rsidP="00914FC4">
      <w:pPr>
        <w:spacing w:line="360" w:lineRule="auto"/>
        <w:jc w:val="center"/>
        <w:rPr>
          <w:rFonts w:ascii="Times New Roman" w:hAnsi="Times New Roman" w:cs="Times New Roman"/>
          <w:sz w:val="24"/>
          <w:szCs w:val="24"/>
        </w:rPr>
      </w:pPr>
    </w:p>
    <w:p w14:paraId="3024503B" w14:textId="7C26B97A" w:rsidR="004F0B58" w:rsidRDefault="004F0B58" w:rsidP="00914FC4">
      <w:pPr>
        <w:spacing w:line="360" w:lineRule="auto"/>
        <w:jc w:val="center"/>
        <w:rPr>
          <w:rFonts w:ascii="Times New Roman" w:hAnsi="Times New Roman" w:cs="Times New Roman"/>
          <w:sz w:val="24"/>
          <w:szCs w:val="24"/>
        </w:rPr>
      </w:pPr>
    </w:p>
    <w:p w14:paraId="74A6798C" w14:textId="3191F65B" w:rsidR="004F0B58" w:rsidRDefault="004F0B58" w:rsidP="00914FC4">
      <w:pPr>
        <w:spacing w:line="360" w:lineRule="auto"/>
        <w:jc w:val="center"/>
        <w:rPr>
          <w:rFonts w:ascii="Times New Roman" w:hAnsi="Times New Roman" w:cs="Times New Roman"/>
          <w:sz w:val="24"/>
          <w:szCs w:val="24"/>
        </w:rPr>
      </w:pPr>
    </w:p>
    <w:p w14:paraId="28374C91" w14:textId="77777777" w:rsidR="004F0B58" w:rsidRPr="00914FC4" w:rsidRDefault="004F0B58" w:rsidP="00013B24">
      <w:pPr>
        <w:spacing w:line="360" w:lineRule="auto"/>
        <w:rPr>
          <w:rFonts w:ascii="Times New Roman" w:hAnsi="Times New Roman" w:cs="Times New Roman"/>
          <w:sz w:val="24"/>
          <w:szCs w:val="24"/>
        </w:rPr>
      </w:pPr>
    </w:p>
    <w:p w14:paraId="69D0CF32" w14:textId="26D288CF" w:rsidR="00B82AA5" w:rsidRPr="00B82AA5" w:rsidRDefault="00B82AA5" w:rsidP="00914FC4">
      <w:pPr>
        <w:spacing w:after="0" w:line="360" w:lineRule="auto"/>
        <w:rPr>
          <w:rFonts w:ascii="Times New Roman" w:hAnsi="Times New Roman" w:cs="Times New Roman"/>
          <w:sz w:val="16"/>
          <w:szCs w:val="16"/>
          <w:lang w:val="en-US"/>
        </w:rPr>
      </w:pPr>
      <w:r w:rsidRPr="00B82AA5">
        <w:rPr>
          <w:rFonts w:ascii="Times New Roman" w:hAnsi="Times New Roman" w:cs="Times New Roman"/>
          <w:b/>
          <w:bCs/>
          <w:sz w:val="20"/>
          <w:szCs w:val="20"/>
          <w:lang w:val="en-US"/>
        </w:rPr>
        <w:lastRenderedPageBreak/>
        <w:t xml:space="preserve">Fig. S5 </w:t>
      </w:r>
      <w:r w:rsidRPr="00B82AA5">
        <w:rPr>
          <w:rFonts w:ascii="Times New Roman" w:hAnsi="Times New Roman" w:cs="Times New Roman"/>
          <w:sz w:val="20"/>
          <w:szCs w:val="20"/>
          <w:lang w:val="en-US"/>
        </w:rPr>
        <w:t>PTE associated with weathering of rocks</w:t>
      </w:r>
    </w:p>
    <w:p w14:paraId="54EAC0B6" w14:textId="60974852" w:rsidR="00B82AA5" w:rsidRDefault="00BA2C16" w:rsidP="00914FC4">
      <w:pPr>
        <w:spacing w:line="360" w:lineRule="auto"/>
        <w:rPr>
          <w:rFonts w:ascii="Times New Roman" w:hAnsi="Times New Roman" w:cs="Times New Roman"/>
          <w:b/>
          <w:bCs/>
          <w:sz w:val="24"/>
          <w:szCs w:val="24"/>
          <w:lang w:val="en-US"/>
        </w:rPr>
      </w:pPr>
      <w:r>
        <w:rPr>
          <w:noProof/>
          <w:lang w:val="pt-BR" w:eastAsia="pt-BR"/>
        </w:rPr>
        <w:drawing>
          <wp:inline distT="0" distB="0" distL="0" distR="0" wp14:anchorId="2B6BABFC" wp14:editId="5CB1B4BE">
            <wp:extent cx="5400040" cy="3127375"/>
            <wp:effectExtent l="0" t="0" r="0" b="0"/>
            <wp:docPr id="28" name="Gráfico 2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42E46C5-97F0-432B-AFCB-899FF040BD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835D78">
        <w:rPr>
          <w:rFonts w:ascii="Times New Roman" w:hAnsi="Times New Roman" w:cs="Times New Roman"/>
          <w:b/>
          <w:bCs/>
          <w:sz w:val="24"/>
          <w:szCs w:val="24"/>
          <w:lang w:val="en-US"/>
        </w:rPr>
        <w:t xml:space="preserve"> </w:t>
      </w:r>
    </w:p>
    <w:p w14:paraId="7050AFA9" w14:textId="392BFDE6" w:rsidR="00B82AA5" w:rsidRDefault="00B82AA5" w:rsidP="00914FC4">
      <w:pPr>
        <w:autoSpaceDE w:val="0"/>
        <w:autoSpaceDN w:val="0"/>
        <w:adjustRightInd w:val="0"/>
        <w:spacing w:after="0" w:line="360" w:lineRule="auto"/>
        <w:rPr>
          <w:rFonts w:ascii="Times New Roman" w:hAnsi="Times New Roman" w:cs="Times New Roman"/>
          <w:b/>
          <w:bCs/>
          <w:sz w:val="20"/>
          <w:szCs w:val="20"/>
          <w:lang w:val="en-US"/>
        </w:rPr>
      </w:pPr>
    </w:p>
    <w:p w14:paraId="67B83765" w14:textId="77777777" w:rsidR="00914FC4" w:rsidRDefault="00914FC4" w:rsidP="00914FC4">
      <w:pPr>
        <w:autoSpaceDE w:val="0"/>
        <w:autoSpaceDN w:val="0"/>
        <w:adjustRightInd w:val="0"/>
        <w:spacing w:after="0" w:line="360" w:lineRule="auto"/>
        <w:rPr>
          <w:rFonts w:ascii="Times New Roman" w:hAnsi="Times New Roman" w:cs="Times New Roman"/>
          <w:b/>
          <w:bCs/>
          <w:sz w:val="20"/>
          <w:szCs w:val="20"/>
          <w:lang w:val="en-US"/>
        </w:rPr>
      </w:pPr>
    </w:p>
    <w:p w14:paraId="2FED750E" w14:textId="5C1E1B36" w:rsidR="00BA2C16" w:rsidRPr="00B82AA5" w:rsidRDefault="00B82AA5" w:rsidP="00914FC4">
      <w:pPr>
        <w:autoSpaceDE w:val="0"/>
        <w:autoSpaceDN w:val="0"/>
        <w:adjustRightInd w:val="0"/>
        <w:spacing w:after="0" w:line="360" w:lineRule="auto"/>
        <w:rPr>
          <w:rFonts w:ascii="Times New Roman" w:hAnsi="Times New Roman" w:cs="Times New Roman"/>
          <w:sz w:val="20"/>
          <w:szCs w:val="20"/>
          <w:lang w:val="en-US"/>
        </w:rPr>
      </w:pPr>
      <w:r w:rsidRPr="00B82AA5">
        <w:rPr>
          <w:rFonts w:ascii="Times New Roman" w:hAnsi="Times New Roman" w:cs="Times New Roman"/>
          <w:b/>
          <w:bCs/>
          <w:sz w:val="20"/>
          <w:szCs w:val="20"/>
          <w:lang w:val="en-US"/>
        </w:rPr>
        <w:t xml:space="preserve">Fig. S6 </w:t>
      </w:r>
      <w:bookmarkStart w:id="5" w:name="_Hlk83624964"/>
      <w:r w:rsidRPr="00B82AA5">
        <w:rPr>
          <w:rFonts w:ascii="Times New Roman" w:hAnsi="Times New Roman" w:cs="Times New Roman"/>
          <w:sz w:val="20"/>
          <w:szCs w:val="20"/>
          <w:lang w:val="en-US"/>
        </w:rPr>
        <w:t>PTE associated with geogenic origin</w:t>
      </w:r>
      <w:bookmarkEnd w:id="5"/>
    </w:p>
    <w:p w14:paraId="03162977" w14:textId="77777777" w:rsidR="00BA2C16" w:rsidRDefault="00BA2C16" w:rsidP="00914FC4">
      <w:pPr>
        <w:autoSpaceDE w:val="0"/>
        <w:autoSpaceDN w:val="0"/>
        <w:adjustRightInd w:val="0"/>
        <w:spacing w:line="360" w:lineRule="auto"/>
        <w:rPr>
          <w:rFonts w:ascii="Times New Roman" w:hAnsi="Times New Roman" w:cs="Times New Roman"/>
          <w:sz w:val="24"/>
          <w:szCs w:val="24"/>
          <w:lang w:val="en-US"/>
        </w:rPr>
      </w:pPr>
      <w:r w:rsidRPr="008016C4">
        <w:rPr>
          <w:noProof/>
          <w:lang w:val="pt-BR" w:eastAsia="pt-BR"/>
        </w:rPr>
        <w:drawing>
          <wp:inline distT="0" distB="0" distL="0" distR="0" wp14:anchorId="5B9C3BA1" wp14:editId="4D596798">
            <wp:extent cx="5400040" cy="2819400"/>
            <wp:effectExtent l="0" t="0" r="0" b="0"/>
            <wp:docPr id="20" name="Gráfico 2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7047E1A-5291-4FFD-9331-8DEA3C70A2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79CF1A0" w14:textId="77777777" w:rsidR="00BA2C16" w:rsidRDefault="00BA2C16" w:rsidP="00914FC4">
      <w:pPr>
        <w:spacing w:line="360" w:lineRule="auto"/>
        <w:rPr>
          <w:lang w:val="en-US"/>
        </w:rPr>
      </w:pPr>
    </w:p>
    <w:p w14:paraId="27CBD77B" w14:textId="77777777" w:rsidR="00B82AA5" w:rsidRDefault="00B82AA5" w:rsidP="00914FC4">
      <w:pPr>
        <w:autoSpaceDE w:val="0"/>
        <w:autoSpaceDN w:val="0"/>
        <w:adjustRightInd w:val="0"/>
        <w:spacing w:after="0" w:line="360" w:lineRule="auto"/>
        <w:jc w:val="both"/>
        <w:rPr>
          <w:rFonts w:ascii="Times New Roman" w:hAnsi="Times New Roman" w:cs="Times New Roman"/>
          <w:b/>
          <w:bCs/>
          <w:sz w:val="20"/>
          <w:szCs w:val="20"/>
          <w:lang w:val="en-US"/>
        </w:rPr>
      </w:pPr>
    </w:p>
    <w:p w14:paraId="3FAFE075" w14:textId="77777777" w:rsidR="00B82AA5" w:rsidRDefault="00B82AA5" w:rsidP="00914FC4">
      <w:pPr>
        <w:autoSpaceDE w:val="0"/>
        <w:autoSpaceDN w:val="0"/>
        <w:adjustRightInd w:val="0"/>
        <w:spacing w:after="0" w:line="360" w:lineRule="auto"/>
        <w:jc w:val="both"/>
        <w:rPr>
          <w:rFonts w:ascii="Times New Roman" w:hAnsi="Times New Roman" w:cs="Times New Roman"/>
          <w:b/>
          <w:bCs/>
          <w:sz w:val="20"/>
          <w:szCs w:val="20"/>
          <w:lang w:val="en-US"/>
        </w:rPr>
      </w:pPr>
    </w:p>
    <w:p w14:paraId="6EA85859" w14:textId="77777777" w:rsidR="00B82AA5" w:rsidRDefault="00B82AA5" w:rsidP="00914FC4">
      <w:pPr>
        <w:autoSpaceDE w:val="0"/>
        <w:autoSpaceDN w:val="0"/>
        <w:adjustRightInd w:val="0"/>
        <w:spacing w:after="0" w:line="360" w:lineRule="auto"/>
        <w:jc w:val="both"/>
        <w:rPr>
          <w:rFonts w:ascii="Times New Roman" w:hAnsi="Times New Roman" w:cs="Times New Roman"/>
          <w:b/>
          <w:bCs/>
          <w:sz w:val="20"/>
          <w:szCs w:val="20"/>
          <w:lang w:val="en-US"/>
        </w:rPr>
      </w:pPr>
    </w:p>
    <w:p w14:paraId="2EAA3A62" w14:textId="77777777" w:rsidR="00B82AA5" w:rsidRDefault="00B82AA5" w:rsidP="00914FC4">
      <w:pPr>
        <w:autoSpaceDE w:val="0"/>
        <w:autoSpaceDN w:val="0"/>
        <w:adjustRightInd w:val="0"/>
        <w:spacing w:after="0" w:line="360" w:lineRule="auto"/>
        <w:jc w:val="both"/>
        <w:rPr>
          <w:rFonts w:ascii="Times New Roman" w:hAnsi="Times New Roman" w:cs="Times New Roman"/>
          <w:b/>
          <w:bCs/>
          <w:sz w:val="20"/>
          <w:szCs w:val="20"/>
          <w:lang w:val="en-US"/>
        </w:rPr>
      </w:pPr>
    </w:p>
    <w:p w14:paraId="1C4AE523" w14:textId="77777777" w:rsidR="00B82AA5" w:rsidRDefault="00B82AA5" w:rsidP="00914FC4">
      <w:pPr>
        <w:autoSpaceDE w:val="0"/>
        <w:autoSpaceDN w:val="0"/>
        <w:adjustRightInd w:val="0"/>
        <w:spacing w:after="0" w:line="360" w:lineRule="auto"/>
        <w:jc w:val="both"/>
        <w:rPr>
          <w:rFonts w:ascii="Times New Roman" w:hAnsi="Times New Roman" w:cs="Times New Roman"/>
          <w:b/>
          <w:bCs/>
          <w:sz w:val="20"/>
          <w:szCs w:val="20"/>
          <w:lang w:val="en-US"/>
        </w:rPr>
      </w:pPr>
    </w:p>
    <w:p w14:paraId="24A03E71" w14:textId="77777777" w:rsidR="00B82AA5" w:rsidRDefault="00B82AA5" w:rsidP="00914FC4">
      <w:pPr>
        <w:autoSpaceDE w:val="0"/>
        <w:autoSpaceDN w:val="0"/>
        <w:adjustRightInd w:val="0"/>
        <w:spacing w:after="0" w:line="360" w:lineRule="auto"/>
        <w:jc w:val="both"/>
        <w:rPr>
          <w:rFonts w:ascii="Times New Roman" w:hAnsi="Times New Roman" w:cs="Times New Roman"/>
          <w:b/>
          <w:bCs/>
          <w:sz w:val="20"/>
          <w:szCs w:val="20"/>
          <w:lang w:val="en-US"/>
        </w:rPr>
      </w:pPr>
    </w:p>
    <w:p w14:paraId="0F622219" w14:textId="43E36E34" w:rsidR="00BA2C16" w:rsidRPr="00B82AA5" w:rsidRDefault="00B82AA5" w:rsidP="00914FC4">
      <w:pPr>
        <w:autoSpaceDE w:val="0"/>
        <w:autoSpaceDN w:val="0"/>
        <w:adjustRightInd w:val="0"/>
        <w:spacing w:after="0" w:line="360" w:lineRule="auto"/>
        <w:jc w:val="both"/>
        <w:rPr>
          <w:rFonts w:ascii="Times New Roman" w:hAnsi="Times New Roman" w:cs="Times New Roman"/>
          <w:sz w:val="20"/>
          <w:szCs w:val="20"/>
          <w:lang w:val="en-US"/>
        </w:rPr>
      </w:pPr>
      <w:r w:rsidRPr="00B82AA5">
        <w:rPr>
          <w:rFonts w:ascii="Times New Roman" w:hAnsi="Times New Roman" w:cs="Times New Roman"/>
          <w:b/>
          <w:bCs/>
          <w:sz w:val="20"/>
          <w:szCs w:val="20"/>
          <w:lang w:val="en-US"/>
        </w:rPr>
        <w:lastRenderedPageBreak/>
        <w:t xml:space="preserve">Fig. S7 </w:t>
      </w:r>
      <w:r w:rsidRPr="00B82AA5">
        <w:rPr>
          <w:rFonts w:ascii="Times New Roman" w:hAnsi="Times New Roman" w:cs="Times New Roman"/>
          <w:sz w:val="20"/>
          <w:szCs w:val="20"/>
          <w:lang w:val="en-US"/>
        </w:rPr>
        <w:t>PTE associated with lithogenic origin</w:t>
      </w:r>
    </w:p>
    <w:p w14:paraId="55A8DE79" w14:textId="77777777" w:rsidR="00BA2C16" w:rsidRDefault="00BA2C16" w:rsidP="00914FC4">
      <w:pPr>
        <w:autoSpaceDE w:val="0"/>
        <w:autoSpaceDN w:val="0"/>
        <w:adjustRightInd w:val="0"/>
        <w:spacing w:line="360" w:lineRule="auto"/>
        <w:rPr>
          <w:rFonts w:ascii="Times New Roman" w:hAnsi="Times New Roman" w:cs="Times New Roman"/>
          <w:sz w:val="24"/>
          <w:szCs w:val="24"/>
          <w:lang w:val="en-US"/>
        </w:rPr>
      </w:pPr>
      <w:r>
        <w:rPr>
          <w:noProof/>
          <w:lang w:val="pt-BR" w:eastAsia="pt-BR"/>
        </w:rPr>
        <w:drawing>
          <wp:inline distT="0" distB="0" distL="0" distR="0" wp14:anchorId="21979957" wp14:editId="4FE25AB3">
            <wp:extent cx="5400040" cy="2613025"/>
            <wp:effectExtent l="0" t="0" r="0" b="0"/>
            <wp:docPr id="22" name="Gráfico 2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90AC732-175B-4A0E-9E69-FA1D4B45C4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DBEDB7F" w14:textId="21320B8A" w:rsidR="00BA2C16" w:rsidRDefault="00BA2C16" w:rsidP="00914FC4">
      <w:pPr>
        <w:spacing w:after="0" w:line="360" w:lineRule="auto"/>
        <w:rPr>
          <w:lang w:val="en-US"/>
        </w:rPr>
      </w:pPr>
    </w:p>
    <w:p w14:paraId="17F16B8D" w14:textId="77777777" w:rsidR="00914FC4" w:rsidRDefault="00914FC4" w:rsidP="00914FC4">
      <w:pPr>
        <w:spacing w:after="0" w:line="360" w:lineRule="auto"/>
        <w:rPr>
          <w:lang w:val="en-US"/>
        </w:rPr>
      </w:pPr>
    </w:p>
    <w:p w14:paraId="0F2EB3A7" w14:textId="4C73EAD3" w:rsidR="00B82AA5" w:rsidRPr="00B82AA5" w:rsidRDefault="00B82AA5" w:rsidP="00914FC4">
      <w:pPr>
        <w:autoSpaceDE w:val="0"/>
        <w:autoSpaceDN w:val="0"/>
        <w:adjustRightInd w:val="0"/>
        <w:spacing w:after="0" w:line="360" w:lineRule="auto"/>
        <w:jc w:val="both"/>
        <w:rPr>
          <w:rFonts w:ascii="Times New Roman" w:hAnsi="Times New Roman" w:cs="Times New Roman"/>
          <w:sz w:val="16"/>
          <w:szCs w:val="16"/>
          <w:lang w:val="en-US"/>
        </w:rPr>
      </w:pPr>
      <w:r w:rsidRPr="00B82AA5">
        <w:rPr>
          <w:rFonts w:ascii="Times New Roman" w:hAnsi="Times New Roman" w:cs="Times New Roman"/>
          <w:b/>
          <w:bCs/>
          <w:sz w:val="20"/>
          <w:szCs w:val="20"/>
          <w:lang w:val="en-US"/>
        </w:rPr>
        <w:t>Fig. S8</w:t>
      </w:r>
      <w:r w:rsidRPr="00B82AA5">
        <w:rPr>
          <w:rFonts w:ascii="Times New Roman" w:hAnsi="Times New Roman" w:cs="Times New Roman"/>
          <w:sz w:val="20"/>
          <w:szCs w:val="20"/>
          <w:lang w:val="en-US"/>
        </w:rPr>
        <w:t xml:space="preserve"> PTE associated with soil composition</w:t>
      </w:r>
    </w:p>
    <w:p w14:paraId="591F19D3" w14:textId="77777777" w:rsidR="00BA2C16" w:rsidRDefault="00BA2C16" w:rsidP="00914FC4">
      <w:pPr>
        <w:autoSpaceDE w:val="0"/>
        <w:autoSpaceDN w:val="0"/>
        <w:adjustRightInd w:val="0"/>
        <w:spacing w:line="360" w:lineRule="auto"/>
        <w:rPr>
          <w:rFonts w:ascii="Times New Roman" w:hAnsi="Times New Roman" w:cs="Times New Roman"/>
          <w:sz w:val="24"/>
          <w:szCs w:val="24"/>
          <w:lang w:val="en-US"/>
        </w:rPr>
      </w:pPr>
      <w:r>
        <w:rPr>
          <w:noProof/>
          <w:lang w:val="pt-BR" w:eastAsia="pt-BR"/>
        </w:rPr>
        <w:drawing>
          <wp:inline distT="0" distB="0" distL="0" distR="0" wp14:anchorId="2DAE61A4" wp14:editId="15E4949E">
            <wp:extent cx="5400040" cy="2781935"/>
            <wp:effectExtent l="0" t="0" r="0" b="0"/>
            <wp:docPr id="23" name="Gráfico 2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8184B1E-49CE-40BF-8E03-E0F20F856B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EBA1454" w14:textId="77777777" w:rsidR="00B82AA5" w:rsidRDefault="00B82AA5" w:rsidP="00914FC4">
      <w:pPr>
        <w:autoSpaceDE w:val="0"/>
        <w:autoSpaceDN w:val="0"/>
        <w:adjustRightInd w:val="0"/>
        <w:spacing w:after="0" w:line="360" w:lineRule="auto"/>
        <w:rPr>
          <w:rFonts w:ascii="Times New Roman" w:hAnsi="Times New Roman" w:cs="Times New Roman"/>
          <w:b/>
          <w:bCs/>
          <w:sz w:val="20"/>
          <w:szCs w:val="20"/>
          <w:lang w:val="en-US"/>
        </w:rPr>
      </w:pPr>
    </w:p>
    <w:p w14:paraId="565FFE08" w14:textId="77777777" w:rsidR="00B82AA5" w:rsidRDefault="00B82AA5" w:rsidP="00914FC4">
      <w:pPr>
        <w:autoSpaceDE w:val="0"/>
        <w:autoSpaceDN w:val="0"/>
        <w:adjustRightInd w:val="0"/>
        <w:spacing w:after="0" w:line="360" w:lineRule="auto"/>
        <w:rPr>
          <w:rFonts w:ascii="Times New Roman" w:hAnsi="Times New Roman" w:cs="Times New Roman"/>
          <w:b/>
          <w:bCs/>
          <w:sz w:val="20"/>
          <w:szCs w:val="20"/>
          <w:lang w:val="en-US"/>
        </w:rPr>
      </w:pPr>
    </w:p>
    <w:p w14:paraId="39320111" w14:textId="77777777" w:rsidR="00B82AA5" w:rsidRDefault="00B82AA5" w:rsidP="00914FC4">
      <w:pPr>
        <w:autoSpaceDE w:val="0"/>
        <w:autoSpaceDN w:val="0"/>
        <w:adjustRightInd w:val="0"/>
        <w:spacing w:after="0" w:line="360" w:lineRule="auto"/>
        <w:rPr>
          <w:rFonts w:ascii="Times New Roman" w:hAnsi="Times New Roman" w:cs="Times New Roman"/>
          <w:b/>
          <w:bCs/>
          <w:sz w:val="20"/>
          <w:szCs w:val="20"/>
          <w:lang w:val="en-US"/>
        </w:rPr>
      </w:pPr>
    </w:p>
    <w:p w14:paraId="47510A16" w14:textId="77777777" w:rsidR="00B82AA5" w:rsidRDefault="00B82AA5" w:rsidP="00914FC4">
      <w:pPr>
        <w:autoSpaceDE w:val="0"/>
        <w:autoSpaceDN w:val="0"/>
        <w:adjustRightInd w:val="0"/>
        <w:spacing w:after="0" w:line="360" w:lineRule="auto"/>
        <w:rPr>
          <w:rFonts w:ascii="Times New Roman" w:hAnsi="Times New Roman" w:cs="Times New Roman"/>
          <w:b/>
          <w:bCs/>
          <w:sz w:val="20"/>
          <w:szCs w:val="20"/>
          <w:lang w:val="en-US"/>
        </w:rPr>
      </w:pPr>
    </w:p>
    <w:p w14:paraId="1F965C07" w14:textId="77777777" w:rsidR="00B82AA5" w:rsidRDefault="00B82AA5" w:rsidP="00914FC4">
      <w:pPr>
        <w:autoSpaceDE w:val="0"/>
        <w:autoSpaceDN w:val="0"/>
        <w:adjustRightInd w:val="0"/>
        <w:spacing w:after="0" w:line="360" w:lineRule="auto"/>
        <w:rPr>
          <w:rFonts w:ascii="Times New Roman" w:hAnsi="Times New Roman" w:cs="Times New Roman"/>
          <w:b/>
          <w:bCs/>
          <w:sz w:val="20"/>
          <w:szCs w:val="20"/>
          <w:lang w:val="en-US"/>
        </w:rPr>
      </w:pPr>
    </w:p>
    <w:p w14:paraId="6C83AD9D" w14:textId="77777777" w:rsidR="00B82AA5" w:rsidRDefault="00B82AA5" w:rsidP="00914FC4">
      <w:pPr>
        <w:autoSpaceDE w:val="0"/>
        <w:autoSpaceDN w:val="0"/>
        <w:adjustRightInd w:val="0"/>
        <w:spacing w:after="0" w:line="360" w:lineRule="auto"/>
        <w:rPr>
          <w:rFonts w:ascii="Times New Roman" w:hAnsi="Times New Roman" w:cs="Times New Roman"/>
          <w:b/>
          <w:bCs/>
          <w:sz w:val="20"/>
          <w:szCs w:val="20"/>
          <w:lang w:val="en-US"/>
        </w:rPr>
      </w:pPr>
    </w:p>
    <w:p w14:paraId="610DAF7E" w14:textId="77777777" w:rsidR="00B82AA5" w:rsidRDefault="00B82AA5" w:rsidP="00914FC4">
      <w:pPr>
        <w:autoSpaceDE w:val="0"/>
        <w:autoSpaceDN w:val="0"/>
        <w:adjustRightInd w:val="0"/>
        <w:spacing w:after="0" w:line="360" w:lineRule="auto"/>
        <w:rPr>
          <w:rFonts w:ascii="Times New Roman" w:hAnsi="Times New Roman" w:cs="Times New Roman"/>
          <w:b/>
          <w:bCs/>
          <w:sz w:val="20"/>
          <w:szCs w:val="20"/>
          <w:lang w:val="en-US"/>
        </w:rPr>
      </w:pPr>
    </w:p>
    <w:p w14:paraId="0E891EBB" w14:textId="63F38199" w:rsidR="00B82AA5" w:rsidRDefault="00B82AA5" w:rsidP="00914FC4">
      <w:pPr>
        <w:autoSpaceDE w:val="0"/>
        <w:autoSpaceDN w:val="0"/>
        <w:adjustRightInd w:val="0"/>
        <w:spacing w:after="0" w:line="360" w:lineRule="auto"/>
        <w:rPr>
          <w:rFonts w:ascii="Times New Roman" w:hAnsi="Times New Roman" w:cs="Times New Roman"/>
          <w:b/>
          <w:bCs/>
          <w:sz w:val="20"/>
          <w:szCs w:val="20"/>
          <w:lang w:val="en-US"/>
        </w:rPr>
      </w:pPr>
    </w:p>
    <w:p w14:paraId="0FBFC445" w14:textId="77777777" w:rsidR="00FA1820" w:rsidRDefault="00FA1820" w:rsidP="00914FC4">
      <w:pPr>
        <w:autoSpaceDE w:val="0"/>
        <w:autoSpaceDN w:val="0"/>
        <w:adjustRightInd w:val="0"/>
        <w:spacing w:after="0" w:line="360" w:lineRule="auto"/>
        <w:rPr>
          <w:rFonts w:ascii="Times New Roman" w:hAnsi="Times New Roman" w:cs="Times New Roman"/>
          <w:b/>
          <w:bCs/>
          <w:sz w:val="20"/>
          <w:szCs w:val="20"/>
          <w:lang w:val="en-US"/>
        </w:rPr>
      </w:pPr>
    </w:p>
    <w:p w14:paraId="05ED8DA1" w14:textId="392E88D9" w:rsidR="00B82AA5" w:rsidRDefault="00B82AA5" w:rsidP="00914FC4">
      <w:pPr>
        <w:autoSpaceDE w:val="0"/>
        <w:autoSpaceDN w:val="0"/>
        <w:adjustRightInd w:val="0"/>
        <w:spacing w:after="0" w:line="360" w:lineRule="auto"/>
        <w:rPr>
          <w:rFonts w:ascii="Times New Roman" w:hAnsi="Times New Roman" w:cs="Times New Roman"/>
          <w:b/>
          <w:bCs/>
          <w:sz w:val="20"/>
          <w:szCs w:val="20"/>
          <w:lang w:val="en-US"/>
        </w:rPr>
      </w:pPr>
    </w:p>
    <w:p w14:paraId="6C811D6F" w14:textId="4748E983" w:rsidR="00013B24" w:rsidRPr="00013B24" w:rsidRDefault="00013B24" w:rsidP="00013B24">
      <w:pPr>
        <w:spacing w:after="0" w:line="360" w:lineRule="auto"/>
        <w:jc w:val="center"/>
        <w:rPr>
          <w:rFonts w:ascii="Times New Roman" w:eastAsiaTheme="minorHAnsi" w:hAnsi="Times New Roman" w:cs="Times New Roman"/>
          <w:b/>
          <w:sz w:val="20"/>
          <w:szCs w:val="20"/>
          <w:lang w:val="en-GB" w:eastAsia="en-US"/>
        </w:rPr>
      </w:pPr>
      <w:r w:rsidRPr="00013B24">
        <w:rPr>
          <w:rFonts w:ascii="Times New Roman" w:hAnsi="Times New Roman" w:cs="Times New Roman"/>
          <w:b/>
          <w:bCs/>
          <w:sz w:val="20"/>
          <w:szCs w:val="20"/>
          <w:lang w:val="en-US"/>
        </w:rPr>
        <w:lastRenderedPageBreak/>
        <w:t>Table S2</w:t>
      </w:r>
      <w:r w:rsidRPr="00013B24">
        <w:rPr>
          <w:rFonts w:ascii="Times New Roman" w:hAnsi="Times New Roman" w:cs="Times New Roman"/>
          <w:sz w:val="20"/>
          <w:szCs w:val="20"/>
          <w:lang w:val="en-US"/>
        </w:rPr>
        <w:t xml:space="preserve"> Anthropogenic sources of potentially toxic elements to the aquatic environment</w:t>
      </w:r>
    </w:p>
    <w:tbl>
      <w:tblPr>
        <w:tblW w:w="19299" w:type="dxa"/>
        <w:tblInd w:w="108" w:type="dxa"/>
        <w:tblLook w:val="04A0" w:firstRow="1" w:lastRow="0" w:firstColumn="1" w:lastColumn="0" w:noHBand="0" w:noVBand="1"/>
      </w:tblPr>
      <w:tblGrid>
        <w:gridCol w:w="1276"/>
        <w:gridCol w:w="3260"/>
        <w:gridCol w:w="4536"/>
        <w:gridCol w:w="5409"/>
        <w:gridCol w:w="4818"/>
      </w:tblGrid>
      <w:tr w:rsidR="00013B24" w:rsidRPr="00013B24" w14:paraId="5D2AE9C1" w14:textId="77777777" w:rsidTr="00013B24">
        <w:trPr>
          <w:gridAfter w:val="2"/>
          <w:wAfter w:w="10227" w:type="dxa"/>
        </w:trPr>
        <w:tc>
          <w:tcPr>
            <w:tcW w:w="1276" w:type="dxa"/>
            <w:tcBorders>
              <w:top w:val="single" w:sz="12" w:space="0" w:color="auto"/>
              <w:left w:val="nil"/>
              <w:bottom w:val="single" w:sz="12" w:space="0" w:color="auto"/>
              <w:right w:val="nil"/>
            </w:tcBorders>
            <w:shd w:val="clear" w:color="auto" w:fill="5F497A" w:themeFill="accent4" w:themeFillShade="BF"/>
          </w:tcPr>
          <w:p w14:paraId="47599CF6" w14:textId="404F35A9" w:rsidR="00013B24" w:rsidRPr="00013B24" w:rsidRDefault="00013B24" w:rsidP="00013B24">
            <w:pPr>
              <w:spacing w:after="160"/>
              <w:jc w:val="center"/>
              <w:rPr>
                <w:rFonts w:ascii="Times New Roman" w:eastAsia="Calibri" w:hAnsi="Times New Roman" w:cs="Times New Roman"/>
                <w:b/>
                <w:bCs/>
                <w:color w:val="FFFFFF"/>
                <w:sz w:val="24"/>
                <w:szCs w:val="24"/>
                <w:lang w:val="pt-BR" w:eastAsia="en-US"/>
              </w:rPr>
            </w:pPr>
            <w:r w:rsidRPr="00013B24">
              <w:rPr>
                <w:rFonts w:ascii="Times New Roman" w:eastAsia="Calibri" w:hAnsi="Times New Roman" w:cs="Times New Roman"/>
                <w:b/>
                <w:bCs/>
                <w:color w:val="FFFFFF"/>
                <w:sz w:val="24"/>
                <w:szCs w:val="24"/>
                <w:lang w:val="pt-BR" w:eastAsia="en-US"/>
              </w:rPr>
              <w:t>PT</w:t>
            </w:r>
            <w:r w:rsidR="0080186D">
              <w:rPr>
                <w:rFonts w:ascii="Times New Roman" w:eastAsia="Calibri" w:hAnsi="Times New Roman" w:cs="Times New Roman"/>
                <w:b/>
                <w:bCs/>
                <w:color w:val="FFFFFF"/>
                <w:sz w:val="24"/>
                <w:szCs w:val="24"/>
                <w:lang w:val="pt-BR" w:eastAsia="en-US"/>
              </w:rPr>
              <w:t>E</w:t>
            </w:r>
          </w:p>
        </w:tc>
        <w:tc>
          <w:tcPr>
            <w:tcW w:w="3260" w:type="dxa"/>
            <w:tcBorders>
              <w:top w:val="single" w:sz="12" w:space="0" w:color="auto"/>
              <w:left w:val="nil"/>
              <w:bottom w:val="single" w:sz="12" w:space="0" w:color="auto"/>
              <w:right w:val="nil"/>
            </w:tcBorders>
            <w:shd w:val="clear" w:color="auto" w:fill="5F497A" w:themeFill="accent4" w:themeFillShade="BF"/>
          </w:tcPr>
          <w:p w14:paraId="53E76514" w14:textId="6B7A6030" w:rsidR="00013B24" w:rsidRPr="00013B24" w:rsidRDefault="0080186D" w:rsidP="00013B24">
            <w:pPr>
              <w:spacing w:after="160"/>
              <w:jc w:val="center"/>
              <w:rPr>
                <w:rFonts w:ascii="Times New Roman" w:eastAsia="Calibri" w:hAnsi="Times New Roman" w:cs="Times New Roman"/>
                <w:b/>
                <w:bCs/>
                <w:color w:val="FFFFFF"/>
                <w:sz w:val="24"/>
                <w:szCs w:val="24"/>
                <w:lang w:val="pt-BR" w:eastAsia="en-US"/>
              </w:rPr>
            </w:pPr>
            <w:r>
              <w:rPr>
                <w:rFonts w:ascii="Times New Roman" w:eastAsia="Calibri" w:hAnsi="Times New Roman" w:cs="Times New Roman"/>
                <w:b/>
                <w:bCs/>
                <w:color w:val="FFFFFF"/>
                <w:sz w:val="24"/>
                <w:szCs w:val="24"/>
                <w:lang w:val="pt-BR" w:eastAsia="en-US"/>
              </w:rPr>
              <w:t>Anthropogenic sources</w:t>
            </w:r>
          </w:p>
        </w:tc>
        <w:tc>
          <w:tcPr>
            <w:tcW w:w="4536" w:type="dxa"/>
            <w:tcBorders>
              <w:top w:val="single" w:sz="12" w:space="0" w:color="auto"/>
              <w:left w:val="nil"/>
              <w:bottom w:val="single" w:sz="12" w:space="0" w:color="auto"/>
              <w:right w:val="nil"/>
            </w:tcBorders>
            <w:shd w:val="clear" w:color="auto" w:fill="5F497A" w:themeFill="accent4" w:themeFillShade="BF"/>
          </w:tcPr>
          <w:p w14:paraId="6F1D96B1" w14:textId="74FD8B8C" w:rsidR="00013B24" w:rsidRPr="00013B24" w:rsidRDefault="00013B24" w:rsidP="00013B24">
            <w:pPr>
              <w:spacing w:after="160"/>
              <w:jc w:val="center"/>
              <w:rPr>
                <w:rFonts w:ascii="Times New Roman" w:eastAsia="Calibri" w:hAnsi="Times New Roman" w:cs="Times New Roman"/>
                <w:b/>
                <w:bCs/>
                <w:color w:val="FFFFFF"/>
                <w:sz w:val="24"/>
                <w:szCs w:val="24"/>
                <w:lang w:val="pt-BR" w:eastAsia="en-US"/>
              </w:rPr>
            </w:pPr>
            <w:r w:rsidRPr="00013B24">
              <w:rPr>
                <w:rFonts w:ascii="Times New Roman" w:eastAsia="Calibri" w:hAnsi="Times New Roman" w:cs="Times New Roman"/>
                <w:b/>
                <w:bCs/>
                <w:color w:val="FFFFFF"/>
                <w:sz w:val="24"/>
                <w:szCs w:val="24"/>
                <w:lang w:val="pt-BR" w:eastAsia="en-US"/>
              </w:rPr>
              <w:t>Refer</w:t>
            </w:r>
            <w:r w:rsidR="0080186D">
              <w:rPr>
                <w:rFonts w:ascii="Times New Roman" w:eastAsia="Calibri" w:hAnsi="Times New Roman" w:cs="Times New Roman"/>
                <w:b/>
                <w:bCs/>
                <w:color w:val="FFFFFF"/>
                <w:sz w:val="24"/>
                <w:szCs w:val="24"/>
                <w:lang w:val="pt-BR" w:eastAsia="en-US"/>
              </w:rPr>
              <w:t>ence</w:t>
            </w:r>
            <w:r w:rsidRPr="00013B24">
              <w:rPr>
                <w:rFonts w:ascii="Times New Roman" w:eastAsia="Calibri" w:hAnsi="Times New Roman" w:cs="Times New Roman"/>
                <w:b/>
                <w:bCs/>
                <w:color w:val="FFFFFF"/>
                <w:sz w:val="24"/>
                <w:szCs w:val="24"/>
                <w:lang w:val="pt-BR" w:eastAsia="en-US"/>
              </w:rPr>
              <w:t>s</w:t>
            </w:r>
          </w:p>
        </w:tc>
      </w:tr>
      <w:tr w:rsidR="00013B24" w:rsidRPr="00013B24" w14:paraId="302F2CB1" w14:textId="77777777" w:rsidTr="00013B24">
        <w:trPr>
          <w:gridAfter w:val="2"/>
          <w:wAfter w:w="10227" w:type="dxa"/>
        </w:trPr>
        <w:tc>
          <w:tcPr>
            <w:tcW w:w="1276" w:type="dxa"/>
            <w:tcBorders>
              <w:left w:val="nil"/>
              <w:bottom w:val="single" w:sz="12" w:space="0" w:color="auto"/>
              <w:right w:val="nil"/>
            </w:tcBorders>
            <w:shd w:val="clear" w:color="auto" w:fill="auto"/>
            <w:vAlign w:val="center"/>
          </w:tcPr>
          <w:p w14:paraId="525668DB" w14:textId="77777777" w:rsidR="00013B24" w:rsidRPr="00013B24" w:rsidRDefault="00013B24" w:rsidP="00013B24">
            <w:pPr>
              <w:spacing w:after="160"/>
              <w:jc w:val="center"/>
              <w:rPr>
                <w:rFonts w:ascii="Times New Roman" w:eastAsia="Calibri" w:hAnsi="Times New Roman" w:cs="Times New Roman"/>
                <w:b/>
                <w:bCs/>
                <w:sz w:val="24"/>
                <w:szCs w:val="24"/>
                <w:lang w:val="pt-BR" w:eastAsia="en-US"/>
              </w:rPr>
            </w:pPr>
            <w:r w:rsidRPr="00013B24">
              <w:rPr>
                <w:rFonts w:ascii="Times New Roman" w:eastAsia="Calibri" w:hAnsi="Times New Roman" w:cs="Times New Roman"/>
                <w:b/>
                <w:bCs/>
                <w:sz w:val="24"/>
                <w:szCs w:val="24"/>
                <w:lang w:val="pt-BR" w:eastAsia="en-US"/>
              </w:rPr>
              <w:t>Al</w:t>
            </w:r>
          </w:p>
        </w:tc>
        <w:tc>
          <w:tcPr>
            <w:tcW w:w="3260" w:type="dxa"/>
            <w:tcBorders>
              <w:top w:val="single" w:sz="4" w:space="0" w:color="auto"/>
              <w:left w:val="nil"/>
              <w:bottom w:val="single" w:sz="12" w:space="0" w:color="auto"/>
              <w:right w:val="nil"/>
            </w:tcBorders>
            <w:shd w:val="clear" w:color="auto" w:fill="auto"/>
            <w:vAlign w:val="center"/>
          </w:tcPr>
          <w:p w14:paraId="580167EF" w14:textId="35D26D18" w:rsidR="00013B24" w:rsidRPr="00013B24" w:rsidRDefault="00A41699"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Mining</w:t>
            </w:r>
          </w:p>
        </w:tc>
        <w:tc>
          <w:tcPr>
            <w:tcW w:w="4536" w:type="dxa"/>
            <w:tcBorders>
              <w:top w:val="single" w:sz="4" w:space="0" w:color="auto"/>
              <w:left w:val="nil"/>
              <w:bottom w:val="single" w:sz="12" w:space="0" w:color="auto"/>
              <w:right w:val="nil"/>
            </w:tcBorders>
            <w:shd w:val="clear" w:color="auto" w:fill="auto"/>
            <w:vAlign w:val="center"/>
          </w:tcPr>
          <w:p w14:paraId="48FD1583" w14:textId="77777777" w:rsidR="00013B24" w:rsidRPr="00013B24" w:rsidRDefault="00013B24" w:rsidP="00013B24">
            <w:pPr>
              <w:spacing w:after="160"/>
              <w:jc w:val="both"/>
              <w:rPr>
                <w:rFonts w:ascii="Times New Roman" w:eastAsia="Calibri" w:hAnsi="Times New Roman" w:cs="Times New Roman"/>
                <w:sz w:val="24"/>
                <w:szCs w:val="24"/>
                <w:lang w:val="pt-BR" w:eastAsia="en-US"/>
              </w:rPr>
            </w:pPr>
            <w:r w:rsidRPr="00013B24">
              <w:rPr>
                <w:rFonts w:ascii="Times New Roman" w:eastAsia="Calibri" w:hAnsi="Times New Roman" w:cs="Times New Roman"/>
                <w:sz w:val="24"/>
                <w:szCs w:val="24"/>
                <w:lang w:val="en-US" w:eastAsia="en-US"/>
              </w:rPr>
              <w:t xml:space="preserve">Sarmiento et al. (2011), O'Neill et al. </w:t>
            </w:r>
            <w:r w:rsidRPr="00013B24">
              <w:rPr>
                <w:rFonts w:ascii="Times New Roman" w:eastAsia="Calibri" w:hAnsi="Times New Roman" w:cs="Times New Roman"/>
                <w:sz w:val="24"/>
                <w:szCs w:val="24"/>
                <w:lang w:val="pt-BR" w:eastAsia="en-US"/>
              </w:rPr>
              <w:t>(2015), Iavazzo et al. (2012)</w:t>
            </w:r>
          </w:p>
        </w:tc>
      </w:tr>
      <w:tr w:rsidR="00013B24" w:rsidRPr="00013B24" w14:paraId="1E515594" w14:textId="77777777" w:rsidTr="00013B24">
        <w:trPr>
          <w:gridAfter w:val="2"/>
          <w:wAfter w:w="10227" w:type="dxa"/>
        </w:trPr>
        <w:tc>
          <w:tcPr>
            <w:tcW w:w="1276" w:type="dxa"/>
            <w:vMerge w:val="restart"/>
            <w:tcBorders>
              <w:top w:val="nil"/>
              <w:left w:val="nil"/>
              <w:right w:val="nil"/>
            </w:tcBorders>
            <w:shd w:val="clear" w:color="auto" w:fill="auto"/>
            <w:vAlign w:val="center"/>
          </w:tcPr>
          <w:p w14:paraId="1CD23D92" w14:textId="77777777" w:rsidR="00013B24" w:rsidRPr="00013B24" w:rsidRDefault="00013B24" w:rsidP="00013B24">
            <w:pPr>
              <w:spacing w:after="160"/>
              <w:jc w:val="center"/>
              <w:rPr>
                <w:rFonts w:ascii="Times New Roman" w:eastAsia="Calibri" w:hAnsi="Times New Roman" w:cs="Times New Roman"/>
                <w:b/>
                <w:bCs/>
                <w:sz w:val="24"/>
                <w:szCs w:val="24"/>
                <w:lang w:val="pt-BR" w:eastAsia="en-US"/>
              </w:rPr>
            </w:pPr>
            <w:r w:rsidRPr="00013B24">
              <w:rPr>
                <w:rFonts w:ascii="Times New Roman" w:eastAsia="Calibri" w:hAnsi="Times New Roman" w:cs="Times New Roman"/>
                <w:b/>
                <w:bCs/>
                <w:sz w:val="24"/>
                <w:szCs w:val="24"/>
                <w:lang w:val="pt-BR" w:eastAsia="en-US"/>
              </w:rPr>
              <w:t>As</w:t>
            </w:r>
          </w:p>
        </w:tc>
        <w:tc>
          <w:tcPr>
            <w:tcW w:w="3260" w:type="dxa"/>
            <w:tcBorders>
              <w:top w:val="nil"/>
              <w:left w:val="nil"/>
              <w:bottom w:val="single" w:sz="4" w:space="0" w:color="auto"/>
              <w:right w:val="nil"/>
            </w:tcBorders>
            <w:shd w:val="clear" w:color="auto" w:fill="auto"/>
            <w:vAlign w:val="center"/>
          </w:tcPr>
          <w:p w14:paraId="4890D784" w14:textId="50BB1E7E" w:rsidR="00013B24" w:rsidRPr="00013B24" w:rsidRDefault="00A41699"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Mining</w:t>
            </w:r>
          </w:p>
        </w:tc>
        <w:tc>
          <w:tcPr>
            <w:tcW w:w="4536" w:type="dxa"/>
            <w:tcBorders>
              <w:top w:val="single" w:sz="12" w:space="0" w:color="auto"/>
              <w:left w:val="nil"/>
              <w:bottom w:val="single" w:sz="4" w:space="0" w:color="auto"/>
              <w:right w:val="nil"/>
            </w:tcBorders>
            <w:shd w:val="clear" w:color="auto" w:fill="auto"/>
            <w:vAlign w:val="center"/>
          </w:tcPr>
          <w:p w14:paraId="77A8B5BF" w14:textId="77777777" w:rsidR="00013B24" w:rsidRPr="00013B24" w:rsidRDefault="00013B24" w:rsidP="00013B24">
            <w:pPr>
              <w:spacing w:after="160"/>
              <w:jc w:val="both"/>
              <w:rPr>
                <w:rFonts w:ascii="Times New Roman" w:eastAsia="Calibri" w:hAnsi="Times New Roman" w:cs="Times New Roman"/>
                <w:sz w:val="24"/>
                <w:szCs w:val="24"/>
                <w:lang w:val="pt-BR" w:eastAsia="en-US"/>
              </w:rPr>
            </w:pPr>
            <w:r w:rsidRPr="00013B24">
              <w:rPr>
                <w:rFonts w:ascii="Times New Roman" w:eastAsia="Calibri" w:hAnsi="Times New Roman" w:cs="Times New Roman"/>
                <w:sz w:val="24"/>
                <w:szCs w:val="24"/>
                <w:lang w:val="en-US" w:eastAsia="en-US"/>
              </w:rPr>
              <w:t xml:space="preserve">Sun; Hu; Cheng (2020); Sarmiento et al. (2011), Bouzekri et al. (2020), O'Neill et al. (2015), Iavazzo et al. (2012), Appleton et al. (2000), Gemici (2008), Obaje et al. </w:t>
            </w:r>
            <w:r w:rsidRPr="00013B24">
              <w:rPr>
                <w:rFonts w:ascii="Times New Roman" w:eastAsia="Calibri" w:hAnsi="Times New Roman" w:cs="Times New Roman"/>
                <w:sz w:val="24"/>
                <w:szCs w:val="24"/>
                <w:lang w:val="pt-BR" w:eastAsia="en-US"/>
              </w:rPr>
              <w:t xml:space="preserve">(2019), González-Fernández et al. (2018), Modabberi; Moore (2004), Loredo; Ordóñez; Álvarez (2006), Chaparro et al. </w:t>
            </w:r>
            <w:r w:rsidRPr="00013B24">
              <w:rPr>
                <w:rFonts w:ascii="Times New Roman" w:eastAsia="Calibri" w:hAnsi="Times New Roman" w:cs="Times New Roman"/>
                <w:sz w:val="24"/>
                <w:szCs w:val="24"/>
                <w:lang w:val="en-US" w:eastAsia="en-US"/>
              </w:rPr>
              <w:t xml:space="preserve">(2020), Palma; Ledo; Alvarenga (2015), Bouzekri et al. (2020), Shakeri et al. (2020), Zhang et al. </w:t>
            </w:r>
            <w:r w:rsidRPr="00013B24">
              <w:rPr>
                <w:rFonts w:ascii="Times New Roman" w:eastAsia="Calibri" w:hAnsi="Times New Roman" w:cs="Times New Roman"/>
                <w:sz w:val="24"/>
                <w:szCs w:val="24"/>
                <w:lang w:val="pt-BR" w:eastAsia="en-US"/>
              </w:rPr>
              <w:t>(2018), Palacios-Torres; de la Rosa; Olivero-Verbel (2020), Custodio et al. (2020), Zibret e Gosar (2017)</w:t>
            </w:r>
          </w:p>
        </w:tc>
      </w:tr>
      <w:tr w:rsidR="00013B24" w:rsidRPr="00013B24" w14:paraId="56A53FBB" w14:textId="77777777" w:rsidTr="00013B24">
        <w:trPr>
          <w:gridAfter w:val="2"/>
          <w:wAfter w:w="10227" w:type="dxa"/>
        </w:trPr>
        <w:tc>
          <w:tcPr>
            <w:tcW w:w="1276" w:type="dxa"/>
            <w:vMerge/>
            <w:tcBorders>
              <w:left w:val="nil"/>
              <w:right w:val="nil"/>
            </w:tcBorders>
            <w:shd w:val="clear" w:color="auto" w:fill="auto"/>
          </w:tcPr>
          <w:p w14:paraId="314CC58A" w14:textId="77777777" w:rsidR="00013B24" w:rsidRPr="00013B24" w:rsidRDefault="00013B24" w:rsidP="00013B24">
            <w:pPr>
              <w:spacing w:after="160"/>
              <w:jc w:val="both"/>
              <w:rPr>
                <w:rFonts w:ascii="Times New Roman" w:eastAsia="Calibri" w:hAnsi="Times New Roman" w:cs="Times New Roman"/>
                <w:sz w:val="24"/>
                <w:szCs w:val="24"/>
                <w:lang w:val="pt-BR" w:eastAsia="en-US"/>
              </w:rPr>
            </w:pPr>
          </w:p>
        </w:tc>
        <w:tc>
          <w:tcPr>
            <w:tcW w:w="3260" w:type="dxa"/>
            <w:tcBorders>
              <w:top w:val="single" w:sz="4" w:space="0" w:color="auto"/>
              <w:left w:val="nil"/>
              <w:bottom w:val="single" w:sz="4" w:space="0" w:color="auto"/>
              <w:right w:val="nil"/>
            </w:tcBorders>
            <w:shd w:val="clear" w:color="auto" w:fill="auto"/>
            <w:vAlign w:val="center"/>
          </w:tcPr>
          <w:p w14:paraId="69431081" w14:textId="288DD28B" w:rsidR="00013B24" w:rsidRPr="00013B24" w:rsidRDefault="00A41699"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Agriculture</w:t>
            </w:r>
          </w:p>
        </w:tc>
        <w:tc>
          <w:tcPr>
            <w:tcW w:w="4536" w:type="dxa"/>
            <w:tcBorders>
              <w:top w:val="single" w:sz="4" w:space="0" w:color="auto"/>
              <w:left w:val="nil"/>
              <w:bottom w:val="single" w:sz="4" w:space="0" w:color="auto"/>
              <w:right w:val="nil"/>
            </w:tcBorders>
            <w:shd w:val="clear" w:color="auto" w:fill="auto"/>
            <w:vAlign w:val="center"/>
          </w:tcPr>
          <w:p w14:paraId="4CDD08BE" w14:textId="77777777" w:rsidR="00013B24" w:rsidRPr="00013B24" w:rsidRDefault="00013B24" w:rsidP="00013B24">
            <w:pPr>
              <w:spacing w:after="160"/>
              <w:jc w:val="both"/>
              <w:rPr>
                <w:rFonts w:ascii="Times New Roman" w:eastAsia="Calibri" w:hAnsi="Times New Roman" w:cs="Times New Roman"/>
                <w:sz w:val="24"/>
                <w:szCs w:val="24"/>
                <w:lang w:val="pt-BR" w:eastAsia="en-US"/>
              </w:rPr>
            </w:pPr>
            <w:r w:rsidRPr="00013B24">
              <w:rPr>
                <w:rFonts w:ascii="Times New Roman" w:eastAsia="Calibri" w:hAnsi="Times New Roman" w:cs="Times New Roman"/>
                <w:sz w:val="24"/>
                <w:szCs w:val="24"/>
                <w:lang w:val="pt-BR" w:eastAsia="en-US"/>
              </w:rPr>
              <w:t>Niu et al. (2020), Xiao et al. (2019), Ustaoğlua e Islam (2020), Mao et al. (2020), Sheykhi; Moore (2013)</w:t>
            </w:r>
          </w:p>
        </w:tc>
      </w:tr>
      <w:tr w:rsidR="00013B24" w:rsidRPr="00013B24" w14:paraId="08DEF71D" w14:textId="77777777" w:rsidTr="00013B24">
        <w:trPr>
          <w:gridAfter w:val="2"/>
          <w:wAfter w:w="10227" w:type="dxa"/>
        </w:trPr>
        <w:tc>
          <w:tcPr>
            <w:tcW w:w="1276" w:type="dxa"/>
            <w:vMerge/>
            <w:tcBorders>
              <w:left w:val="nil"/>
              <w:right w:val="nil"/>
            </w:tcBorders>
            <w:shd w:val="clear" w:color="auto" w:fill="auto"/>
          </w:tcPr>
          <w:p w14:paraId="1C8AD98E"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p>
        </w:tc>
        <w:tc>
          <w:tcPr>
            <w:tcW w:w="3260" w:type="dxa"/>
            <w:tcBorders>
              <w:top w:val="single" w:sz="4" w:space="0" w:color="auto"/>
              <w:left w:val="nil"/>
              <w:bottom w:val="single" w:sz="4" w:space="0" w:color="auto"/>
              <w:right w:val="nil"/>
            </w:tcBorders>
            <w:shd w:val="clear" w:color="auto" w:fill="auto"/>
            <w:vAlign w:val="center"/>
          </w:tcPr>
          <w:p w14:paraId="15C8D04A" w14:textId="16C009DF" w:rsidR="00013B24" w:rsidRPr="00013B24" w:rsidRDefault="00A41699"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Industries</w:t>
            </w:r>
          </w:p>
        </w:tc>
        <w:tc>
          <w:tcPr>
            <w:tcW w:w="4536" w:type="dxa"/>
            <w:tcBorders>
              <w:top w:val="single" w:sz="4" w:space="0" w:color="auto"/>
              <w:left w:val="nil"/>
              <w:bottom w:val="single" w:sz="4" w:space="0" w:color="auto"/>
              <w:right w:val="nil"/>
            </w:tcBorders>
            <w:shd w:val="clear" w:color="auto" w:fill="auto"/>
            <w:vAlign w:val="center"/>
          </w:tcPr>
          <w:p w14:paraId="53EB6718" w14:textId="77777777" w:rsidR="00013B24" w:rsidRPr="00013B24" w:rsidRDefault="00013B24" w:rsidP="00013B24">
            <w:pPr>
              <w:spacing w:after="160"/>
              <w:jc w:val="both"/>
              <w:rPr>
                <w:rFonts w:ascii="Times New Roman" w:eastAsia="Calibri" w:hAnsi="Times New Roman" w:cs="Times New Roman"/>
                <w:sz w:val="24"/>
                <w:szCs w:val="24"/>
                <w:lang w:val="pt-BR" w:eastAsia="en-US"/>
              </w:rPr>
            </w:pPr>
            <w:r w:rsidRPr="00013B24">
              <w:rPr>
                <w:rFonts w:ascii="Times New Roman" w:eastAsia="Calibri" w:hAnsi="Times New Roman" w:cs="Times New Roman"/>
                <w:sz w:val="24"/>
                <w:szCs w:val="24"/>
                <w:lang w:val="en-US" w:eastAsia="en-US"/>
              </w:rPr>
              <w:t xml:space="preserve">Niu et al. (2020), Tytla e Kostecki (2019), Roig et al. (2011), Li; Chen; Teng (2020), Custodio et al. </w:t>
            </w:r>
            <w:r w:rsidRPr="00013B24">
              <w:rPr>
                <w:rFonts w:ascii="Times New Roman" w:eastAsia="Calibri" w:hAnsi="Times New Roman" w:cs="Times New Roman"/>
                <w:sz w:val="24"/>
                <w:szCs w:val="24"/>
                <w:lang w:val="pt-BR" w:eastAsia="en-US"/>
              </w:rPr>
              <w:t>(2020), Zibret e Gosar (2017)</w:t>
            </w:r>
          </w:p>
        </w:tc>
      </w:tr>
      <w:tr w:rsidR="00013B24" w:rsidRPr="00013B24" w14:paraId="3F105A03" w14:textId="77777777" w:rsidTr="00013B24">
        <w:trPr>
          <w:gridAfter w:val="2"/>
          <w:wAfter w:w="10227" w:type="dxa"/>
        </w:trPr>
        <w:tc>
          <w:tcPr>
            <w:tcW w:w="1276" w:type="dxa"/>
            <w:vMerge/>
            <w:tcBorders>
              <w:left w:val="nil"/>
              <w:right w:val="nil"/>
            </w:tcBorders>
            <w:shd w:val="clear" w:color="auto" w:fill="auto"/>
          </w:tcPr>
          <w:p w14:paraId="6CBABC85"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p>
        </w:tc>
        <w:tc>
          <w:tcPr>
            <w:tcW w:w="3260" w:type="dxa"/>
            <w:tcBorders>
              <w:top w:val="single" w:sz="4" w:space="0" w:color="auto"/>
              <w:left w:val="nil"/>
              <w:bottom w:val="single" w:sz="4" w:space="0" w:color="auto"/>
              <w:right w:val="nil"/>
            </w:tcBorders>
            <w:shd w:val="clear" w:color="auto" w:fill="auto"/>
            <w:vAlign w:val="center"/>
          </w:tcPr>
          <w:p w14:paraId="52DF21DE" w14:textId="5A91F24B" w:rsidR="00013B24" w:rsidRPr="00013B24" w:rsidRDefault="00A41699"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Domestic effluents</w:t>
            </w:r>
          </w:p>
        </w:tc>
        <w:tc>
          <w:tcPr>
            <w:tcW w:w="4536" w:type="dxa"/>
            <w:tcBorders>
              <w:top w:val="single" w:sz="4" w:space="0" w:color="auto"/>
              <w:left w:val="nil"/>
              <w:bottom w:val="single" w:sz="4" w:space="0" w:color="auto"/>
              <w:right w:val="nil"/>
            </w:tcBorders>
            <w:shd w:val="clear" w:color="auto" w:fill="auto"/>
            <w:vAlign w:val="center"/>
          </w:tcPr>
          <w:p w14:paraId="55231CAF"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r w:rsidRPr="00013B24">
              <w:rPr>
                <w:rFonts w:ascii="Times New Roman" w:eastAsia="Calibri" w:hAnsi="Times New Roman" w:cs="Times New Roman"/>
                <w:sz w:val="24"/>
                <w:szCs w:val="24"/>
                <w:lang w:val="en-US" w:eastAsia="en-US"/>
              </w:rPr>
              <w:t>Marcussen; Dalsgaard; Holm (2008), Custodio et al. (2020), Zibret e Gosar (2017)</w:t>
            </w:r>
          </w:p>
        </w:tc>
      </w:tr>
      <w:tr w:rsidR="00013B24" w:rsidRPr="00013B24" w14:paraId="6966623A" w14:textId="77777777" w:rsidTr="00013B24">
        <w:trPr>
          <w:gridAfter w:val="2"/>
          <w:wAfter w:w="10227" w:type="dxa"/>
        </w:trPr>
        <w:tc>
          <w:tcPr>
            <w:tcW w:w="1276" w:type="dxa"/>
            <w:vMerge/>
            <w:tcBorders>
              <w:left w:val="nil"/>
              <w:right w:val="nil"/>
            </w:tcBorders>
            <w:shd w:val="clear" w:color="auto" w:fill="auto"/>
          </w:tcPr>
          <w:p w14:paraId="715A0944"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p>
        </w:tc>
        <w:tc>
          <w:tcPr>
            <w:tcW w:w="3260" w:type="dxa"/>
            <w:tcBorders>
              <w:top w:val="single" w:sz="4" w:space="0" w:color="auto"/>
              <w:left w:val="nil"/>
              <w:bottom w:val="single" w:sz="4" w:space="0" w:color="auto"/>
              <w:right w:val="nil"/>
            </w:tcBorders>
            <w:shd w:val="clear" w:color="auto" w:fill="auto"/>
            <w:vAlign w:val="center"/>
          </w:tcPr>
          <w:p w14:paraId="2622704A" w14:textId="7B3BC421" w:rsidR="00013B24" w:rsidRPr="00013B24" w:rsidRDefault="00A41699"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Industrial effluents</w:t>
            </w:r>
          </w:p>
        </w:tc>
        <w:tc>
          <w:tcPr>
            <w:tcW w:w="4536" w:type="dxa"/>
            <w:tcBorders>
              <w:top w:val="single" w:sz="4" w:space="0" w:color="auto"/>
              <w:left w:val="nil"/>
              <w:bottom w:val="single" w:sz="4" w:space="0" w:color="auto"/>
              <w:right w:val="nil"/>
            </w:tcBorders>
            <w:shd w:val="clear" w:color="auto" w:fill="auto"/>
            <w:vAlign w:val="center"/>
          </w:tcPr>
          <w:p w14:paraId="123A80A8"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r w:rsidRPr="00013B24">
              <w:rPr>
                <w:rFonts w:ascii="Times New Roman" w:eastAsia="Calibri" w:hAnsi="Times New Roman" w:cs="Times New Roman"/>
                <w:sz w:val="24"/>
                <w:szCs w:val="24"/>
                <w:lang w:val="en-US" w:eastAsia="en-US"/>
              </w:rPr>
              <w:t>Marcussen; Dalsgaard; Holm (2008), Custodio et al. (2020)</w:t>
            </w:r>
          </w:p>
        </w:tc>
      </w:tr>
      <w:tr w:rsidR="00013B24" w:rsidRPr="00013B24" w14:paraId="7770C051" w14:textId="77777777" w:rsidTr="00013B24">
        <w:trPr>
          <w:gridAfter w:val="2"/>
          <w:wAfter w:w="10227" w:type="dxa"/>
        </w:trPr>
        <w:tc>
          <w:tcPr>
            <w:tcW w:w="1276" w:type="dxa"/>
            <w:vMerge/>
            <w:tcBorders>
              <w:left w:val="nil"/>
              <w:right w:val="nil"/>
            </w:tcBorders>
            <w:shd w:val="clear" w:color="auto" w:fill="auto"/>
          </w:tcPr>
          <w:p w14:paraId="17D349ED"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p>
        </w:tc>
        <w:tc>
          <w:tcPr>
            <w:tcW w:w="3260" w:type="dxa"/>
            <w:tcBorders>
              <w:top w:val="single" w:sz="4" w:space="0" w:color="auto"/>
              <w:left w:val="nil"/>
              <w:bottom w:val="single" w:sz="4" w:space="0" w:color="auto"/>
              <w:right w:val="nil"/>
            </w:tcBorders>
            <w:shd w:val="clear" w:color="auto" w:fill="auto"/>
            <w:vAlign w:val="center"/>
          </w:tcPr>
          <w:p w14:paraId="1FC7D06F" w14:textId="66E78035" w:rsidR="00013B24" w:rsidRPr="00013B24" w:rsidRDefault="00A41699"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Traffic</w:t>
            </w:r>
          </w:p>
        </w:tc>
        <w:tc>
          <w:tcPr>
            <w:tcW w:w="4536" w:type="dxa"/>
            <w:tcBorders>
              <w:top w:val="single" w:sz="4" w:space="0" w:color="auto"/>
              <w:left w:val="nil"/>
              <w:bottom w:val="single" w:sz="4" w:space="0" w:color="auto"/>
              <w:right w:val="nil"/>
            </w:tcBorders>
            <w:shd w:val="clear" w:color="auto" w:fill="auto"/>
            <w:vAlign w:val="center"/>
          </w:tcPr>
          <w:p w14:paraId="4F93E2CD"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r w:rsidRPr="00013B24">
              <w:rPr>
                <w:rFonts w:ascii="Times New Roman" w:eastAsia="Calibri" w:hAnsi="Times New Roman" w:cs="Times New Roman"/>
                <w:sz w:val="24"/>
                <w:szCs w:val="24"/>
                <w:lang w:val="en-US" w:eastAsia="en-US"/>
              </w:rPr>
              <w:t>Sebastião; Wagner; Goldsmith (2017)</w:t>
            </w:r>
          </w:p>
        </w:tc>
      </w:tr>
      <w:tr w:rsidR="00013B24" w:rsidRPr="00013B24" w14:paraId="02AC356D" w14:textId="77777777" w:rsidTr="00013B24">
        <w:trPr>
          <w:gridAfter w:val="2"/>
          <w:wAfter w:w="10227" w:type="dxa"/>
        </w:trPr>
        <w:tc>
          <w:tcPr>
            <w:tcW w:w="1276" w:type="dxa"/>
            <w:vMerge/>
            <w:tcBorders>
              <w:left w:val="nil"/>
              <w:bottom w:val="single" w:sz="12" w:space="0" w:color="auto"/>
              <w:right w:val="nil"/>
            </w:tcBorders>
            <w:shd w:val="clear" w:color="auto" w:fill="auto"/>
          </w:tcPr>
          <w:p w14:paraId="3B8EC834"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p>
        </w:tc>
        <w:tc>
          <w:tcPr>
            <w:tcW w:w="3260" w:type="dxa"/>
            <w:tcBorders>
              <w:top w:val="single" w:sz="4" w:space="0" w:color="auto"/>
              <w:left w:val="nil"/>
              <w:bottom w:val="single" w:sz="12" w:space="0" w:color="auto"/>
              <w:right w:val="nil"/>
            </w:tcBorders>
            <w:shd w:val="clear" w:color="auto" w:fill="auto"/>
            <w:vAlign w:val="center"/>
          </w:tcPr>
          <w:p w14:paraId="6FA35891" w14:textId="6880C9F3" w:rsidR="00013B24" w:rsidRPr="00013B24" w:rsidRDefault="00A41699"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Hospital effluents</w:t>
            </w:r>
          </w:p>
        </w:tc>
        <w:tc>
          <w:tcPr>
            <w:tcW w:w="4536" w:type="dxa"/>
            <w:tcBorders>
              <w:top w:val="single" w:sz="4" w:space="0" w:color="auto"/>
              <w:left w:val="nil"/>
              <w:bottom w:val="single" w:sz="12" w:space="0" w:color="auto"/>
              <w:right w:val="nil"/>
            </w:tcBorders>
            <w:shd w:val="clear" w:color="auto" w:fill="auto"/>
            <w:vAlign w:val="center"/>
          </w:tcPr>
          <w:p w14:paraId="68899F2B" w14:textId="77777777" w:rsidR="00013B24" w:rsidRPr="00013B24" w:rsidRDefault="00013B24" w:rsidP="00013B24">
            <w:pPr>
              <w:spacing w:after="160"/>
              <w:jc w:val="both"/>
              <w:rPr>
                <w:rFonts w:ascii="Times New Roman" w:eastAsia="Calibri" w:hAnsi="Times New Roman" w:cs="Times New Roman"/>
                <w:sz w:val="24"/>
                <w:szCs w:val="24"/>
                <w:lang w:val="pt-BR" w:eastAsia="en-US"/>
              </w:rPr>
            </w:pPr>
            <w:r w:rsidRPr="00013B24">
              <w:rPr>
                <w:rFonts w:ascii="Times New Roman" w:eastAsia="Calibri" w:hAnsi="Times New Roman" w:cs="Times New Roman"/>
                <w:sz w:val="24"/>
                <w:szCs w:val="24"/>
                <w:lang w:val="pt-BR" w:eastAsia="en-US"/>
              </w:rPr>
              <w:t>Mubedi et al. (2013)</w:t>
            </w:r>
          </w:p>
        </w:tc>
      </w:tr>
      <w:tr w:rsidR="00013B24" w:rsidRPr="00013B24" w14:paraId="1C858736" w14:textId="77777777" w:rsidTr="00013B24">
        <w:trPr>
          <w:gridAfter w:val="2"/>
          <w:wAfter w:w="10227" w:type="dxa"/>
        </w:trPr>
        <w:tc>
          <w:tcPr>
            <w:tcW w:w="1276" w:type="dxa"/>
            <w:vMerge w:val="restart"/>
            <w:tcBorders>
              <w:top w:val="single" w:sz="12" w:space="0" w:color="auto"/>
              <w:left w:val="nil"/>
              <w:right w:val="nil"/>
            </w:tcBorders>
            <w:shd w:val="clear" w:color="auto" w:fill="auto"/>
            <w:vAlign w:val="center"/>
          </w:tcPr>
          <w:p w14:paraId="238A534B" w14:textId="77777777" w:rsidR="00013B24" w:rsidRPr="00013B24" w:rsidRDefault="00013B24" w:rsidP="00013B24">
            <w:pPr>
              <w:spacing w:after="160"/>
              <w:jc w:val="center"/>
              <w:rPr>
                <w:rFonts w:ascii="Times New Roman" w:eastAsia="Calibri" w:hAnsi="Times New Roman" w:cs="Times New Roman"/>
                <w:b/>
                <w:bCs/>
                <w:sz w:val="24"/>
                <w:szCs w:val="24"/>
                <w:lang w:val="pt-BR" w:eastAsia="en-US"/>
              </w:rPr>
            </w:pPr>
            <w:r w:rsidRPr="00013B24">
              <w:rPr>
                <w:rFonts w:ascii="Times New Roman" w:eastAsia="Calibri" w:hAnsi="Times New Roman" w:cs="Times New Roman"/>
                <w:b/>
                <w:bCs/>
                <w:sz w:val="24"/>
                <w:szCs w:val="24"/>
                <w:lang w:val="pt-BR" w:eastAsia="en-US"/>
              </w:rPr>
              <w:t>Ba</w:t>
            </w:r>
          </w:p>
        </w:tc>
        <w:tc>
          <w:tcPr>
            <w:tcW w:w="3260" w:type="dxa"/>
            <w:tcBorders>
              <w:top w:val="single" w:sz="12" w:space="0" w:color="auto"/>
              <w:left w:val="nil"/>
              <w:bottom w:val="single" w:sz="4" w:space="0" w:color="auto"/>
              <w:right w:val="nil"/>
            </w:tcBorders>
            <w:shd w:val="clear" w:color="auto" w:fill="auto"/>
            <w:vAlign w:val="center"/>
          </w:tcPr>
          <w:p w14:paraId="0CAA1CAC" w14:textId="73D6F3FE" w:rsidR="00013B24" w:rsidRPr="00013B24" w:rsidRDefault="00A41699" w:rsidP="00013B24">
            <w:pPr>
              <w:spacing w:after="160"/>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pt-BR" w:eastAsia="en-US"/>
              </w:rPr>
              <w:t>Domestic effluents</w:t>
            </w:r>
          </w:p>
        </w:tc>
        <w:tc>
          <w:tcPr>
            <w:tcW w:w="4536" w:type="dxa"/>
            <w:tcBorders>
              <w:top w:val="single" w:sz="12" w:space="0" w:color="auto"/>
              <w:left w:val="nil"/>
              <w:bottom w:val="single" w:sz="4" w:space="0" w:color="auto"/>
              <w:right w:val="nil"/>
            </w:tcBorders>
            <w:shd w:val="clear" w:color="auto" w:fill="auto"/>
            <w:vAlign w:val="center"/>
          </w:tcPr>
          <w:p w14:paraId="751AB458"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r w:rsidRPr="00013B24">
              <w:rPr>
                <w:rFonts w:ascii="Times New Roman" w:eastAsia="Calibri" w:hAnsi="Times New Roman" w:cs="Times New Roman"/>
                <w:sz w:val="24"/>
                <w:szCs w:val="24"/>
                <w:lang w:val="en-US" w:eastAsia="en-US"/>
              </w:rPr>
              <w:t xml:space="preserve">Marcussen; Dalsgaard; Holm (2008), Custodio et al. </w:t>
            </w:r>
            <w:r w:rsidRPr="00013B24">
              <w:rPr>
                <w:rFonts w:ascii="Times New Roman" w:eastAsia="Calibri" w:hAnsi="Times New Roman" w:cs="Times New Roman"/>
                <w:sz w:val="24"/>
                <w:szCs w:val="24"/>
                <w:lang w:val="pt-BR" w:eastAsia="en-US"/>
              </w:rPr>
              <w:t>(2020)</w:t>
            </w:r>
          </w:p>
        </w:tc>
      </w:tr>
      <w:tr w:rsidR="00013B24" w:rsidRPr="00013B24" w14:paraId="6F671030" w14:textId="77777777" w:rsidTr="00013B24">
        <w:trPr>
          <w:gridAfter w:val="2"/>
          <w:wAfter w:w="10227" w:type="dxa"/>
        </w:trPr>
        <w:tc>
          <w:tcPr>
            <w:tcW w:w="1276" w:type="dxa"/>
            <w:vMerge/>
            <w:tcBorders>
              <w:left w:val="nil"/>
              <w:bottom w:val="single" w:sz="12" w:space="0" w:color="auto"/>
              <w:right w:val="nil"/>
            </w:tcBorders>
            <w:shd w:val="clear" w:color="auto" w:fill="auto"/>
            <w:vAlign w:val="center"/>
          </w:tcPr>
          <w:p w14:paraId="49A0E42E" w14:textId="77777777" w:rsidR="00013B24" w:rsidRPr="00013B24" w:rsidRDefault="00013B24" w:rsidP="00013B24">
            <w:pPr>
              <w:spacing w:after="160"/>
              <w:jc w:val="center"/>
              <w:rPr>
                <w:rFonts w:ascii="Times New Roman" w:eastAsia="Calibri" w:hAnsi="Times New Roman" w:cs="Times New Roman"/>
                <w:b/>
                <w:bCs/>
                <w:sz w:val="24"/>
                <w:szCs w:val="24"/>
                <w:lang w:val="pt-BR" w:eastAsia="en-US"/>
              </w:rPr>
            </w:pPr>
          </w:p>
        </w:tc>
        <w:tc>
          <w:tcPr>
            <w:tcW w:w="3260" w:type="dxa"/>
            <w:tcBorders>
              <w:top w:val="single" w:sz="4" w:space="0" w:color="auto"/>
              <w:left w:val="nil"/>
              <w:bottom w:val="single" w:sz="12" w:space="0" w:color="auto"/>
              <w:right w:val="nil"/>
            </w:tcBorders>
            <w:shd w:val="clear" w:color="auto" w:fill="auto"/>
            <w:vAlign w:val="center"/>
          </w:tcPr>
          <w:p w14:paraId="3C5E9014" w14:textId="35267A01" w:rsidR="00013B24" w:rsidRPr="00013B24" w:rsidRDefault="00A41699"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Industrial effluents</w:t>
            </w:r>
            <w:r w:rsidR="00013B24" w:rsidRPr="00013B24">
              <w:rPr>
                <w:rFonts w:ascii="Times New Roman" w:eastAsia="Calibri" w:hAnsi="Times New Roman" w:cs="Times New Roman"/>
                <w:sz w:val="24"/>
                <w:szCs w:val="24"/>
                <w:lang w:val="pt-BR" w:eastAsia="en-US"/>
              </w:rPr>
              <w:t xml:space="preserve"> </w:t>
            </w:r>
          </w:p>
        </w:tc>
        <w:tc>
          <w:tcPr>
            <w:tcW w:w="4536" w:type="dxa"/>
            <w:tcBorders>
              <w:top w:val="single" w:sz="4" w:space="0" w:color="auto"/>
              <w:left w:val="nil"/>
              <w:bottom w:val="single" w:sz="12" w:space="0" w:color="auto"/>
              <w:right w:val="nil"/>
            </w:tcBorders>
            <w:shd w:val="clear" w:color="auto" w:fill="auto"/>
            <w:vAlign w:val="center"/>
          </w:tcPr>
          <w:p w14:paraId="12CA212A" w14:textId="77777777" w:rsidR="00013B24" w:rsidRPr="00013B24" w:rsidRDefault="00013B24" w:rsidP="00013B24">
            <w:pPr>
              <w:spacing w:after="160"/>
              <w:jc w:val="both"/>
              <w:rPr>
                <w:rFonts w:ascii="Times New Roman" w:eastAsia="Calibri" w:hAnsi="Times New Roman" w:cs="Times New Roman"/>
                <w:sz w:val="24"/>
                <w:szCs w:val="24"/>
                <w:lang w:val="pt-BR" w:eastAsia="en-US"/>
              </w:rPr>
            </w:pPr>
            <w:r w:rsidRPr="00013B24">
              <w:rPr>
                <w:rFonts w:ascii="Times New Roman" w:eastAsia="Calibri" w:hAnsi="Times New Roman" w:cs="Times New Roman"/>
                <w:sz w:val="24"/>
                <w:szCs w:val="24"/>
                <w:lang w:val="pt-BR" w:eastAsia="en-US"/>
              </w:rPr>
              <w:t>Marcussen; Dalsgaard; Holm (2008)</w:t>
            </w:r>
          </w:p>
        </w:tc>
      </w:tr>
      <w:tr w:rsidR="00013B24" w:rsidRPr="00013B24" w14:paraId="77FC8CF5" w14:textId="77777777" w:rsidTr="00013B24">
        <w:trPr>
          <w:gridAfter w:val="2"/>
          <w:wAfter w:w="10227" w:type="dxa"/>
        </w:trPr>
        <w:tc>
          <w:tcPr>
            <w:tcW w:w="1276" w:type="dxa"/>
            <w:vMerge w:val="restart"/>
            <w:tcBorders>
              <w:top w:val="single" w:sz="12" w:space="0" w:color="auto"/>
              <w:left w:val="nil"/>
              <w:right w:val="nil"/>
            </w:tcBorders>
            <w:shd w:val="clear" w:color="auto" w:fill="auto"/>
            <w:vAlign w:val="center"/>
          </w:tcPr>
          <w:p w14:paraId="5FE4E9A9" w14:textId="77777777" w:rsidR="00013B24" w:rsidRPr="00013B24" w:rsidRDefault="00013B24" w:rsidP="00013B24">
            <w:pPr>
              <w:spacing w:after="160"/>
              <w:jc w:val="center"/>
              <w:rPr>
                <w:rFonts w:ascii="Times New Roman" w:eastAsia="Calibri" w:hAnsi="Times New Roman" w:cs="Times New Roman"/>
                <w:b/>
                <w:bCs/>
                <w:sz w:val="24"/>
                <w:szCs w:val="24"/>
                <w:lang w:val="pt-BR" w:eastAsia="en-US"/>
              </w:rPr>
            </w:pPr>
            <w:r w:rsidRPr="00013B24">
              <w:rPr>
                <w:rFonts w:ascii="Times New Roman" w:eastAsia="Calibri" w:hAnsi="Times New Roman" w:cs="Times New Roman"/>
                <w:b/>
                <w:bCs/>
                <w:sz w:val="24"/>
                <w:szCs w:val="24"/>
                <w:lang w:val="pt-BR" w:eastAsia="en-US"/>
              </w:rPr>
              <w:t>Cd</w:t>
            </w:r>
          </w:p>
        </w:tc>
        <w:tc>
          <w:tcPr>
            <w:tcW w:w="3260" w:type="dxa"/>
            <w:tcBorders>
              <w:top w:val="single" w:sz="12" w:space="0" w:color="auto"/>
              <w:left w:val="nil"/>
              <w:bottom w:val="single" w:sz="4" w:space="0" w:color="auto"/>
              <w:right w:val="nil"/>
            </w:tcBorders>
            <w:shd w:val="clear" w:color="auto" w:fill="auto"/>
            <w:vAlign w:val="center"/>
          </w:tcPr>
          <w:p w14:paraId="6BE4EBB5" w14:textId="2D26A897" w:rsidR="00013B24" w:rsidRPr="00013B24" w:rsidRDefault="00A41699"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Agriculture</w:t>
            </w:r>
          </w:p>
        </w:tc>
        <w:tc>
          <w:tcPr>
            <w:tcW w:w="4536" w:type="dxa"/>
            <w:tcBorders>
              <w:top w:val="single" w:sz="12" w:space="0" w:color="auto"/>
              <w:left w:val="nil"/>
              <w:bottom w:val="single" w:sz="4" w:space="0" w:color="auto"/>
              <w:right w:val="nil"/>
            </w:tcBorders>
            <w:shd w:val="clear" w:color="auto" w:fill="auto"/>
            <w:vAlign w:val="center"/>
          </w:tcPr>
          <w:p w14:paraId="48336D7F"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r w:rsidRPr="00013B24">
              <w:rPr>
                <w:rFonts w:ascii="Times New Roman" w:eastAsia="Calibri" w:hAnsi="Times New Roman" w:cs="Times New Roman"/>
                <w:sz w:val="24"/>
                <w:szCs w:val="24"/>
                <w:lang w:val="en-US" w:eastAsia="en-US"/>
              </w:rPr>
              <w:t xml:space="preserve">Niu et al. (2020), Zhuang et al. </w:t>
            </w:r>
            <w:r w:rsidRPr="00013B24">
              <w:rPr>
                <w:rFonts w:ascii="Times New Roman" w:eastAsia="Calibri" w:hAnsi="Times New Roman" w:cs="Times New Roman"/>
                <w:sz w:val="24"/>
                <w:szCs w:val="24"/>
                <w:lang w:val="pt-BR" w:eastAsia="en-US"/>
              </w:rPr>
              <w:t xml:space="preserve">(2019), Ustaoğlua e Islam (2020), Mao et al. </w:t>
            </w:r>
            <w:r w:rsidRPr="00013B24">
              <w:rPr>
                <w:rFonts w:ascii="Times New Roman" w:eastAsia="Calibri" w:hAnsi="Times New Roman" w:cs="Times New Roman"/>
                <w:sz w:val="24"/>
                <w:szCs w:val="24"/>
                <w:lang w:val="en-US" w:eastAsia="en-US"/>
              </w:rPr>
              <w:t xml:space="preserve">(2020), Li; Chen; Teng (2020), Yuan et al. (2019), Wang et al. (2020b), Santana et al. </w:t>
            </w:r>
            <w:r w:rsidRPr="00013B24">
              <w:rPr>
                <w:rFonts w:ascii="Times New Roman" w:eastAsia="Calibri" w:hAnsi="Times New Roman" w:cs="Times New Roman"/>
                <w:sz w:val="24"/>
                <w:szCs w:val="24"/>
                <w:lang w:val="pt-BR" w:eastAsia="en-US"/>
              </w:rPr>
              <w:t xml:space="preserve">(2020), Huang et al. (2020a), da Silva Júnior et al. (2020), Yi et al. </w:t>
            </w:r>
            <w:r w:rsidRPr="00013B24">
              <w:rPr>
                <w:rFonts w:ascii="Times New Roman" w:eastAsia="Calibri" w:hAnsi="Times New Roman" w:cs="Times New Roman"/>
                <w:sz w:val="24"/>
                <w:szCs w:val="24"/>
                <w:lang w:val="en-US" w:eastAsia="en-US"/>
              </w:rPr>
              <w:t xml:space="preserve">(2020), Wang et al. (2018), </w:t>
            </w:r>
            <w:r w:rsidRPr="00013B24">
              <w:rPr>
                <w:rFonts w:ascii="Times New Roman" w:eastAsia="Calibri" w:hAnsi="Times New Roman" w:cs="Times New Roman"/>
                <w:sz w:val="24"/>
                <w:szCs w:val="24"/>
                <w:lang w:val="en-US" w:eastAsia="en-US"/>
              </w:rPr>
              <w:lastRenderedPageBreak/>
              <w:t>Hu et al. (2020), Li et al. (2020), Yuan et al. (2019), Sheykhi et al. (2017), Wang et al. (2018), Saran et al. (2018), Hu et al. (2020), Zhang et al. (2018), Rupakheti et al. (2017)</w:t>
            </w:r>
          </w:p>
        </w:tc>
      </w:tr>
      <w:tr w:rsidR="00013B24" w:rsidRPr="00013B24" w14:paraId="0A86074B" w14:textId="77777777" w:rsidTr="00013B24">
        <w:trPr>
          <w:gridAfter w:val="2"/>
          <w:wAfter w:w="10227" w:type="dxa"/>
        </w:trPr>
        <w:tc>
          <w:tcPr>
            <w:tcW w:w="1276" w:type="dxa"/>
            <w:vMerge/>
            <w:tcBorders>
              <w:left w:val="nil"/>
              <w:right w:val="nil"/>
            </w:tcBorders>
            <w:shd w:val="clear" w:color="auto" w:fill="auto"/>
          </w:tcPr>
          <w:p w14:paraId="2EB87B75" w14:textId="77777777" w:rsidR="00013B24" w:rsidRPr="00013B24" w:rsidRDefault="00013B24" w:rsidP="00013B24">
            <w:pPr>
              <w:spacing w:after="160"/>
              <w:jc w:val="both"/>
              <w:rPr>
                <w:rFonts w:ascii="Times New Roman" w:eastAsia="Calibri" w:hAnsi="Times New Roman" w:cs="Times New Roman"/>
                <w:sz w:val="24"/>
                <w:szCs w:val="24"/>
                <w:lang w:val="pt-BR" w:eastAsia="en-US"/>
              </w:rPr>
            </w:pPr>
          </w:p>
        </w:tc>
        <w:tc>
          <w:tcPr>
            <w:tcW w:w="3260" w:type="dxa"/>
            <w:tcBorders>
              <w:top w:val="single" w:sz="4" w:space="0" w:color="auto"/>
              <w:left w:val="nil"/>
              <w:bottom w:val="single" w:sz="4" w:space="0" w:color="auto"/>
              <w:right w:val="nil"/>
            </w:tcBorders>
            <w:shd w:val="clear" w:color="auto" w:fill="auto"/>
            <w:vAlign w:val="center"/>
          </w:tcPr>
          <w:p w14:paraId="7664F312" w14:textId="30A90296" w:rsidR="00013B24" w:rsidRPr="00013B24" w:rsidRDefault="00A41699"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Industries</w:t>
            </w:r>
          </w:p>
        </w:tc>
        <w:tc>
          <w:tcPr>
            <w:tcW w:w="4536" w:type="dxa"/>
            <w:tcBorders>
              <w:top w:val="single" w:sz="4" w:space="0" w:color="auto"/>
              <w:left w:val="nil"/>
              <w:bottom w:val="single" w:sz="4" w:space="0" w:color="auto"/>
              <w:right w:val="nil"/>
            </w:tcBorders>
            <w:shd w:val="clear" w:color="auto" w:fill="auto"/>
            <w:vAlign w:val="center"/>
          </w:tcPr>
          <w:p w14:paraId="19CDE2E4"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r w:rsidRPr="00013B24">
              <w:rPr>
                <w:rFonts w:ascii="Times New Roman" w:eastAsia="Calibri" w:hAnsi="Times New Roman" w:cs="Times New Roman"/>
                <w:sz w:val="24"/>
                <w:szCs w:val="24"/>
                <w:lang w:val="en-US" w:eastAsia="en-US"/>
              </w:rPr>
              <w:t>Ezemonye et al. (2019), Niu et al. (2020), Li; Chen; Teng (2020), Louriño-Cabana et al. (2011), Wang et al. (2020a), Ji et al. (2019), Xia et al. (2020), Sierra et al. (2014), Tytla e Kostecki (2019), Wang et al. (2018), Zibret e Gosar (2017), Yang et al. (2010)</w:t>
            </w:r>
          </w:p>
        </w:tc>
      </w:tr>
      <w:tr w:rsidR="00013B24" w:rsidRPr="00013B24" w14:paraId="4D03AA2D" w14:textId="77777777" w:rsidTr="00013B24">
        <w:trPr>
          <w:gridAfter w:val="2"/>
          <w:wAfter w:w="10227" w:type="dxa"/>
        </w:trPr>
        <w:tc>
          <w:tcPr>
            <w:tcW w:w="1276" w:type="dxa"/>
            <w:vMerge/>
            <w:tcBorders>
              <w:left w:val="nil"/>
              <w:right w:val="nil"/>
            </w:tcBorders>
            <w:shd w:val="clear" w:color="auto" w:fill="auto"/>
          </w:tcPr>
          <w:p w14:paraId="52D28024" w14:textId="77777777" w:rsidR="00013B24" w:rsidRPr="00013B24" w:rsidRDefault="00013B24" w:rsidP="00013B24">
            <w:pPr>
              <w:spacing w:after="160"/>
              <w:jc w:val="both"/>
              <w:rPr>
                <w:rFonts w:ascii="Times New Roman" w:eastAsia="Calibri" w:hAnsi="Times New Roman" w:cs="Times New Roman"/>
                <w:sz w:val="24"/>
                <w:szCs w:val="24"/>
                <w:lang w:val="pt-BR" w:eastAsia="en-US"/>
              </w:rPr>
            </w:pPr>
          </w:p>
        </w:tc>
        <w:tc>
          <w:tcPr>
            <w:tcW w:w="3260" w:type="dxa"/>
            <w:tcBorders>
              <w:top w:val="single" w:sz="4" w:space="0" w:color="auto"/>
              <w:left w:val="nil"/>
              <w:bottom w:val="single" w:sz="4" w:space="0" w:color="808080"/>
              <w:right w:val="nil"/>
            </w:tcBorders>
            <w:shd w:val="clear" w:color="auto" w:fill="auto"/>
            <w:vAlign w:val="center"/>
          </w:tcPr>
          <w:p w14:paraId="708AD23F" w14:textId="14CE7D99" w:rsidR="00013B24" w:rsidRPr="00013B24" w:rsidRDefault="00A41699"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Mining</w:t>
            </w:r>
          </w:p>
        </w:tc>
        <w:tc>
          <w:tcPr>
            <w:tcW w:w="4536" w:type="dxa"/>
            <w:tcBorders>
              <w:top w:val="single" w:sz="4" w:space="0" w:color="auto"/>
              <w:left w:val="nil"/>
              <w:bottom w:val="single" w:sz="4" w:space="0" w:color="auto"/>
              <w:right w:val="nil"/>
            </w:tcBorders>
            <w:shd w:val="clear" w:color="auto" w:fill="auto"/>
            <w:vAlign w:val="center"/>
          </w:tcPr>
          <w:p w14:paraId="18B0ADAE"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r w:rsidRPr="00013B24">
              <w:rPr>
                <w:rFonts w:ascii="Times New Roman" w:eastAsia="Calibri" w:hAnsi="Times New Roman" w:cs="Times New Roman"/>
                <w:sz w:val="24"/>
                <w:szCs w:val="24"/>
                <w:lang w:val="en-US" w:eastAsia="en-US"/>
              </w:rPr>
              <w:t>Sun; Hu; Cheng (2020); Sarmiento et al. (2011), Bouzekri et al. (2020), O'Neill et al. (2015), Appleton et al. (2000), Hadjipanagiotou et al. (2020), Chaparro et al. (2020), Kovács et al. (2012), Munk; Faure (2004), Palacios-Torres; de la Rosa; Olivero-Verbel (2020)</w:t>
            </w:r>
          </w:p>
        </w:tc>
      </w:tr>
      <w:tr w:rsidR="00013B24" w:rsidRPr="00013B24" w14:paraId="637F450B" w14:textId="77777777" w:rsidTr="00013B24">
        <w:trPr>
          <w:gridAfter w:val="2"/>
          <w:wAfter w:w="10227" w:type="dxa"/>
        </w:trPr>
        <w:tc>
          <w:tcPr>
            <w:tcW w:w="1276" w:type="dxa"/>
            <w:vMerge/>
            <w:tcBorders>
              <w:left w:val="nil"/>
              <w:right w:val="nil"/>
            </w:tcBorders>
            <w:shd w:val="clear" w:color="auto" w:fill="auto"/>
          </w:tcPr>
          <w:p w14:paraId="20A46282" w14:textId="77777777" w:rsidR="00013B24" w:rsidRPr="00013B24" w:rsidRDefault="00013B24" w:rsidP="00013B24">
            <w:pPr>
              <w:spacing w:after="160"/>
              <w:jc w:val="both"/>
              <w:rPr>
                <w:rFonts w:ascii="Times New Roman" w:eastAsia="Calibri" w:hAnsi="Times New Roman" w:cs="Times New Roman"/>
                <w:sz w:val="24"/>
                <w:szCs w:val="24"/>
                <w:lang w:val="pt-BR" w:eastAsia="en-US"/>
              </w:rPr>
            </w:pPr>
          </w:p>
        </w:tc>
        <w:tc>
          <w:tcPr>
            <w:tcW w:w="3260" w:type="dxa"/>
            <w:tcBorders>
              <w:top w:val="single" w:sz="4" w:space="0" w:color="auto"/>
              <w:left w:val="nil"/>
              <w:bottom w:val="single" w:sz="4" w:space="0" w:color="auto"/>
              <w:right w:val="nil"/>
            </w:tcBorders>
            <w:shd w:val="clear" w:color="auto" w:fill="auto"/>
            <w:vAlign w:val="center"/>
          </w:tcPr>
          <w:p w14:paraId="5D63C6C1" w14:textId="02771DA9" w:rsidR="00013B24" w:rsidRPr="00013B24" w:rsidRDefault="00A41699"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Domestic effluents</w:t>
            </w:r>
          </w:p>
        </w:tc>
        <w:tc>
          <w:tcPr>
            <w:tcW w:w="4536" w:type="dxa"/>
            <w:tcBorders>
              <w:top w:val="single" w:sz="4" w:space="0" w:color="auto"/>
              <w:left w:val="nil"/>
              <w:bottom w:val="single" w:sz="4" w:space="0" w:color="auto"/>
              <w:right w:val="nil"/>
            </w:tcBorders>
            <w:shd w:val="clear" w:color="auto" w:fill="auto"/>
            <w:vAlign w:val="center"/>
          </w:tcPr>
          <w:p w14:paraId="57CCB66C"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r w:rsidRPr="00013B24">
              <w:rPr>
                <w:rFonts w:ascii="Times New Roman" w:eastAsia="Calibri" w:hAnsi="Times New Roman" w:cs="Times New Roman"/>
                <w:sz w:val="24"/>
                <w:szCs w:val="24"/>
                <w:lang w:val="en-US" w:eastAsia="en-US"/>
              </w:rPr>
              <w:t>Pratap; Mani; Prasad (2020), Barhoumi et al. (2019), Wang et al. (2020c), Lafitte et al. (2020), Hu et al. (2020), Sheykhi et al. (2017), Marcussen; Dalsgaard; Holm (2008), da Silva Júnior et al. (2020), Vystavna et al. (2012), Rupakheti et al. (2017)</w:t>
            </w:r>
          </w:p>
        </w:tc>
      </w:tr>
      <w:tr w:rsidR="00013B24" w:rsidRPr="00013B24" w14:paraId="130C5DD0" w14:textId="77777777" w:rsidTr="00013B24">
        <w:trPr>
          <w:gridAfter w:val="2"/>
          <w:wAfter w:w="10227" w:type="dxa"/>
        </w:trPr>
        <w:tc>
          <w:tcPr>
            <w:tcW w:w="1276" w:type="dxa"/>
            <w:vMerge/>
            <w:tcBorders>
              <w:left w:val="nil"/>
              <w:right w:val="nil"/>
            </w:tcBorders>
            <w:shd w:val="clear" w:color="auto" w:fill="auto"/>
            <w:vAlign w:val="center"/>
          </w:tcPr>
          <w:p w14:paraId="2488A1D9" w14:textId="77777777" w:rsidR="00013B24" w:rsidRPr="00013B24" w:rsidRDefault="00013B24" w:rsidP="00013B24">
            <w:pPr>
              <w:spacing w:after="160"/>
              <w:jc w:val="center"/>
              <w:rPr>
                <w:rFonts w:ascii="Times New Roman" w:eastAsia="Calibri" w:hAnsi="Times New Roman" w:cs="Times New Roman"/>
                <w:sz w:val="24"/>
                <w:szCs w:val="24"/>
                <w:lang w:val="pt-BR" w:eastAsia="en-US"/>
              </w:rPr>
            </w:pPr>
          </w:p>
        </w:tc>
        <w:tc>
          <w:tcPr>
            <w:tcW w:w="3260" w:type="dxa"/>
            <w:tcBorders>
              <w:top w:val="single" w:sz="4" w:space="0" w:color="auto"/>
              <w:left w:val="nil"/>
              <w:bottom w:val="single" w:sz="4" w:space="0" w:color="auto"/>
              <w:right w:val="nil"/>
            </w:tcBorders>
            <w:shd w:val="clear" w:color="auto" w:fill="auto"/>
            <w:vAlign w:val="center"/>
          </w:tcPr>
          <w:p w14:paraId="28B5B60F" w14:textId="042F9C6C" w:rsidR="00013B24" w:rsidRPr="00013B24" w:rsidRDefault="00A41699"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Industrial effluents</w:t>
            </w:r>
          </w:p>
        </w:tc>
        <w:tc>
          <w:tcPr>
            <w:tcW w:w="4536" w:type="dxa"/>
            <w:tcBorders>
              <w:top w:val="single" w:sz="4" w:space="0" w:color="auto"/>
              <w:left w:val="nil"/>
              <w:bottom w:val="single" w:sz="4" w:space="0" w:color="auto"/>
              <w:right w:val="nil"/>
            </w:tcBorders>
            <w:shd w:val="clear" w:color="auto" w:fill="auto"/>
            <w:vAlign w:val="center"/>
          </w:tcPr>
          <w:p w14:paraId="5E162814"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r w:rsidRPr="00013B24">
              <w:rPr>
                <w:rFonts w:ascii="Times New Roman" w:eastAsia="Calibri" w:hAnsi="Times New Roman" w:cs="Times New Roman"/>
                <w:sz w:val="24"/>
                <w:szCs w:val="24"/>
                <w:lang w:val="en-US" w:eastAsia="en-US"/>
              </w:rPr>
              <w:t>Hu et al. (2020), Marcussen; Dalsgaard; Holm (2008), da Silva Júnior et al. (2020), Zhuang et al. (2019), Barhoumi et al. (2019), Wang et al. (2018), Rupakheti et al. (2017), Palma; Ledo; Alvarenga (2015)</w:t>
            </w:r>
          </w:p>
        </w:tc>
      </w:tr>
      <w:tr w:rsidR="00013B24" w:rsidRPr="00013B24" w14:paraId="3DBC6E81" w14:textId="77777777" w:rsidTr="00013B24">
        <w:trPr>
          <w:gridAfter w:val="2"/>
          <w:wAfter w:w="10227" w:type="dxa"/>
        </w:trPr>
        <w:tc>
          <w:tcPr>
            <w:tcW w:w="1276" w:type="dxa"/>
            <w:vMerge/>
            <w:tcBorders>
              <w:left w:val="nil"/>
              <w:right w:val="nil"/>
            </w:tcBorders>
            <w:shd w:val="clear" w:color="auto" w:fill="auto"/>
          </w:tcPr>
          <w:p w14:paraId="5C77A02B"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p>
        </w:tc>
        <w:tc>
          <w:tcPr>
            <w:tcW w:w="3260" w:type="dxa"/>
            <w:tcBorders>
              <w:top w:val="single" w:sz="4" w:space="0" w:color="auto"/>
              <w:left w:val="nil"/>
              <w:bottom w:val="single" w:sz="4" w:space="0" w:color="auto"/>
              <w:right w:val="nil"/>
            </w:tcBorders>
            <w:shd w:val="clear" w:color="auto" w:fill="auto"/>
            <w:vAlign w:val="center"/>
          </w:tcPr>
          <w:p w14:paraId="744886E2" w14:textId="42DD4603" w:rsidR="00013B24" w:rsidRPr="00013B24" w:rsidRDefault="00A41699"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Traffic</w:t>
            </w:r>
          </w:p>
        </w:tc>
        <w:tc>
          <w:tcPr>
            <w:tcW w:w="4536" w:type="dxa"/>
            <w:tcBorders>
              <w:top w:val="single" w:sz="4" w:space="0" w:color="auto"/>
              <w:left w:val="nil"/>
              <w:bottom w:val="single" w:sz="4" w:space="0" w:color="auto"/>
              <w:right w:val="nil"/>
            </w:tcBorders>
            <w:shd w:val="clear" w:color="auto" w:fill="auto"/>
            <w:vAlign w:val="center"/>
          </w:tcPr>
          <w:p w14:paraId="1D6B7035"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r w:rsidRPr="00013B24">
              <w:rPr>
                <w:rFonts w:ascii="Times New Roman" w:eastAsia="Calibri" w:hAnsi="Times New Roman" w:cs="Times New Roman"/>
                <w:sz w:val="24"/>
                <w:szCs w:val="24"/>
                <w:lang w:val="en-US" w:eastAsia="en-US"/>
              </w:rPr>
              <w:t>Niu et al. (2020), Barhoumi et al. (2019), Sebastiao; Wagner;Goldsmith (2017)</w:t>
            </w:r>
          </w:p>
        </w:tc>
      </w:tr>
      <w:tr w:rsidR="00013B24" w:rsidRPr="00013B24" w14:paraId="322E2AC4" w14:textId="77777777" w:rsidTr="00013B24">
        <w:trPr>
          <w:gridAfter w:val="2"/>
          <w:wAfter w:w="10227" w:type="dxa"/>
        </w:trPr>
        <w:tc>
          <w:tcPr>
            <w:tcW w:w="1276" w:type="dxa"/>
            <w:vMerge/>
            <w:tcBorders>
              <w:left w:val="nil"/>
              <w:right w:val="nil"/>
            </w:tcBorders>
            <w:shd w:val="clear" w:color="auto" w:fill="auto"/>
          </w:tcPr>
          <w:p w14:paraId="00E82F1F"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p>
        </w:tc>
        <w:tc>
          <w:tcPr>
            <w:tcW w:w="3260" w:type="dxa"/>
            <w:tcBorders>
              <w:top w:val="single" w:sz="4" w:space="0" w:color="auto"/>
              <w:left w:val="nil"/>
              <w:bottom w:val="single" w:sz="4" w:space="0" w:color="auto"/>
              <w:right w:val="nil"/>
            </w:tcBorders>
            <w:shd w:val="clear" w:color="auto" w:fill="auto"/>
            <w:vAlign w:val="center"/>
          </w:tcPr>
          <w:p w14:paraId="66646D16" w14:textId="7F45BF6C" w:rsidR="00013B24" w:rsidRPr="00013B24" w:rsidRDefault="00717035"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Atmospheric deposition from polluted areas</w:t>
            </w:r>
          </w:p>
        </w:tc>
        <w:tc>
          <w:tcPr>
            <w:tcW w:w="4536" w:type="dxa"/>
            <w:tcBorders>
              <w:top w:val="single" w:sz="4" w:space="0" w:color="auto"/>
              <w:left w:val="nil"/>
              <w:bottom w:val="single" w:sz="4" w:space="0" w:color="auto"/>
              <w:right w:val="nil"/>
            </w:tcBorders>
            <w:shd w:val="clear" w:color="auto" w:fill="auto"/>
            <w:vAlign w:val="center"/>
          </w:tcPr>
          <w:p w14:paraId="35B9C102" w14:textId="77777777" w:rsidR="00013B24" w:rsidRPr="00013B24" w:rsidRDefault="00013B24" w:rsidP="00013B24">
            <w:pPr>
              <w:spacing w:after="160"/>
              <w:jc w:val="both"/>
              <w:rPr>
                <w:rFonts w:ascii="Times New Roman" w:eastAsia="Calibri" w:hAnsi="Times New Roman" w:cs="Times New Roman"/>
                <w:sz w:val="24"/>
                <w:szCs w:val="24"/>
                <w:lang w:val="pt-BR" w:eastAsia="en-US"/>
              </w:rPr>
            </w:pPr>
            <w:r w:rsidRPr="00013B24">
              <w:rPr>
                <w:rFonts w:ascii="Times New Roman" w:eastAsia="Calibri" w:hAnsi="Times New Roman" w:cs="Times New Roman"/>
                <w:sz w:val="24"/>
                <w:szCs w:val="24"/>
                <w:lang w:val="en-US" w:eastAsia="en-US"/>
              </w:rPr>
              <w:t xml:space="preserve">Li et al. (2020), Yuan et al. </w:t>
            </w:r>
            <w:r w:rsidRPr="00013B24">
              <w:rPr>
                <w:rFonts w:ascii="Times New Roman" w:eastAsia="Calibri" w:hAnsi="Times New Roman" w:cs="Times New Roman"/>
                <w:sz w:val="24"/>
                <w:szCs w:val="24"/>
                <w:lang w:val="pt-BR" w:eastAsia="en-US"/>
              </w:rPr>
              <w:t>(2019), Rupakheti et al. (2017)</w:t>
            </w:r>
          </w:p>
        </w:tc>
      </w:tr>
      <w:tr w:rsidR="00013B24" w:rsidRPr="00013B24" w14:paraId="75F257F0" w14:textId="77777777" w:rsidTr="00013B24">
        <w:trPr>
          <w:gridAfter w:val="2"/>
          <w:wAfter w:w="10227" w:type="dxa"/>
        </w:trPr>
        <w:tc>
          <w:tcPr>
            <w:tcW w:w="1276" w:type="dxa"/>
            <w:vMerge/>
            <w:tcBorders>
              <w:left w:val="nil"/>
              <w:right w:val="nil"/>
            </w:tcBorders>
            <w:shd w:val="clear" w:color="auto" w:fill="auto"/>
          </w:tcPr>
          <w:p w14:paraId="302B6E28"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p>
        </w:tc>
        <w:tc>
          <w:tcPr>
            <w:tcW w:w="3260" w:type="dxa"/>
            <w:tcBorders>
              <w:top w:val="single" w:sz="4" w:space="0" w:color="auto"/>
              <w:left w:val="nil"/>
              <w:bottom w:val="single" w:sz="4" w:space="0" w:color="auto"/>
              <w:right w:val="nil"/>
            </w:tcBorders>
            <w:shd w:val="clear" w:color="auto" w:fill="auto"/>
            <w:vAlign w:val="center"/>
          </w:tcPr>
          <w:p w14:paraId="0D2DBCEA" w14:textId="6BD528AD" w:rsidR="00013B24" w:rsidRPr="00013B24" w:rsidRDefault="00717035"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Hospital</w:t>
            </w:r>
            <w:r w:rsidR="00A41699">
              <w:rPr>
                <w:rFonts w:ascii="Times New Roman" w:eastAsia="Calibri" w:hAnsi="Times New Roman" w:cs="Times New Roman"/>
                <w:sz w:val="24"/>
                <w:szCs w:val="24"/>
                <w:lang w:val="pt-BR" w:eastAsia="en-US"/>
              </w:rPr>
              <w:t xml:space="preserve"> effluents</w:t>
            </w:r>
            <w:r w:rsidR="00013B24" w:rsidRPr="00013B24">
              <w:rPr>
                <w:rFonts w:ascii="Times New Roman" w:eastAsia="Calibri" w:hAnsi="Times New Roman" w:cs="Times New Roman"/>
                <w:sz w:val="24"/>
                <w:szCs w:val="24"/>
                <w:lang w:val="pt-BR" w:eastAsia="en-US"/>
              </w:rPr>
              <w:t xml:space="preserve"> </w:t>
            </w:r>
          </w:p>
        </w:tc>
        <w:tc>
          <w:tcPr>
            <w:tcW w:w="4536" w:type="dxa"/>
            <w:tcBorders>
              <w:top w:val="single" w:sz="4" w:space="0" w:color="auto"/>
              <w:left w:val="nil"/>
              <w:bottom w:val="single" w:sz="4" w:space="0" w:color="auto"/>
              <w:right w:val="nil"/>
            </w:tcBorders>
            <w:shd w:val="clear" w:color="auto" w:fill="auto"/>
            <w:vAlign w:val="center"/>
          </w:tcPr>
          <w:p w14:paraId="2EB52251"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r w:rsidRPr="00013B24">
              <w:rPr>
                <w:rFonts w:ascii="Times New Roman" w:eastAsia="Calibri" w:hAnsi="Times New Roman" w:cs="Times New Roman"/>
                <w:sz w:val="24"/>
                <w:szCs w:val="24"/>
                <w:lang w:val="en-US" w:eastAsia="en-US"/>
              </w:rPr>
              <w:t>Lafitte et al. (2020)</w:t>
            </w:r>
          </w:p>
        </w:tc>
      </w:tr>
      <w:tr w:rsidR="00013B24" w:rsidRPr="00013B24" w14:paraId="00BAC54D" w14:textId="77777777" w:rsidTr="00013B24">
        <w:trPr>
          <w:gridAfter w:val="2"/>
          <w:wAfter w:w="10227" w:type="dxa"/>
        </w:trPr>
        <w:tc>
          <w:tcPr>
            <w:tcW w:w="1276" w:type="dxa"/>
            <w:vMerge/>
            <w:tcBorders>
              <w:left w:val="nil"/>
              <w:bottom w:val="single" w:sz="12" w:space="0" w:color="auto"/>
              <w:right w:val="nil"/>
            </w:tcBorders>
            <w:shd w:val="clear" w:color="auto" w:fill="auto"/>
          </w:tcPr>
          <w:p w14:paraId="6D247C35" w14:textId="77777777" w:rsidR="00013B24" w:rsidRPr="00013B24" w:rsidRDefault="00013B24" w:rsidP="00013B24">
            <w:pPr>
              <w:spacing w:after="160"/>
              <w:jc w:val="both"/>
              <w:rPr>
                <w:rFonts w:ascii="Times New Roman" w:eastAsia="Calibri" w:hAnsi="Times New Roman" w:cs="Times New Roman"/>
                <w:sz w:val="24"/>
                <w:szCs w:val="24"/>
                <w:lang w:val="pt-BR" w:eastAsia="en-US"/>
              </w:rPr>
            </w:pPr>
          </w:p>
        </w:tc>
        <w:tc>
          <w:tcPr>
            <w:tcW w:w="3260" w:type="dxa"/>
            <w:tcBorders>
              <w:top w:val="single" w:sz="4" w:space="0" w:color="auto"/>
              <w:left w:val="nil"/>
              <w:bottom w:val="single" w:sz="12" w:space="0" w:color="auto"/>
              <w:right w:val="nil"/>
            </w:tcBorders>
            <w:shd w:val="clear" w:color="auto" w:fill="auto"/>
            <w:vAlign w:val="center"/>
          </w:tcPr>
          <w:p w14:paraId="2BBDFE5B" w14:textId="2CA63533" w:rsidR="00013B24" w:rsidRPr="00013B24" w:rsidRDefault="00717035"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Waterway transport</w:t>
            </w:r>
          </w:p>
        </w:tc>
        <w:tc>
          <w:tcPr>
            <w:tcW w:w="4536" w:type="dxa"/>
            <w:tcBorders>
              <w:top w:val="single" w:sz="4" w:space="0" w:color="auto"/>
              <w:left w:val="nil"/>
              <w:bottom w:val="single" w:sz="12" w:space="0" w:color="auto"/>
              <w:right w:val="nil"/>
            </w:tcBorders>
            <w:shd w:val="clear" w:color="auto" w:fill="auto"/>
            <w:vAlign w:val="center"/>
          </w:tcPr>
          <w:p w14:paraId="32D3C1B3" w14:textId="77777777" w:rsidR="00013B24" w:rsidRPr="00013B24" w:rsidRDefault="00013B24" w:rsidP="00013B24">
            <w:pPr>
              <w:spacing w:after="160"/>
              <w:jc w:val="both"/>
              <w:rPr>
                <w:rFonts w:ascii="Times New Roman" w:eastAsia="Calibri" w:hAnsi="Times New Roman" w:cs="Times New Roman"/>
                <w:sz w:val="24"/>
                <w:szCs w:val="24"/>
                <w:lang w:val="pt-BR" w:eastAsia="en-US"/>
              </w:rPr>
            </w:pPr>
            <w:r w:rsidRPr="00013B24">
              <w:rPr>
                <w:rFonts w:ascii="Times New Roman" w:eastAsia="Calibri" w:hAnsi="Times New Roman" w:cs="Times New Roman"/>
                <w:sz w:val="24"/>
                <w:szCs w:val="24"/>
                <w:lang w:val="pt-BR" w:eastAsia="en-US"/>
              </w:rPr>
              <w:t>Zhuang et al. (2019)</w:t>
            </w:r>
          </w:p>
        </w:tc>
      </w:tr>
      <w:tr w:rsidR="00013B24" w:rsidRPr="00013B24" w14:paraId="483159B1" w14:textId="77777777" w:rsidTr="00013B24">
        <w:trPr>
          <w:gridAfter w:val="2"/>
          <w:wAfter w:w="10227" w:type="dxa"/>
        </w:trPr>
        <w:tc>
          <w:tcPr>
            <w:tcW w:w="1276" w:type="dxa"/>
            <w:vMerge w:val="restart"/>
            <w:tcBorders>
              <w:top w:val="single" w:sz="12" w:space="0" w:color="auto"/>
              <w:left w:val="nil"/>
              <w:right w:val="nil"/>
            </w:tcBorders>
            <w:shd w:val="clear" w:color="auto" w:fill="auto"/>
            <w:vAlign w:val="center"/>
          </w:tcPr>
          <w:p w14:paraId="182FC336" w14:textId="77777777" w:rsidR="00013B24" w:rsidRPr="00013B24" w:rsidRDefault="00013B24" w:rsidP="00013B24">
            <w:pPr>
              <w:spacing w:after="160"/>
              <w:jc w:val="center"/>
              <w:rPr>
                <w:rFonts w:ascii="Times New Roman" w:eastAsia="Calibri" w:hAnsi="Times New Roman" w:cs="Times New Roman"/>
                <w:b/>
                <w:bCs/>
                <w:sz w:val="24"/>
                <w:szCs w:val="24"/>
                <w:lang w:val="pt-BR" w:eastAsia="en-US"/>
              </w:rPr>
            </w:pPr>
            <w:r w:rsidRPr="00013B24">
              <w:rPr>
                <w:rFonts w:ascii="Times New Roman" w:eastAsia="Calibri" w:hAnsi="Times New Roman" w:cs="Times New Roman"/>
                <w:b/>
                <w:bCs/>
                <w:sz w:val="24"/>
                <w:szCs w:val="24"/>
                <w:lang w:val="pt-BR" w:eastAsia="en-US"/>
              </w:rPr>
              <w:t>Co</w:t>
            </w:r>
          </w:p>
        </w:tc>
        <w:tc>
          <w:tcPr>
            <w:tcW w:w="3260" w:type="dxa"/>
            <w:tcBorders>
              <w:top w:val="single" w:sz="12" w:space="0" w:color="auto"/>
              <w:left w:val="nil"/>
              <w:bottom w:val="single" w:sz="4" w:space="0" w:color="auto"/>
              <w:right w:val="nil"/>
            </w:tcBorders>
            <w:shd w:val="clear" w:color="auto" w:fill="auto"/>
            <w:vAlign w:val="center"/>
          </w:tcPr>
          <w:p w14:paraId="7B60B6D9" w14:textId="106639E4" w:rsidR="00013B24" w:rsidRPr="00013B24" w:rsidRDefault="00A41699" w:rsidP="00013B24">
            <w:pPr>
              <w:spacing w:after="160"/>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pt-BR" w:eastAsia="en-US"/>
              </w:rPr>
              <w:t>Agriculture</w:t>
            </w:r>
          </w:p>
        </w:tc>
        <w:tc>
          <w:tcPr>
            <w:tcW w:w="4536" w:type="dxa"/>
            <w:tcBorders>
              <w:top w:val="single" w:sz="12" w:space="0" w:color="auto"/>
              <w:left w:val="nil"/>
              <w:bottom w:val="single" w:sz="4" w:space="0" w:color="auto"/>
              <w:right w:val="nil"/>
            </w:tcBorders>
            <w:shd w:val="clear" w:color="auto" w:fill="auto"/>
            <w:vAlign w:val="center"/>
          </w:tcPr>
          <w:p w14:paraId="48538C12"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r w:rsidRPr="00013B24">
              <w:rPr>
                <w:rFonts w:ascii="Times New Roman" w:eastAsia="Calibri" w:hAnsi="Times New Roman" w:cs="Times New Roman"/>
                <w:sz w:val="24"/>
                <w:szCs w:val="24"/>
                <w:lang w:val="en-US" w:eastAsia="en-US"/>
              </w:rPr>
              <w:t xml:space="preserve">Islam et al. (2018), Zhang et al. </w:t>
            </w:r>
            <w:r w:rsidRPr="00013B24">
              <w:rPr>
                <w:rFonts w:ascii="Times New Roman" w:eastAsia="Calibri" w:hAnsi="Times New Roman" w:cs="Times New Roman"/>
                <w:sz w:val="24"/>
                <w:szCs w:val="24"/>
                <w:lang w:val="pt-BR" w:eastAsia="en-US"/>
              </w:rPr>
              <w:t>(2018), Rupakheti et al. (2017)</w:t>
            </w:r>
          </w:p>
        </w:tc>
      </w:tr>
      <w:tr w:rsidR="00013B24" w:rsidRPr="00013B24" w14:paraId="3324A891" w14:textId="77777777" w:rsidTr="00013B24">
        <w:trPr>
          <w:gridAfter w:val="2"/>
          <w:wAfter w:w="10227" w:type="dxa"/>
        </w:trPr>
        <w:tc>
          <w:tcPr>
            <w:tcW w:w="1276" w:type="dxa"/>
            <w:vMerge/>
            <w:tcBorders>
              <w:top w:val="single" w:sz="12" w:space="0" w:color="auto"/>
              <w:left w:val="nil"/>
              <w:right w:val="nil"/>
            </w:tcBorders>
            <w:shd w:val="clear" w:color="auto" w:fill="auto"/>
            <w:vAlign w:val="center"/>
          </w:tcPr>
          <w:p w14:paraId="284ABC42" w14:textId="77777777" w:rsidR="00013B24" w:rsidRPr="00013B24" w:rsidRDefault="00013B24" w:rsidP="00013B24">
            <w:pPr>
              <w:spacing w:after="160"/>
              <w:jc w:val="center"/>
              <w:rPr>
                <w:rFonts w:ascii="Times New Roman" w:eastAsia="Calibri" w:hAnsi="Times New Roman" w:cs="Times New Roman"/>
                <w:b/>
                <w:bCs/>
                <w:sz w:val="24"/>
                <w:szCs w:val="24"/>
                <w:lang w:val="pt-BR" w:eastAsia="en-US"/>
              </w:rPr>
            </w:pPr>
          </w:p>
        </w:tc>
        <w:tc>
          <w:tcPr>
            <w:tcW w:w="3260" w:type="dxa"/>
            <w:tcBorders>
              <w:top w:val="single" w:sz="4" w:space="0" w:color="auto"/>
              <w:left w:val="nil"/>
              <w:bottom w:val="single" w:sz="4" w:space="0" w:color="auto"/>
              <w:right w:val="nil"/>
            </w:tcBorders>
            <w:shd w:val="clear" w:color="auto" w:fill="auto"/>
            <w:vAlign w:val="center"/>
          </w:tcPr>
          <w:p w14:paraId="56250B77" w14:textId="20E24367" w:rsidR="00013B24" w:rsidRPr="00013B24" w:rsidRDefault="00A41699"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Domestic effluents</w:t>
            </w:r>
            <w:r w:rsidR="00013B24" w:rsidRPr="00013B24">
              <w:rPr>
                <w:rFonts w:ascii="Times New Roman" w:eastAsia="Calibri" w:hAnsi="Times New Roman" w:cs="Times New Roman"/>
                <w:sz w:val="24"/>
                <w:szCs w:val="24"/>
                <w:lang w:val="pt-BR" w:eastAsia="en-US"/>
              </w:rPr>
              <w:t xml:space="preserve"> </w:t>
            </w:r>
          </w:p>
        </w:tc>
        <w:tc>
          <w:tcPr>
            <w:tcW w:w="4536" w:type="dxa"/>
            <w:tcBorders>
              <w:top w:val="single" w:sz="4" w:space="0" w:color="auto"/>
              <w:left w:val="nil"/>
              <w:bottom w:val="single" w:sz="4" w:space="0" w:color="auto"/>
              <w:right w:val="nil"/>
            </w:tcBorders>
            <w:shd w:val="clear" w:color="auto" w:fill="auto"/>
            <w:vAlign w:val="center"/>
          </w:tcPr>
          <w:p w14:paraId="6635A5C0"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r w:rsidRPr="00013B24">
              <w:rPr>
                <w:rFonts w:ascii="Times New Roman" w:eastAsia="Calibri" w:hAnsi="Times New Roman" w:cs="Times New Roman"/>
                <w:sz w:val="24"/>
                <w:szCs w:val="24"/>
                <w:lang w:val="pt-BR" w:eastAsia="en-US"/>
              </w:rPr>
              <w:t xml:space="preserve">Ustaoğlua e Islam (2020), Rupakheti et al. </w:t>
            </w:r>
            <w:r w:rsidRPr="00013B24">
              <w:rPr>
                <w:rFonts w:ascii="Times New Roman" w:eastAsia="Calibri" w:hAnsi="Times New Roman" w:cs="Times New Roman"/>
                <w:sz w:val="24"/>
                <w:szCs w:val="24"/>
                <w:lang w:val="en-US" w:eastAsia="en-US"/>
              </w:rPr>
              <w:lastRenderedPageBreak/>
              <w:t>(2017)</w:t>
            </w:r>
          </w:p>
        </w:tc>
      </w:tr>
      <w:tr w:rsidR="00013B24" w:rsidRPr="00013B24" w14:paraId="66C8510D" w14:textId="77777777" w:rsidTr="00013B24">
        <w:trPr>
          <w:gridAfter w:val="2"/>
          <w:wAfter w:w="10227" w:type="dxa"/>
        </w:trPr>
        <w:tc>
          <w:tcPr>
            <w:tcW w:w="1276" w:type="dxa"/>
            <w:vMerge/>
            <w:tcBorders>
              <w:top w:val="single" w:sz="12" w:space="0" w:color="auto"/>
              <w:left w:val="nil"/>
              <w:right w:val="nil"/>
            </w:tcBorders>
            <w:shd w:val="clear" w:color="auto" w:fill="auto"/>
            <w:vAlign w:val="center"/>
          </w:tcPr>
          <w:p w14:paraId="20639925" w14:textId="77777777" w:rsidR="00013B24" w:rsidRPr="00013B24" w:rsidRDefault="00013B24" w:rsidP="00013B24">
            <w:pPr>
              <w:spacing w:after="160"/>
              <w:jc w:val="center"/>
              <w:rPr>
                <w:rFonts w:ascii="Times New Roman" w:eastAsia="Calibri" w:hAnsi="Times New Roman" w:cs="Times New Roman"/>
                <w:b/>
                <w:bCs/>
                <w:sz w:val="24"/>
                <w:szCs w:val="24"/>
                <w:lang w:val="pt-BR" w:eastAsia="en-US"/>
              </w:rPr>
            </w:pPr>
          </w:p>
        </w:tc>
        <w:tc>
          <w:tcPr>
            <w:tcW w:w="3260" w:type="dxa"/>
            <w:tcBorders>
              <w:top w:val="single" w:sz="4" w:space="0" w:color="auto"/>
              <w:left w:val="nil"/>
              <w:bottom w:val="single" w:sz="4" w:space="0" w:color="auto"/>
              <w:right w:val="nil"/>
            </w:tcBorders>
            <w:shd w:val="clear" w:color="auto" w:fill="auto"/>
            <w:vAlign w:val="center"/>
          </w:tcPr>
          <w:p w14:paraId="27F6EB72" w14:textId="4F6BEF4C" w:rsidR="00013B24" w:rsidRPr="00013B24" w:rsidRDefault="00A41699"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Mining</w:t>
            </w:r>
          </w:p>
        </w:tc>
        <w:tc>
          <w:tcPr>
            <w:tcW w:w="4536" w:type="dxa"/>
            <w:tcBorders>
              <w:top w:val="single" w:sz="4" w:space="0" w:color="auto"/>
              <w:left w:val="nil"/>
              <w:bottom w:val="single" w:sz="4" w:space="0" w:color="auto"/>
              <w:right w:val="nil"/>
            </w:tcBorders>
            <w:shd w:val="clear" w:color="auto" w:fill="auto"/>
            <w:vAlign w:val="center"/>
          </w:tcPr>
          <w:p w14:paraId="46B3476F"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r w:rsidRPr="00013B24">
              <w:rPr>
                <w:rFonts w:ascii="Times New Roman" w:eastAsia="Calibri" w:hAnsi="Times New Roman" w:cs="Times New Roman"/>
                <w:sz w:val="24"/>
                <w:szCs w:val="24"/>
                <w:lang w:val="pt-BR" w:eastAsia="en-US"/>
              </w:rPr>
              <w:t>Santana et al. (2020)</w:t>
            </w:r>
          </w:p>
        </w:tc>
      </w:tr>
      <w:tr w:rsidR="00013B24" w:rsidRPr="00013B24" w14:paraId="73A75AB1" w14:textId="77777777" w:rsidTr="00013B24">
        <w:trPr>
          <w:gridAfter w:val="2"/>
          <w:wAfter w:w="10227" w:type="dxa"/>
        </w:trPr>
        <w:tc>
          <w:tcPr>
            <w:tcW w:w="1276" w:type="dxa"/>
            <w:vMerge/>
            <w:tcBorders>
              <w:top w:val="single" w:sz="12" w:space="0" w:color="auto"/>
              <w:left w:val="nil"/>
              <w:right w:val="nil"/>
            </w:tcBorders>
            <w:shd w:val="clear" w:color="auto" w:fill="auto"/>
            <w:vAlign w:val="center"/>
          </w:tcPr>
          <w:p w14:paraId="2DDA56DC" w14:textId="77777777" w:rsidR="00013B24" w:rsidRPr="00013B24" w:rsidRDefault="00013B24" w:rsidP="00013B24">
            <w:pPr>
              <w:spacing w:after="160"/>
              <w:jc w:val="center"/>
              <w:rPr>
                <w:rFonts w:ascii="Times New Roman" w:eastAsia="Calibri" w:hAnsi="Times New Roman" w:cs="Times New Roman"/>
                <w:b/>
                <w:bCs/>
                <w:sz w:val="24"/>
                <w:szCs w:val="24"/>
                <w:lang w:val="pt-BR" w:eastAsia="en-US"/>
              </w:rPr>
            </w:pPr>
          </w:p>
        </w:tc>
        <w:tc>
          <w:tcPr>
            <w:tcW w:w="3260" w:type="dxa"/>
            <w:tcBorders>
              <w:top w:val="single" w:sz="4" w:space="0" w:color="auto"/>
              <w:left w:val="nil"/>
              <w:bottom w:val="single" w:sz="4" w:space="0" w:color="auto"/>
              <w:right w:val="nil"/>
            </w:tcBorders>
            <w:shd w:val="clear" w:color="auto" w:fill="auto"/>
            <w:vAlign w:val="center"/>
          </w:tcPr>
          <w:p w14:paraId="2C43086B" w14:textId="1291845A" w:rsidR="00013B24" w:rsidRPr="00013B24" w:rsidRDefault="00A41699"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Industrial effluents</w:t>
            </w:r>
            <w:r w:rsidR="00013B24" w:rsidRPr="00013B24">
              <w:rPr>
                <w:rFonts w:ascii="Times New Roman" w:eastAsia="Calibri" w:hAnsi="Times New Roman" w:cs="Times New Roman"/>
                <w:sz w:val="24"/>
                <w:szCs w:val="24"/>
                <w:lang w:val="pt-BR" w:eastAsia="en-US"/>
              </w:rPr>
              <w:t xml:space="preserve"> </w:t>
            </w:r>
          </w:p>
        </w:tc>
        <w:tc>
          <w:tcPr>
            <w:tcW w:w="4536" w:type="dxa"/>
            <w:tcBorders>
              <w:top w:val="single" w:sz="4" w:space="0" w:color="auto"/>
              <w:left w:val="nil"/>
              <w:bottom w:val="single" w:sz="4" w:space="0" w:color="auto"/>
              <w:right w:val="nil"/>
            </w:tcBorders>
            <w:shd w:val="clear" w:color="auto" w:fill="auto"/>
            <w:vAlign w:val="center"/>
          </w:tcPr>
          <w:p w14:paraId="22A6CA30"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r w:rsidRPr="00013B24">
              <w:rPr>
                <w:rFonts w:ascii="Times New Roman" w:eastAsia="Calibri" w:hAnsi="Times New Roman" w:cs="Times New Roman"/>
                <w:sz w:val="24"/>
                <w:szCs w:val="24"/>
                <w:lang w:val="en-US" w:eastAsia="en-US"/>
              </w:rPr>
              <w:t>Rupakheti et al. (2017)</w:t>
            </w:r>
          </w:p>
        </w:tc>
      </w:tr>
      <w:tr w:rsidR="00013B24" w:rsidRPr="00013B24" w14:paraId="4E1B26CE" w14:textId="77777777" w:rsidTr="00013B24">
        <w:trPr>
          <w:gridAfter w:val="2"/>
          <w:wAfter w:w="10227" w:type="dxa"/>
        </w:trPr>
        <w:tc>
          <w:tcPr>
            <w:tcW w:w="1276" w:type="dxa"/>
            <w:vMerge/>
            <w:tcBorders>
              <w:top w:val="single" w:sz="12" w:space="0" w:color="auto"/>
              <w:left w:val="nil"/>
              <w:right w:val="nil"/>
            </w:tcBorders>
            <w:shd w:val="clear" w:color="auto" w:fill="auto"/>
            <w:vAlign w:val="center"/>
          </w:tcPr>
          <w:p w14:paraId="764F2E89" w14:textId="77777777" w:rsidR="00013B24" w:rsidRPr="00013B24" w:rsidRDefault="00013B24" w:rsidP="00013B24">
            <w:pPr>
              <w:spacing w:after="160"/>
              <w:jc w:val="center"/>
              <w:rPr>
                <w:rFonts w:ascii="Times New Roman" w:eastAsia="Calibri" w:hAnsi="Times New Roman" w:cs="Times New Roman"/>
                <w:b/>
                <w:bCs/>
                <w:sz w:val="24"/>
                <w:szCs w:val="24"/>
                <w:lang w:val="pt-BR" w:eastAsia="en-US"/>
              </w:rPr>
            </w:pPr>
          </w:p>
        </w:tc>
        <w:tc>
          <w:tcPr>
            <w:tcW w:w="3260" w:type="dxa"/>
            <w:tcBorders>
              <w:top w:val="single" w:sz="4" w:space="0" w:color="auto"/>
              <w:left w:val="nil"/>
              <w:bottom w:val="single" w:sz="4" w:space="0" w:color="auto"/>
              <w:right w:val="nil"/>
            </w:tcBorders>
            <w:shd w:val="clear" w:color="auto" w:fill="auto"/>
            <w:vAlign w:val="center"/>
          </w:tcPr>
          <w:p w14:paraId="56B92FE2" w14:textId="7ED6ACB5" w:rsidR="00013B24" w:rsidRPr="00013B24" w:rsidRDefault="00A41699"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Traffic</w:t>
            </w:r>
          </w:p>
        </w:tc>
        <w:tc>
          <w:tcPr>
            <w:tcW w:w="4536" w:type="dxa"/>
            <w:tcBorders>
              <w:top w:val="single" w:sz="4" w:space="0" w:color="auto"/>
              <w:left w:val="nil"/>
              <w:bottom w:val="single" w:sz="4" w:space="0" w:color="auto"/>
              <w:right w:val="nil"/>
            </w:tcBorders>
            <w:shd w:val="clear" w:color="auto" w:fill="auto"/>
            <w:vAlign w:val="center"/>
          </w:tcPr>
          <w:p w14:paraId="196EE385"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r w:rsidRPr="00013B24">
              <w:rPr>
                <w:rFonts w:ascii="Times New Roman" w:eastAsia="Calibri" w:hAnsi="Times New Roman" w:cs="Times New Roman"/>
                <w:sz w:val="24"/>
                <w:szCs w:val="24"/>
                <w:lang w:val="en-US" w:eastAsia="en-US"/>
              </w:rPr>
              <w:t>Ustaoğlua e Islam (2020)</w:t>
            </w:r>
          </w:p>
        </w:tc>
      </w:tr>
      <w:tr w:rsidR="00013B24" w:rsidRPr="00013B24" w14:paraId="29CAA26F" w14:textId="77777777" w:rsidTr="00013B24">
        <w:trPr>
          <w:gridAfter w:val="2"/>
          <w:wAfter w:w="10227" w:type="dxa"/>
        </w:trPr>
        <w:tc>
          <w:tcPr>
            <w:tcW w:w="1276" w:type="dxa"/>
            <w:vMerge/>
            <w:tcBorders>
              <w:left w:val="nil"/>
              <w:bottom w:val="single" w:sz="12" w:space="0" w:color="auto"/>
              <w:right w:val="nil"/>
            </w:tcBorders>
            <w:shd w:val="clear" w:color="auto" w:fill="auto"/>
          </w:tcPr>
          <w:p w14:paraId="02AC7D3D" w14:textId="77777777" w:rsidR="00013B24" w:rsidRPr="00013B24" w:rsidRDefault="00013B24" w:rsidP="00013B24">
            <w:pPr>
              <w:spacing w:after="160"/>
              <w:jc w:val="both"/>
              <w:rPr>
                <w:rFonts w:ascii="Times New Roman" w:eastAsia="Calibri" w:hAnsi="Times New Roman" w:cs="Times New Roman"/>
                <w:sz w:val="24"/>
                <w:szCs w:val="24"/>
                <w:lang w:val="pt-BR" w:eastAsia="en-US"/>
              </w:rPr>
            </w:pPr>
          </w:p>
        </w:tc>
        <w:tc>
          <w:tcPr>
            <w:tcW w:w="3260" w:type="dxa"/>
            <w:tcBorders>
              <w:top w:val="single" w:sz="4" w:space="0" w:color="auto"/>
              <w:left w:val="nil"/>
              <w:bottom w:val="single" w:sz="12" w:space="0" w:color="auto"/>
              <w:right w:val="nil"/>
            </w:tcBorders>
            <w:shd w:val="clear" w:color="auto" w:fill="auto"/>
            <w:vAlign w:val="center"/>
          </w:tcPr>
          <w:p w14:paraId="2E4D3CD1" w14:textId="34F395D2" w:rsidR="00013B24" w:rsidRPr="00013B24" w:rsidRDefault="00717035"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Atmospheric deposition from polluted areas</w:t>
            </w:r>
          </w:p>
        </w:tc>
        <w:tc>
          <w:tcPr>
            <w:tcW w:w="4536" w:type="dxa"/>
            <w:tcBorders>
              <w:top w:val="single" w:sz="4" w:space="0" w:color="auto"/>
              <w:left w:val="nil"/>
              <w:bottom w:val="single" w:sz="12" w:space="0" w:color="auto"/>
              <w:right w:val="nil"/>
            </w:tcBorders>
            <w:shd w:val="clear" w:color="auto" w:fill="auto"/>
            <w:vAlign w:val="center"/>
          </w:tcPr>
          <w:p w14:paraId="6422E57C"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r w:rsidRPr="00013B24">
              <w:rPr>
                <w:rFonts w:ascii="Times New Roman" w:eastAsia="Calibri" w:hAnsi="Times New Roman" w:cs="Times New Roman"/>
                <w:sz w:val="24"/>
                <w:szCs w:val="24"/>
                <w:lang w:val="pt-BR" w:eastAsia="en-US"/>
              </w:rPr>
              <w:t>Rupakheti et al. (2017)</w:t>
            </w:r>
          </w:p>
        </w:tc>
      </w:tr>
      <w:tr w:rsidR="00013B24" w:rsidRPr="00013B24" w14:paraId="5C51C691" w14:textId="77777777" w:rsidTr="00013B24">
        <w:trPr>
          <w:gridAfter w:val="2"/>
          <w:wAfter w:w="10227" w:type="dxa"/>
        </w:trPr>
        <w:tc>
          <w:tcPr>
            <w:tcW w:w="1276" w:type="dxa"/>
            <w:vMerge w:val="restart"/>
            <w:tcBorders>
              <w:top w:val="single" w:sz="12" w:space="0" w:color="auto"/>
              <w:left w:val="nil"/>
              <w:bottom w:val="nil"/>
              <w:right w:val="nil"/>
            </w:tcBorders>
            <w:shd w:val="clear" w:color="auto" w:fill="auto"/>
            <w:vAlign w:val="center"/>
          </w:tcPr>
          <w:p w14:paraId="5DC654BD" w14:textId="77777777" w:rsidR="00013B24" w:rsidRPr="00013B24" w:rsidRDefault="00013B24" w:rsidP="00013B24">
            <w:pPr>
              <w:spacing w:after="160"/>
              <w:jc w:val="center"/>
              <w:rPr>
                <w:rFonts w:ascii="Times New Roman" w:eastAsia="Calibri" w:hAnsi="Times New Roman" w:cs="Times New Roman"/>
                <w:b/>
                <w:bCs/>
                <w:sz w:val="24"/>
                <w:szCs w:val="24"/>
                <w:lang w:val="pt-BR" w:eastAsia="en-US"/>
              </w:rPr>
            </w:pPr>
            <w:r w:rsidRPr="00013B24">
              <w:rPr>
                <w:rFonts w:ascii="Times New Roman" w:eastAsia="Calibri" w:hAnsi="Times New Roman" w:cs="Times New Roman"/>
                <w:b/>
                <w:bCs/>
                <w:sz w:val="24"/>
                <w:szCs w:val="24"/>
                <w:lang w:val="pt-BR" w:eastAsia="en-US"/>
              </w:rPr>
              <w:t>Cr</w:t>
            </w:r>
          </w:p>
        </w:tc>
        <w:tc>
          <w:tcPr>
            <w:tcW w:w="3260" w:type="dxa"/>
            <w:tcBorders>
              <w:top w:val="single" w:sz="12" w:space="0" w:color="auto"/>
              <w:left w:val="nil"/>
              <w:bottom w:val="single" w:sz="4" w:space="0" w:color="auto"/>
              <w:right w:val="nil"/>
            </w:tcBorders>
            <w:shd w:val="clear" w:color="auto" w:fill="auto"/>
            <w:vAlign w:val="center"/>
          </w:tcPr>
          <w:p w14:paraId="1CADBD64" w14:textId="2F87F98F" w:rsidR="00013B24" w:rsidRPr="00013B24" w:rsidRDefault="00A41699" w:rsidP="00013B24">
            <w:pPr>
              <w:spacing w:after="160"/>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pt-BR" w:eastAsia="en-US"/>
              </w:rPr>
              <w:t>Industries</w:t>
            </w:r>
          </w:p>
        </w:tc>
        <w:tc>
          <w:tcPr>
            <w:tcW w:w="4536" w:type="dxa"/>
            <w:tcBorders>
              <w:top w:val="single" w:sz="12" w:space="0" w:color="auto"/>
              <w:left w:val="nil"/>
              <w:bottom w:val="single" w:sz="4" w:space="0" w:color="auto"/>
              <w:right w:val="nil"/>
            </w:tcBorders>
            <w:shd w:val="clear" w:color="auto" w:fill="auto"/>
            <w:vAlign w:val="center"/>
          </w:tcPr>
          <w:p w14:paraId="504759ED"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r w:rsidRPr="00013B24">
              <w:rPr>
                <w:rFonts w:ascii="Times New Roman" w:eastAsia="Calibri" w:hAnsi="Times New Roman" w:cs="Times New Roman"/>
                <w:sz w:val="24"/>
                <w:szCs w:val="24"/>
                <w:lang w:val="en-US" w:eastAsia="en-US"/>
              </w:rPr>
              <w:t>Hoang et al. (2020), Niu et al. (2020), Wu et al. (2016), Li; Chen; Teng (2020), Sun et al. (2019), Castro; Rendina; Orgeira (2018), Roig et al. (2011), Sheykhi; Moore (2013), Hou et al. (2009), Wang et al. (2020b)</w:t>
            </w:r>
          </w:p>
        </w:tc>
      </w:tr>
      <w:tr w:rsidR="00013B24" w:rsidRPr="00013B24" w14:paraId="7CA25F4F" w14:textId="77777777" w:rsidTr="00013B24">
        <w:trPr>
          <w:gridAfter w:val="2"/>
          <w:wAfter w:w="10227" w:type="dxa"/>
        </w:trPr>
        <w:tc>
          <w:tcPr>
            <w:tcW w:w="1276" w:type="dxa"/>
            <w:vMerge/>
            <w:tcBorders>
              <w:top w:val="nil"/>
              <w:left w:val="nil"/>
              <w:right w:val="nil"/>
            </w:tcBorders>
            <w:shd w:val="clear" w:color="auto" w:fill="auto"/>
            <w:vAlign w:val="center"/>
          </w:tcPr>
          <w:p w14:paraId="483B90FA" w14:textId="77777777" w:rsidR="00013B24" w:rsidRPr="00013B24" w:rsidRDefault="00013B24" w:rsidP="00013B24">
            <w:pPr>
              <w:spacing w:after="160"/>
              <w:jc w:val="center"/>
              <w:rPr>
                <w:rFonts w:ascii="Times New Roman" w:eastAsia="Calibri" w:hAnsi="Times New Roman" w:cs="Times New Roman"/>
                <w:sz w:val="24"/>
                <w:szCs w:val="24"/>
                <w:lang w:val="en-US" w:eastAsia="en-US"/>
              </w:rPr>
            </w:pPr>
          </w:p>
        </w:tc>
        <w:tc>
          <w:tcPr>
            <w:tcW w:w="3260" w:type="dxa"/>
            <w:tcBorders>
              <w:top w:val="single" w:sz="4" w:space="0" w:color="auto"/>
              <w:left w:val="nil"/>
              <w:bottom w:val="single" w:sz="4" w:space="0" w:color="auto"/>
              <w:right w:val="nil"/>
            </w:tcBorders>
            <w:shd w:val="clear" w:color="auto" w:fill="auto"/>
            <w:vAlign w:val="center"/>
          </w:tcPr>
          <w:p w14:paraId="30359AAB" w14:textId="6981EE0F" w:rsidR="00013B24" w:rsidRPr="00013B24" w:rsidRDefault="00A41699" w:rsidP="00013B24">
            <w:pPr>
              <w:spacing w:after="160"/>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pt-BR" w:eastAsia="en-US"/>
              </w:rPr>
              <w:t>Mining</w:t>
            </w:r>
          </w:p>
        </w:tc>
        <w:tc>
          <w:tcPr>
            <w:tcW w:w="4536" w:type="dxa"/>
            <w:tcBorders>
              <w:top w:val="single" w:sz="4" w:space="0" w:color="auto"/>
              <w:left w:val="nil"/>
              <w:bottom w:val="single" w:sz="4" w:space="0" w:color="auto"/>
              <w:right w:val="nil"/>
            </w:tcBorders>
            <w:shd w:val="clear" w:color="auto" w:fill="auto"/>
            <w:vAlign w:val="center"/>
          </w:tcPr>
          <w:p w14:paraId="137B4F6A"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r w:rsidRPr="00013B24">
              <w:rPr>
                <w:rFonts w:ascii="Times New Roman" w:eastAsia="Calibri" w:hAnsi="Times New Roman" w:cs="Times New Roman"/>
                <w:sz w:val="24"/>
                <w:szCs w:val="24"/>
                <w:lang w:val="pt-BR" w:eastAsia="en-US"/>
              </w:rPr>
              <w:t xml:space="preserve">Sarmiento et al. (2011), Palacios-Torres; de la Rosa; Olivero-Verbel (2020), Santana et al. </w:t>
            </w:r>
            <w:r w:rsidRPr="00013B24">
              <w:rPr>
                <w:rFonts w:ascii="Times New Roman" w:eastAsia="Calibri" w:hAnsi="Times New Roman" w:cs="Times New Roman"/>
                <w:sz w:val="24"/>
                <w:szCs w:val="24"/>
                <w:lang w:val="en-US" w:eastAsia="en-US"/>
              </w:rPr>
              <w:t>(2020), Kumar e Maiti (2015), Gemici (2008), Hadjipanagiotou et al. (2020), Yi et al. (2020), Wang et al. (2018), Sun; Hu; Cheng (2020), Shakeri et al. (2020)</w:t>
            </w:r>
          </w:p>
        </w:tc>
      </w:tr>
      <w:tr w:rsidR="00013B24" w:rsidRPr="00013B24" w14:paraId="20ECDC44" w14:textId="77777777" w:rsidTr="00013B24">
        <w:trPr>
          <w:gridAfter w:val="2"/>
          <w:wAfter w:w="10227" w:type="dxa"/>
        </w:trPr>
        <w:tc>
          <w:tcPr>
            <w:tcW w:w="1276" w:type="dxa"/>
            <w:vMerge/>
            <w:tcBorders>
              <w:left w:val="nil"/>
              <w:right w:val="nil"/>
            </w:tcBorders>
            <w:shd w:val="clear" w:color="auto" w:fill="auto"/>
          </w:tcPr>
          <w:p w14:paraId="7C2F56AD" w14:textId="77777777" w:rsidR="00013B24" w:rsidRPr="00013B24" w:rsidRDefault="00013B24" w:rsidP="00013B24">
            <w:pPr>
              <w:spacing w:after="160"/>
              <w:jc w:val="both"/>
              <w:rPr>
                <w:rFonts w:ascii="Times New Roman" w:eastAsia="Calibri" w:hAnsi="Times New Roman" w:cs="Times New Roman"/>
                <w:sz w:val="24"/>
                <w:szCs w:val="24"/>
                <w:lang w:val="pt-BR" w:eastAsia="en-US"/>
              </w:rPr>
            </w:pPr>
          </w:p>
        </w:tc>
        <w:tc>
          <w:tcPr>
            <w:tcW w:w="3260" w:type="dxa"/>
            <w:tcBorders>
              <w:top w:val="single" w:sz="4" w:space="0" w:color="auto"/>
              <w:left w:val="nil"/>
              <w:bottom w:val="single" w:sz="4" w:space="0" w:color="auto"/>
              <w:right w:val="nil"/>
            </w:tcBorders>
            <w:shd w:val="clear" w:color="auto" w:fill="auto"/>
            <w:vAlign w:val="center"/>
          </w:tcPr>
          <w:p w14:paraId="3F1D2A27" w14:textId="7DC47E83" w:rsidR="00013B24" w:rsidRPr="00013B24" w:rsidRDefault="00A41699"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Domestic effluents</w:t>
            </w:r>
          </w:p>
        </w:tc>
        <w:tc>
          <w:tcPr>
            <w:tcW w:w="4536" w:type="dxa"/>
            <w:tcBorders>
              <w:top w:val="single" w:sz="4" w:space="0" w:color="auto"/>
              <w:left w:val="nil"/>
              <w:bottom w:val="single" w:sz="4" w:space="0" w:color="auto"/>
              <w:right w:val="nil"/>
            </w:tcBorders>
            <w:shd w:val="clear" w:color="auto" w:fill="auto"/>
            <w:vAlign w:val="center"/>
          </w:tcPr>
          <w:p w14:paraId="5CE6E505"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r w:rsidRPr="00013B24">
              <w:rPr>
                <w:rFonts w:ascii="Times New Roman" w:eastAsia="Calibri" w:hAnsi="Times New Roman" w:cs="Times New Roman"/>
                <w:sz w:val="24"/>
                <w:szCs w:val="24"/>
                <w:lang w:val="en-US" w:eastAsia="en-US"/>
              </w:rPr>
              <w:t>Barhoumi et al. (2019), Ustaoğlua e Islam (2020), Marcussen; Dalsgaard; Holm (2008), Sheykhi et al. (2017), Wang et al. (2018),  Pratap; Mani; Prasad (2020), Emmons et al. (2018), Vystavna et al. (2012), Rupakheti et al. (2017), Wang et al. (2020c)</w:t>
            </w:r>
          </w:p>
        </w:tc>
      </w:tr>
      <w:tr w:rsidR="00013B24" w:rsidRPr="00013B24" w14:paraId="45D50D91" w14:textId="77777777" w:rsidTr="00013B24">
        <w:trPr>
          <w:gridAfter w:val="2"/>
          <w:wAfter w:w="10227" w:type="dxa"/>
        </w:trPr>
        <w:tc>
          <w:tcPr>
            <w:tcW w:w="1276" w:type="dxa"/>
            <w:vMerge/>
            <w:tcBorders>
              <w:left w:val="nil"/>
              <w:right w:val="nil"/>
            </w:tcBorders>
            <w:shd w:val="clear" w:color="auto" w:fill="auto"/>
          </w:tcPr>
          <w:p w14:paraId="39CAE250" w14:textId="77777777" w:rsidR="00013B24" w:rsidRPr="00013B24" w:rsidRDefault="00013B24" w:rsidP="00013B24">
            <w:pPr>
              <w:spacing w:after="160"/>
              <w:jc w:val="both"/>
              <w:rPr>
                <w:rFonts w:ascii="Times New Roman" w:eastAsia="Calibri" w:hAnsi="Times New Roman" w:cs="Times New Roman"/>
                <w:sz w:val="24"/>
                <w:szCs w:val="24"/>
                <w:lang w:val="pt-BR" w:eastAsia="en-US"/>
              </w:rPr>
            </w:pPr>
          </w:p>
        </w:tc>
        <w:tc>
          <w:tcPr>
            <w:tcW w:w="3260" w:type="dxa"/>
            <w:tcBorders>
              <w:top w:val="single" w:sz="4" w:space="0" w:color="auto"/>
              <w:left w:val="nil"/>
              <w:bottom w:val="single" w:sz="4" w:space="0" w:color="auto"/>
              <w:right w:val="nil"/>
            </w:tcBorders>
            <w:shd w:val="clear" w:color="auto" w:fill="auto"/>
            <w:vAlign w:val="center"/>
          </w:tcPr>
          <w:p w14:paraId="3758E716" w14:textId="510316A5" w:rsidR="00013B24" w:rsidRPr="00013B24" w:rsidRDefault="00A41699"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Agriculture</w:t>
            </w:r>
          </w:p>
        </w:tc>
        <w:tc>
          <w:tcPr>
            <w:tcW w:w="4536" w:type="dxa"/>
            <w:tcBorders>
              <w:top w:val="single" w:sz="4" w:space="0" w:color="auto"/>
              <w:left w:val="nil"/>
              <w:bottom w:val="single" w:sz="4" w:space="0" w:color="auto"/>
              <w:right w:val="nil"/>
            </w:tcBorders>
            <w:shd w:val="clear" w:color="auto" w:fill="auto"/>
            <w:vAlign w:val="center"/>
          </w:tcPr>
          <w:p w14:paraId="68A61088"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r w:rsidRPr="00013B24">
              <w:rPr>
                <w:rFonts w:ascii="Times New Roman" w:eastAsia="Calibri" w:hAnsi="Times New Roman" w:cs="Times New Roman"/>
                <w:sz w:val="24"/>
                <w:szCs w:val="24"/>
                <w:lang w:val="en-US" w:eastAsia="en-US"/>
              </w:rPr>
              <w:t>Saran et al. (2018), Xiao et al. (2019), Li; Chen; Teng (2020), Sheykhi et al. (2017), Castro; Rendina; Orgeira (2018), Rupakheti et al. (2017), Nde e Mathuthu (2018)</w:t>
            </w:r>
          </w:p>
        </w:tc>
      </w:tr>
      <w:tr w:rsidR="00013B24" w:rsidRPr="00013B24" w14:paraId="17A2EAA6" w14:textId="77777777" w:rsidTr="00013B24">
        <w:trPr>
          <w:gridAfter w:val="2"/>
          <w:wAfter w:w="10227" w:type="dxa"/>
        </w:trPr>
        <w:tc>
          <w:tcPr>
            <w:tcW w:w="1276" w:type="dxa"/>
            <w:vMerge/>
            <w:tcBorders>
              <w:left w:val="nil"/>
              <w:right w:val="nil"/>
            </w:tcBorders>
            <w:shd w:val="clear" w:color="auto" w:fill="auto"/>
          </w:tcPr>
          <w:p w14:paraId="19765D8D"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p>
        </w:tc>
        <w:tc>
          <w:tcPr>
            <w:tcW w:w="3260" w:type="dxa"/>
            <w:tcBorders>
              <w:top w:val="single" w:sz="4" w:space="0" w:color="auto"/>
              <w:left w:val="nil"/>
              <w:bottom w:val="single" w:sz="4" w:space="0" w:color="auto"/>
              <w:right w:val="nil"/>
            </w:tcBorders>
            <w:shd w:val="clear" w:color="auto" w:fill="auto"/>
            <w:vAlign w:val="center"/>
          </w:tcPr>
          <w:p w14:paraId="6CEFB6F2" w14:textId="564313F5" w:rsidR="00013B24" w:rsidRPr="00013B24" w:rsidRDefault="00A41699"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Industrial effluents</w:t>
            </w:r>
          </w:p>
        </w:tc>
        <w:tc>
          <w:tcPr>
            <w:tcW w:w="4536" w:type="dxa"/>
            <w:tcBorders>
              <w:top w:val="single" w:sz="4" w:space="0" w:color="auto"/>
              <w:left w:val="nil"/>
              <w:bottom w:val="single" w:sz="4" w:space="0" w:color="auto"/>
              <w:right w:val="nil"/>
            </w:tcBorders>
            <w:shd w:val="clear" w:color="auto" w:fill="auto"/>
            <w:vAlign w:val="center"/>
          </w:tcPr>
          <w:p w14:paraId="434A621E" w14:textId="77777777" w:rsidR="00013B24" w:rsidRPr="00013B24" w:rsidRDefault="00013B24" w:rsidP="00013B24">
            <w:pPr>
              <w:spacing w:after="160"/>
              <w:jc w:val="both"/>
              <w:rPr>
                <w:rFonts w:ascii="Times New Roman" w:eastAsia="Calibri" w:hAnsi="Times New Roman" w:cs="Times New Roman"/>
                <w:sz w:val="24"/>
                <w:szCs w:val="24"/>
                <w:lang w:val="pt-BR" w:eastAsia="en-US"/>
              </w:rPr>
            </w:pPr>
            <w:r w:rsidRPr="00013B24">
              <w:rPr>
                <w:rFonts w:ascii="Times New Roman" w:eastAsia="Calibri" w:hAnsi="Times New Roman" w:cs="Times New Roman"/>
                <w:sz w:val="24"/>
                <w:szCs w:val="24"/>
                <w:lang w:val="en-US" w:eastAsia="en-US"/>
              </w:rPr>
              <w:t xml:space="preserve">Ustaoğlua e Islam (2020), Marcussen; Dalsgaard; Holm (2008), Zhuang et al. </w:t>
            </w:r>
            <w:r w:rsidRPr="00013B24">
              <w:rPr>
                <w:rFonts w:ascii="Times New Roman" w:eastAsia="Calibri" w:hAnsi="Times New Roman" w:cs="Times New Roman"/>
                <w:sz w:val="24"/>
                <w:szCs w:val="24"/>
                <w:lang w:val="pt-BR" w:eastAsia="en-US"/>
              </w:rPr>
              <w:t>(2019), Wang et al. (2018), Barhoumi et al. (2019), Rupakheti et al. (2017)</w:t>
            </w:r>
          </w:p>
        </w:tc>
      </w:tr>
      <w:tr w:rsidR="00013B24" w:rsidRPr="00013B24" w14:paraId="1E4BAA26" w14:textId="77777777" w:rsidTr="00013B24">
        <w:trPr>
          <w:gridAfter w:val="2"/>
          <w:wAfter w:w="10227" w:type="dxa"/>
        </w:trPr>
        <w:tc>
          <w:tcPr>
            <w:tcW w:w="1276" w:type="dxa"/>
            <w:vMerge/>
            <w:tcBorders>
              <w:left w:val="nil"/>
              <w:right w:val="nil"/>
            </w:tcBorders>
            <w:shd w:val="clear" w:color="auto" w:fill="auto"/>
          </w:tcPr>
          <w:p w14:paraId="60109C4C" w14:textId="77777777" w:rsidR="00013B24" w:rsidRPr="00013B24" w:rsidRDefault="00013B24" w:rsidP="00013B24">
            <w:pPr>
              <w:spacing w:after="160"/>
              <w:jc w:val="both"/>
              <w:rPr>
                <w:rFonts w:ascii="Times New Roman" w:eastAsia="Calibri" w:hAnsi="Times New Roman" w:cs="Times New Roman"/>
                <w:sz w:val="24"/>
                <w:szCs w:val="24"/>
                <w:lang w:val="pt-BR" w:eastAsia="en-US"/>
              </w:rPr>
            </w:pPr>
          </w:p>
        </w:tc>
        <w:tc>
          <w:tcPr>
            <w:tcW w:w="3260" w:type="dxa"/>
            <w:tcBorders>
              <w:top w:val="single" w:sz="4" w:space="0" w:color="auto"/>
              <w:left w:val="nil"/>
              <w:bottom w:val="single" w:sz="4" w:space="0" w:color="auto"/>
              <w:right w:val="nil"/>
            </w:tcBorders>
            <w:shd w:val="clear" w:color="auto" w:fill="auto"/>
            <w:vAlign w:val="center"/>
          </w:tcPr>
          <w:p w14:paraId="78490013" w14:textId="53CB447A" w:rsidR="00013B24" w:rsidRPr="00013B24" w:rsidRDefault="00A41699"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Traffic</w:t>
            </w:r>
          </w:p>
        </w:tc>
        <w:tc>
          <w:tcPr>
            <w:tcW w:w="4536" w:type="dxa"/>
            <w:tcBorders>
              <w:top w:val="single" w:sz="4" w:space="0" w:color="auto"/>
              <w:left w:val="nil"/>
              <w:bottom w:val="single" w:sz="4" w:space="0" w:color="auto"/>
              <w:right w:val="nil"/>
            </w:tcBorders>
            <w:shd w:val="clear" w:color="auto" w:fill="auto"/>
            <w:vAlign w:val="center"/>
          </w:tcPr>
          <w:p w14:paraId="2394CB65" w14:textId="77777777" w:rsidR="00013B24" w:rsidRPr="00013B24" w:rsidRDefault="00013B24" w:rsidP="00013B24">
            <w:pPr>
              <w:spacing w:after="160"/>
              <w:jc w:val="both"/>
              <w:rPr>
                <w:rFonts w:ascii="Times New Roman" w:eastAsia="Calibri" w:hAnsi="Times New Roman" w:cs="Times New Roman"/>
                <w:sz w:val="24"/>
                <w:szCs w:val="24"/>
                <w:lang w:val="pt-BR" w:eastAsia="en-US"/>
              </w:rPr>
            </w:pPr>
            <w:r w:rsidRPr="00013B24">
              <w:rPr>
                <w:rFonts w:ascii="Times New Roman" w:eastAsia="Calibri" w:hAnsi="Times New Roman" w:cs="Times New Roman"/>
                <w:sz w:val="24"/>
                <w:szCs w:val="24"/>
                <w:lang w:val="en-US" w:eastAsia="en-US"/>
              </w:rPr>
              <w:t xml:space="preserve">Xia et al. (2020), Wang et al. </w:t>
            </w:r>
            <w:r w:rsidRPr="00013B24">
              <w:rPr>
                <w:rFonts w:ascii="Times New Roman" w:eastAsia="Calibri" w:hAnsi="Times New Roman" w:cs="Times New Roman"/>
                <w:sz w:val="24"/>
                <w:szCs w:val="24"/>
                <w:lang w:val="pt-BR" w:eastAsia="en-US"/>
              </w:rPr>
              <w:t>(2020b), Barhoumi et al. (2019)</w:t>
            </w:r>
          </w:p>
        </w:tc>
      </w:tr>
      <w:tr w:rsidR="00013B24" w:rsidRPr="00013B24" w14:paraId="47D8F31F" w14:textId="77777777" w:rsidTr="00013B24">
        <w:trPr>
          <w:gridAfter w:val="2"/>
          <w:wAfter w:w="10227" w:type="dxa"/>
        </w:trPr>
        <w:tc>
          <w:tcPr>
            <w:tcW w:w="1276" w:type="dxa"/>
            <w:vMerge/>
            <w:tcBorders>
              <w:left w:val="nil"/>
              <w:right w:val="nil"/>
            </w:tcBorders>
            <w:shd w:val="clear" w:color="auto" w:fill="auto"/>
          </w:tcPr>
          <w:p w14:paraId="57CB4015" w14:textId="77777777" w:rsidR="00013B24" w:rsidRPr="00013B24" w:rsidRDefault="00013B24" w:rsidP="00013B24">
            <w:pPr>
              <w:spacing w:after="160"/>
              <w:jc w:val="both"/>
              <w:rPr>
                <w:rFonts w:ascii="Times New Roman" w:eastAsia="Calibri" w:hAnsi="Times New Roman" w:cs="Times New Roman"/>
                <w:sz w:val="24"/>
                <w:szCs w:val="24"/>
                <w:lang w:val="pt-BR" w:eastAsia="en-US"/>
              </w:rPr>
            </w:pPr>
          </w:p>
        </w:tc>
        <w:tc>
          <w:tcPr>
            <w:tcW w:w="3260" w:type="dxa"/>
            <w:tcBorders>
              <w:top w:val="single" w:sz="4" w:space="0" w:color="auto"/>
              <w:left w:val="nil"/>
              <w:bottom w:val="single" w:sz="4" w:space="0" w:color="auto"/>
              <w:right w:val="nil"/>
            </w:tcBorders>
            <w:shd w:val="clear" w:color="auto" w:fill="auto"/>
            <w:vAlign w:val="center"/>
          </w:tcPr>
          <w:p w14:paraId="2B663C06" w14:textId="69B37A77" w:rsidR="00013B24" w:rsidRPr="00013B24" w:rsidRDefault="00717035"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Hospital</w:t>
            </w:r>
            <w:r w:rsidR="00A41699">
              <w:rPr>
                <w:rFonts w:ascii="Times New Roman" w:eastAsia="Calibri" w:hAnsi="Times New Roman" w:cs="Times New Roman"/>
                <w:sz w:val="24"/>
                <w:szCs w:val="24"/>
                <w:lang w:val="pt-BR" w:eastAsia="en-US"/>
              </w:rPr>
              <w:t xml:space="preserve"> effluents</w:t>
            </w:r>
          </w:p>
        </w:tc>
        <w:tc>
          <w:tcPr>
            <w:tcW w:w="4536" w:type="dxa"/>
            <w:tcBorders>
              <w:top w:val="single" w:sz="4" w:space="0" w:color="auto"/>
              <w:left w:val="nil"/>
              <w:bottom w:val="single" w:sz="4" w:space="0" w:color="auto"/>
              <w:right w:val="nil"/>
            </w:tcBorders>
            <w:shd w:val="clear" w:color="auto" w:fill="auto"/>
            <w:vAlign w:val="center"/>
          </w:tcPr>
          <w:p w14:paraId="0C197638" w14:textId="77777777" w:rsidR="00013B24" w:rsidRPr="00013B24" w:rsidRDefault="00013B24" w:rsidP="00013B24">
            <w:pPr>
              <w:spacing w:after="160"/>
              <w:jc w:val="both"/>
              <w:rPr>
                <w:rFonts w:ascii="Times New Roman" w:eastAsia="Calibri" w:hAnsi="Times New Roman" w:cs="Times New Roman"/>
                <w:sz w:val="24"/>
                <w:szCs w:val="24"/>
                <w:lang w:val="pt-BR" w:eastAsia="en-US"/>
              </w:rPr>
            </w:pPr>
            <w:r w:rsidRPr="00013B24">
              <w:rPr>
                <w:rFonts w:ascii="Times New Roman" w:eastAsia="Calibri" w:hAnsi="Times New Roman" w:cs="Times New Roman"/>
                <w:sz w:val="24"/>
                <w:szCs w:val="24"/>
                <w:lang w:val="pt-BR" w:eastAsia="en-US"/>
              </w:rPr>
              <w:t>Mubedi et al. (2013)</w:t>
            </w:r>
          </w:p>
        </w:tc>
      </w:tr>
      <w:tr w:rsidR="00013B24" w:rsidRPr="00013B24" w14:paraId="77FE33DB" w14:textId="77777777" w:rsidTr="00013B24">
        <w:trPr>
          <w:gridAfter w:val="2"/>
          <w:wAfter w:w="10227" w:type="dxa"/>
        </w:trPr>
        <w:tc>
          <w:tcPr>
            <w:tcW w:w="1276" w:type="dxa"/>
            <w:vMerge/>
            <w:tcBorders>
              <w:left w:val="nil"/>
              <w:right w:val="nil"/>
            </w:tcBorders>
            <w:shd w:val="clear" w:color="auto" w:fill="auto"/>
          </w:tcPr>
          <w:p w14:paraId="68F3CF9D" w14:textId="77777777" w:rsidR="00013B24" w:rsidRPr="00013B24" w:rsidRDefault="00013B24" w:rsidP="00013B24">
            <w:pPr>
              <w:spacing w:after="160"/>
              <w:jc w:val="both"/>
              <w:rPr>
                <w:rFonts w:ascii="Times New Roman" w:eastAsia="Calibri" w:hAnsi="Times New Roman" w:cs="Times New Roman"/>
                <w:sz w:val="24"/>
                <w:szCs w:val="24"/>
                <w:lang w:val="pt-BR" w:eastAsia="en-US"/>
              </w:rPr>
            </w:pPr>
          </w:p>
        </w:tc>
        <w:tc>
          <w:tcPr>
            <w:tcW w:w="3260" w:type="dxa"/>
            <w:tcBorders>
              <w:top w:val="single" w:sz="4" w:space="0" w:color="auto"/>
              <w:left w:val="nil"/>
              <w:bottom w:val="single" w:sz="4" w:space="0" w:color="auto"/>
              <w:right w:val="nil"/>
            </w:tcBorders>
            <w:shd w:val="clear" w:color="auto" w:fill="auto"/>
            <w:vAlign w:val="center"/>
          </w:tcPr>
          <w:p w14:paraId="6C70B4B1" w14:textId="1EAA4C6B" w:rsidR="00013B24" w:rsidRPr="00013B24" w:rsidRDefault="00717035"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 xml:space="preserve">Atmospheric deposition from </w:t>
            </w:r>
            <w:r>
              <w:rPr>
                <w:rFonts w:ascii="Times New Roman" w:eastAsia="Calibri" w:hAnsi="Times New Roman" w:cs="Times New Roman"/>
                <w:sz w:val="24"/>
                <w:szCs w:val="24"/>
                <w:lang w:val="pt-BR" w:eastAsia="en-US"/>
              </w:rPr>
              <w:lastRenderedPageBreak/>
              <w:t>polluted areas</w:t>
            </w:r>
          </w:p>
        </w:tc>
        <w:tc>
          <w:tcPr>
            <w:tcW w:w="4536" w:type="dxa"/>
            <w:tcBorders>
              <w:top w:val="single" w:sz="4" w:space="0" w:color="auto"/>
              <w:left w:val="nil"/>
              <w:bottom w:val="single" w:sz="4" w:space="0" w:color="auto"/>
              <w:right w:val="nil"/>
            </w:tcBorders>
            <w:shd w:val="clear" w:color="auto" w:fill="auto"/>
            <w:vAlign w:val="center"/>
          </w:tcPr>
          <w:p w14:paraId="3AD0D167" w14:textId="77777777" w:rsidR="00013B24" w:rsidRPr="00013B24" w:rsidRDefault="00013B24" w:rsidP="00013B24">
            <w:pPr>
              <w:spacing w:after="160"/>
              <w:jc w:val="both"/>
              <w:rPr>
                <w:rFonts w:ascii="Times New Roman" w:eastAsia="Calibri" w:hAnsi="Times New Roman" w:cs="Times New Roman"/>
                <w:sz w:val="24"/>
                <w:szCs w:val="24"/>
                <w:lang w:val="pt-BR" w:eastAsia="en-US"/>
              </w:rPr>
            </w:pPr>
            <w:r w:rsidRPr="00013B24">
              <w:rPr>
                <w:rFonts w:ascii="Times New Roman" w:eastAsia="Calibri" w:hAnsi="Times New Roman" w:cs="Times New Roman"/>
                <w:sz w:val="24"/>
                <w:szCs w:val="24"/>
                <w:lang w:val="pt-BR" w:eastAsia="en-US"/>
              </w:rPr>
              <w:lastRenderedPageBreak/>
              <w:t>Rupakheti et al. (2017)</w:t>
            </w:r>
          </w:p>
        </w:tc>
      </w:tr>
      <w:tr w:rsidR="00013B24" w:rsidRPr="00013B24" w14:paraId="0067F06E" w14:textId="77777777" w:rsidTr="00013B24">
        <w:trPr>
          <w:gridAfter w:val="2"/>
          <w:wAfter w:w="10227" w:type="dxa"/>
        </w:trPr>
        <w:tc>
          <w:tcPr>
            <w:tcW w:w="1276" w:type="dxa"/>
            <w:vMerge/>
            <w:tcBorders>
              <w:left w:val="nil"/>
              <w:right w:val="nil"/>
            </w:tcBorders>
            <w:shd w:val="clear" w:color="auto" w:fill="auto"/>
          </w:tcPr>
          <w:p w14:paraId="6E1857C9" w14:textId="77777777" w:rsidR="00013B24" w:rsidRPr="00013B24" w:rsidRDefault="00013B24" w:rsidP="00013B24">
            <w:pPr>
              <w:spacing w:after="160"/>
              <w:jc w:val="both"/>
              <w:rPr>
                <w:rFonts w:ascii="Times New Roman" w:eastAsia="Calibri" w:hAnsi="Times New Roman" w:cs="Times New Roman"/>
                <w:sz w:val="24"/>
                <w:szCs w:val="24"/>
                <w:lang w:val="pt-BR" w:eastAsia="en-US"/>
              </w:rPr>
            </w:pPr>
          </w:p>
        </w:tc>
        <w:tc>
          <w:tcPr>
            <w:tcW w:w="3260" w:type="dxa"/>
            <w:tcBorders>
              <w:top w:val="single" w:sz="4" w:space="0" w:color="auto"/>
              <w:left w:val="nil"/>
              <w:bottom w:val="single" w:sz="12" w:space="0" w:color="auto"/>
              <w:right w:val="nil"/>
            </w:tcBorders>
            <w:shd w:val="clear" w:color="auto" w:fill="auto"/>
            <w:vAlign w:val="center"/>
          </w:tcPr>
          <w:p w14:paraId="36ECA458" w14:textId="4B5A0563" w:rsidR="00013B24" w:rsidRPr="00013B24" w:rsidRDefault="00717035"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Waterway transport</w:t>
            </w:r>
          </w:p>
        </w:tc>
        <w:tc>
          <w:tcPr>
            <w:tcW w:w="4536" w:type="dxa"/>
            <w:tcBorders>
              <w:top w:val="single" w:sz="4" w:space="0" w:color="auto"/>
              <w:left w:val="nil"/>
              <w:bottom w:val="single" w:sz="12" w:space="0" w:color="auto"/>
              <w:right w:val="nil"/>
            </w:tcBorders>
            <w:shd w:val="clear" w:color="auto" w:fill="auto"/>
            <w:vAlign w:val="center"/>
          </w:tcPr>
          <w:p w14:paraId="2F699438" w14:textId="77777777" w:rsidR="00013B24" w:rsidRPr="00013B24" w:rsidRDefault="00013B24" w:rsidP="00013B24">
            <w:pPr>
              <w:spacing w:after="160"/>
              <w:jc w:val="both"/>
              <w:rPr>
                <w:rFonts w:ascii="Times New Roman" w:eastAsia="Calibri" w:hAnsi="Times New Roman" w:cs="Times New Roman"/>
                <w:sz w:val="24"/>
                <w:szCs w:val="24"/>
                <w:lang w:val="pt-BR" w:eastAsia="en-US"/>
              </w:rPr>
            </w:pPr>
            <w:r w:rsidRPr="00013B24">
              <w:rPr>
                <w:rFonts w:ascii="Times New Roman" w:eastAsia="Calibri" w:hAnsi="Times New Roman" w:cs="Times New Roman"/>
                <w:sz w:val="24"/>
                <w:szCs w:val="24"/>
                <w:lang w:val="pt-BR" w:eastAsia="en-US"/>
              </w:rPr>
              <w:t>Zhuang et al. (2019)</w:t>
            </w:r>
          </w:p>
        </w:tc>
      </w:tr>
      <w:tr w:rsidR="00013B24" w:rsidRPr="00013B24" w14:paraId="72BF84C9" w14:textId="77777777" w:rsidTr="00013B24">
        <w:trPr>
          <w:gridAfter w:val="2"/>
          <w:wAfter w:w="10227" w:type="dxa"/>
        </w:trPr>
        <w:tc>
          <w:tcPr>
            <w:tcW w:w="1276" w:type="dxa"/>
            <w:vMerge w:val="restart"/>
            <w:tcBorders>
              <w:top w:val="single" w:sz="12" w:space="0" w:color="auto"/>
              <w:left w:val="nil"/>
              <w:right w:val="nil"/>
            </w:tcBorders>
            <w:shd w:val="clear" w:color="auto" w:fill="auto"/>
            <w:vAlign w:val="center"/>
          </w:tcPr>
          <w:p w14:paraId="2E7F5566" w14:textId="77777777" w:rsidR="00013B24" w:rsidRPr="00013B24" w:rsidRDefault="00013B24" w:rsidP="00013B24">
            <w:pPr>
              <w:spacing w:after="160"/>
              <w:jc w:val="center"/>
              <w:rPr>
                <w:rFonts w:ascii="Times New Roman" w:eastAsia="Calibri" w:hAnsi="Times New Roman" w:cs="Times New Roman"/>
                <w:b/>
                <w:bCs/>
                <w:sz w:val="24"/>
                <w:szCs w:val="24"/>
                <w:lang w:val="pt-BR" w:eastAsia="en-US"/>
              </w:rPr>
            </w:pPr>
            <w:r w:rsidRPr="00013B24">
              <w:rPr>
                <w:rFonts w:ascii="Times New Roman" w:eastAsia="Calibri" w:hAnsi="Times New Roman" w:cs="Times New Roman"/>
                <w:b/>
                <w:bCs/>
                <w:sz w:val="24"/>
                <w:szCs w:val="24"/>
                <w:lang w:val="pt-BR" w:eastAsia="en-US"/>
              </w:rPr>
              <w:t>Cu</w:t>
            </w:r>
          </w:p>
        </w:tc>
        <w:tc>
          <w:tcPr>
            <w:tcW w:w="3260" w:type="dxa"/>
            <w:tcBorders>
              <w:top w:val="single" w:sz="12" w:space="0" w:color="auto"/>
              <w:left w:val="nil"/>
              <w:bottom w:val="single" w:sz="4" w:space="0" w:color="auto"/>
              <w:right w:val="nil"/>
            </w:tcBorders>
            <w:shd w:val="clear" w:color="auto" w:fill="auto"/>
            <w:vAlign w:val="center"/>
          </w:tcPr>
          <w:p w14:paraId="65FBEEB0" w14:textId="1FD6ECE4" w:rsidR="00013B24" w:rsidRPr="00013B24" w:rsidRDefault="00A41699"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Domestic effluents</w:t>
            </w:r>
          </w:p>
        </w:tc>
        <w:tc>
          <w:tcPr>
            <w:tcW w:w="4536" w:type="dxa"/>
            <w:tcBorders>
              <w:top w:val="single" w:sz="12" w:space="0" w:color="auto"/>
              <w:left w:val="nil"/>
              <w:bottom w:val="single" w:sz="4" w:space="0" w:color="auto"/>
              <w:right w:val="nil"/>
            </w:tcBorders>
            <w:shd w:val="clear" w:color="auto" w:fill="auto"/>
            <w:vAlign w:val="center"/>
          </w:tcPr>
          <w:p w14:paraId="0D00CCDA"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r w:rsidRPr="00013B24">
              <w:rPr>
                <w:rFonts w:ascii="Times New Roman" w:eastAsia="Calibri" w:hAnsi="Times New Roman" w:cs="Times New Roman"/>
                <w:sz w:val="24"/>
                <w:szCs w:val="24"/>
                <w:lang w:val="pt-BR" w:eastAsia="en-US"/>
              </w:rPr>
              <w:t xml:space="preserve">Pratap; Mani; Prasad (2020), dos Santos et al. </w:t>
            </w:r>
            <w:r w:rsidRPr="00013B24">
              <w:rPr>
                <w:rFonts w:ascii="Times New Roman" w:eastAsia="Calibri" w:hAnsi="Times New Roman" w:cs="Times New Roman"/>
                <w:sz w:val="24"/>
                <w:szCs w:val="24"/>
                <w:lang w:val="en-US" w:eastAsia="en-US"/>
              </w:rPr>
              <w:t>(2020), Lafitte et al. (2020), Hu et al. (2020), Marcussen; Dalsgaard; Holm (2008), Amini e Qishlaqi (2020), Sheykhi et al. (2017), dos Santos et al. (2020), Wang et al. (2018), Barhoumi et al. (2019), Emmons et al. (2018), Vystavna et al. (2012), Sheykhi; Moore (2013), Rupakheti et al. (2017), Wang et al. (2020c)</w:t>
            </w:r>
          </w:p>
        </w:tc>
      </w:tr>
      <w:tr w:rsidR="00013B24" w:rsidRPr="00013B24" w14:paraId="119AA5D4" w14:textId="77777777" w:rsidTr="00013B24">
        <w:trPr>
          <w:gridAfter w:val="2"/>
          <w:wAfter w:w="10227" w:type="dxa"/>
        </w:trPr>
        <w:tc>
          <w:tcPr>
            <w:tcW w:w="1276" w:type="dxa"/>
            <w:vMerge/>
            <w:tcBorders>
              <w:left w:val="nil"/>
              <w:right w:val="nil"/>
            </w:tcBorders>
            <w:shd w:val="clear" w:color="auto" w:fill="auto"/>
            <w:vAlign w:val="center"/>
          </w:tcPr>
          <w:p w14:paraId="3855F8B3" w14:textId="77777777" w:rsidR="00013B24" w:rsidRPr="00013B24" w:rsidRDefault="00013B24" w:rsidP="00013B24">
            <w:pPr>
              <w:spacing w:after="160"/>
              <w:jc w:val="center"/>
              <w:rPr>
                <w:rFonts w:ascii="Times New Roman" w:eastAsia="Calibri" w:hAnsi="Times New Roman" w:cs="Times New Roman"/>
                <w:sz w:val="24"/>
                <w:szCs w:val="24"/>
                <w:lang w:val="pt-BR" w:eastAsia="en-US"/>
              </w:rPr>
            </w:pPr>
          </w:p>
        </w:tc>
        <w:tc>
          <w:tcPr>
            <w:tcW w:w="3260" w:type="dxa"/>
            <w:tcBorders>
              <w:top w:val="single" w:sz="4" w:space="0" w:color="auto"/>
              <w:left w:val="nil"/>
              <w:bottom w:val="single" w:sz="4" w:space="0" w:color="auto"/>
              <w:right w:val="nil"/>
            </w:tcBorders>
            <w:shd w:val="clear" w:color="auto" w:fill="auto"/>
            <w:vAlign w:val="center"/>
          </w:tcPr>
          <w:p w14:paraId="5532B13C" w14:textId="04348DDA" w:rsidR="00013B24" w:rsidRPr="00013B24" w:rsidRDefault="00A41699"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Mining</w:t>
            </w:r>
          </w:p>
        </w:tc>
        <w:tc>
          <w:tcPr>
            <w:tcW w:w="4536" w:type="dxa"/>
            <w:tcBorders>
              <w:top w:val="single" w:sz="4" w:space="0" w:color="auto"/>
              <w:left w:val="nil"/>
              <w:bottom w:val="single" w:sz="4" w:space="0" w:color="auto"/>
              <w:right w:val="nil"/>
            </w:tcBorders>
            <w:shd w:val="clear" w:color="auto" w:fill="auto"/>
            <w:vAlign w:val="center"/>
          </w:tcPr>
          <w:p w14:paraId="14C62C35"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r w:rsidRPr="00013B24">
              <w:rPr>
                <w:rFonts w:ascii="Times New Roman" w:eastAsia="Calibri" w:hAnsi="Times New Roman" w:cs="Times New Roman"/>
                <w:sz w:val="24"/>
                <w:szCs w:val="24"/>
                <w:lang w:val="en-US" w:eastAsia="en-US"/>
              </w:rPr>
              <w:t xml:space="preserve">Sun; Hu; Cheng (2020), Sarmiento et al. </w:t>
            </w:r>
            <w:r w:rsidRPr="00013B24">
              <w:rPr>
                <w:rFonts w:ascii="Times New Roman" w:eastAsia="Calibri" w:hAnsi="Times New Roman" w:cs="Times New Roman"/>
                <w:sz w:val="24"/>
                <w:szCs w:val="24"/>
                <w:lang w:val="pt-BR" w:eastAsia="en-US"/>
              </w:rPr>
              <w:t xml:space="preserve">(2011), Palacios-Torres; de la Rosa; Olivero-Verbel (2020), Santana et al. </w:t>
            </w:r>
            <w:r w:rsidRPr="00013B24">
              <w:rPr>
                <w:rFonts w:ascii="Times New Roman" w:eastAsia="Calibri" w:hAnsi="Times New Roman" w:cs="Times New Roman"/>
                <w:sz w:val="24"/>
                <w:szCs w:val="24"/>
                <w:lang w:val="en-US" w:eastAsia="en-US"/>
              </w:rPr>
              <w:t>(2020), Appleton et al. (2000), Obaje et al. (2019), Hadjipanagiotou et al. (2020), Custodio et al. (2020), Chaparro et al. (2020), Munk; Faure (2004), Yuan et al. (2019), Wang et al. (2018), O'Neill et al. (2015)</w:t>
            </w:r>
          </w:p>
        </w:tc>
      </w:tr>
      <w:tr w:rsidR="00013B24" w:rsidRPr="00013B24" w14:paraId="75D8D953" w14:textId="77777777" w:rsidTr="00013B24">
        <w:trPr>
          <w:gridAfter w:val="2"/>
          <w:wAfter w:w="10227" w:type="dxa"/>
        </w:trPr>
        <w:tc>
          <w:tcPr>
            <w:tcW w:w="1276" w:type="dxa"/>
            <w:vMerge/>
            <w:tcBorders>
              <w:left w:val="nil"/>
              <w:right w:val="nil"/>
            </w:tcBorders>
            <w:shd w:val="clear" w:color="auto" w:fill="auto"/>
            <w:vAlign w:val="center"/>
          </w:tcPr>
          <w:p w14:paraId="74D86ECF" w14:textId="77777777" w:rsidR="00013B24" w:rsidRPr="00013B24" w:rsidRDefault="00013B24" w:rsidP="00013B24">
            <w:pPr>
              <w:spacing w:after="160"/>
              <w:jc w:val="center"/>
              <w:rPr>
                <w:rFonts w:ascii="Times New Roman" w:eastAsia="Calibri" w:hAnsi="Times New Roman" w:cs="Times New Roman"/>
                <w:sz w:val="24"/>
                <w:szCs w:val="24"/>
                <w:lang w:val="pt-BR" w:eastAsia="en-US"/>
              </w:rPr>
            </w:pPr>
          </w:p>
        </w:tc>
        <w:tc>
          <w:tcPr>
            <w:tcW w:w="3260" w:type="dxa"/>
            <w:tcBorders>
              <w:top w:val="single" w:sz="4" w:space="0" w:color="auto"/>
              <w:left w:val="nil"/>
              <w:bottom w:val="single" w:sz="4" w:space="0" w:color="auto"/>
              <w:right w:val="nil"/>
            </w:tcBorders>
            <w:shd w:val="clear" w:color="auto" w:fill="auto"/>
            <w:vAlign w:val="center"/>
          </w:tcPr>
          <w:p w14:paraId="2E1FEF44" w14:textId="56C688EA" w:rsidR="00013B24" w:rsidRPr="00013B24" w:rsidRDefault="00A41699"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Agriculture</w:t>
            </w:r>
          </w:p>
        </w:tc>
        <w:tc>
          <w:tcPr>
            <w:tcW w:w="4536" w:type="dxa"/>
            <w:tcBorders>
              <w:top w:val="single" w:sz="4" w:space="0" w:color="auto"/>
              <w:left w:val="nil"/>
              <w:bottom w:val="single" w:sz="4" w:space="0" w:color="auto"/>
              <w:right w:val="nil"/>
            </w:tcBorders>
            <w:shd w:val="clear" w:color="auto" w:fill="auto"/>
            <w:vAlign w:val="center"/>
          </w:tcPr>
          <w:p w14:paraId="1A2AC51E"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r w:rsidRPr="00013B24">
              <w:rPr>
                <w:rFonts w:ascii="Times New Roman" w:eastAsia="Calibri" w:hAnsi="Times New Roman" w:cs="Times New Roman"/>
                <w:sz w:val="24"/>
                <w:szCs w:val="24"/>
                <w:lang w:val="pt-BR" w:eastAsia="en-US"/>
              </w:rPr>
              <w:t xml:space="preserve">Saran et al. (2018), Ustaoğlua e Islam (2020), Mao et al. </w:t>
            </w:r>
            <w:r w:rsidRPr="00013B24">
              <w:rPr>
                <w:rFonts w:ascii="Times New Roman" w:eastAsia="Calibri" w:hAnsi="Times New Roman" w:cs="Times New Roman"/>
                <w:sz w:val="24"/>
                <w:szCs w:val="24"/>
                <w:lang w:val="en-US" w:eastAsia="en-US"/>
              </w:rPr>
              <w:t>(2020), Xia et al. (2020), Wang et al. (2020b), Li et al. (2020), Liu; Zhang; Zhang (2017), Amini e Qishlaqi (2020), Sheykhi et al. (2017), Zhang et al. (2018), Castro; Rendina; Orgeira (2018), Rupakheti et al. (2017)</w:t>
            </w:r>
          </w:p>
        </w:tc>
      </w:tr>
      <w:tr w:rsidR="00013B24" w:rsidRPr="00013B24" w14:paraId="2D445915" w14:textId="77777777" w:rsidTr="00013B24">
        <w:trPr>
          <w:gridAfter w:val="2"/>
          <w:wAfter w:w="10227" w:type="dxa"/>
        </w:trPr>
        <w:tc>
          <w:tcPr>
            <w:tcW w:w="1276" w:type="dxa"/>
            <w:vMerge/>
            <w:tcBorders>
              <w:left w:val="nil"/>
              <w:right w:val="nil"/>
            </w:tcBorders>
            <w:shd w:val="clear" w:color="auto" w:fill="auto"/>
            <w:vAlign w:val="center"/>
          </w:tcPr>
          <w:p w14:paraId="1B1645A8" w14:textId="77777777" w:rsidR="00013B24" w:rsidRPr="00013B24" w:rsidRDefault="00013B24" w:rsidP="00013B24">
            <w:pPr>
              <w:spacing w:after="160"/>
              <w:jc w:val="center"/>
              <w:rPr>
                <w:rFonts w:ascii="Times New Roman" w:eastAsia="Calibri" w:hAnsi="Times New Roman" w:cs="Times New Roman"/>
                <w:sz w:val="24"/>
                <w:szCs w:val="24"/>
                <w:lang w:val="pt-BR" w:eastAsia="en-US"/>
              </w:rPr>
            </w:pPr>
          </w:p>
        </w:tc>
        <w:tc>
          <w:tcPr>
            <w:tcW w:w="3260" w:type="dxa"/>
            <w:tcBorders>
              <w:top w:val="single" w:sz="4" w:space="0" w:color="auto"/>
              <w:left w:val="nil"/>
              <w:bottom w:val="single" w:sz="4" w:space="0" w:color="808080"/>
              <w:right w:val="nil"/>
            </w:tcBorders>
            <w:shd w:val="clear" w:color="auto" w:fill="auto"/>
            <w:vAlign w:val="center"/>
          </w:tcPr>
          <w:p w14:paraId="407B054A" w14:textId="07EE8C80" w:rsidR="00013B24" w:rsidRPr="00013B24" w:rsidRDefault="00A41699"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Industries</w:t>
            </w:r>
          </w:p>
        </w:tc>
        <w:tc>
          <w:tcPr>
            <w:tcW w:w="4536" w:type="dxa"/>
            <w:tcBorders>
              <w:top w:val="single" w:sz="4" w:space="0" w:color="auto"/>
              <w:left w:val="nil"/>
              <w:bottom w:val="single" w:sz="4" w:space="0" w:color="auto"/>
              <w:right w:val="nil"/>
            </w:tcBorders>
            <w:shd w:val="clear" w:color="auto" w:fill="auto"/>
            <w:vAlign w:val="center"/>
          </w:tcPr>
          <w:p w14:paraId="4A86B7C2"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r w:rsidRPr="00013B24">
              <w:rPr>
                <w:rFonts w:ascii="Times New Roman" w:eastAsia="Calibri" w:hAnsi="Times New Roman" w:cs="Times New Roman"/>
                <w:sz w:val="24"/>
                <w:szCs w:val="24"/>
                <w:lang w:val="en-US" w:eastAsia="en-US"/>
              </w:rPr>
              <w:t>Hoang et al. (2020), Niu et al. (2020), Wu et al. (2016), Li; Chen; Teng (2020), Sun et al. (2019), Castro; Rendina; Orgeira (2018), Sheykhi; Moore (2013), Hou et al. (2009), Liu; Zhang; Zhang (2017), Wang et al. (2020b), Custodio et al. (2020)</w:t>
            </w:r>
          </w:p>
        </w:tc>
      </w:tr>
      <w:tr w:rsidR="00013B24" w:rsidRPr="00013B24" w14:paraId="59FE66B7" w14:textId="77777777" w:rsidTr="00013B24">
        <w:trPr>
          <w:gridAfter w:val="2"/>
          <w:wAfter w:w="10227" w:type="dxa"/>
        </w:trPr>
        <w:tc>
          <w:tcPr>
            <w:tcW w:w="1276" w:type="dxa"/>
            <w:vMerge/>
            <w:tcBorders>
              <w:left w:val="nil"/>
              <w:right w:val="nil"/>
            </w:tcBorders>
            <w:shd w:val="clear" w:color="auto" w:fill="auto"/>
            <w:vAlign w:val="center"/>
          </w:tcPr>
          <w:p w14:paraId="321A38AC" w14:textId="77777777" w:rsidR="00013B24" w:rsidRPr="00013B24" w:rsidRDefault="00013B24" w:rsidP="00013B24">
            <w:pPr>
              <w:spacing w:after="160"/>
              <w:jc w:val="center"/>
              <w:rPr>
                <w:rFonts w:ascii="Times New Roman" w:eastAsia="Calibri" w:hAnsi="Times New Roman" w:cs="Times New Roman"/>
                <w:sz w:val="24"/>
                <w:szCs w:val="24"/>
                <w:lang w:val="pt-BR" w:eastAsia="en-US"/>
              </w:rPr>
            </w:pPr>
          </w:p>
        </w:tc>
        <w:tc>
          <w:tcPr>
            <w:tcW w:w="3260" w:type="dxa"/>
            <w:tcBorders>
              <w:top w:val="single" w:sz="4" w:space="0" w:color="auto"/>
              <w:left w:val="nil"/>
              <w:bottom w:val="single" w:sz="4" w:space="0" w:color="auto"/>
              <w:right w:val="nil"/>
            </w:tcBorders>
            <w:shd w:val="clear" w:color="auto" w:fill="auto"/>
            <w:vAlign w:val="center"/>
          </w:tcPr>
          <w:p w14:paraId="32FCE13F" w14:textId="43DDAF8A" w:rsidR="00013B24" w:rsidRPr="00013B24" w:rsidRDefault="00A41699"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Industrial effluents</w:t>
            </w:r>
            <w:r w:rsidR="00013B24" w:rsidRPr="00013B24">
              <w:rPr>
                <w:rFonts w:ascii="Times New Roman" w:eastAsia="Calibri" w:hAnsi="Times New Roman" w:cs="Times New Roman"/>
                <w:sz w:val="24"/>
                <w:szCs w:val="24"/>
                <w:lang w:val="pt-BR" w:eastAsia="en-US"/>
              </w:rPr>
              <w:t xml:space="preserve"> </w:t>
            </w:r>
          </w:p>
        </w:tc>
        <w:tc>
          <w:tcPr>
            <w:tcW w:w="4536" w:type="dxa"/>
            <w:tcBorders>
              <w:top w:val="single" w:sz="4" w:space="0" w:color="auto"/>
              <w:left w:val="nil"/>
              <w:bottom w:val="single" w:sz="4" w:space="0" w:color="auto"/>
              <w:right w:val="nil"/>
            </w:tcBorders>
            <w:shd w:val="clear" w:color="auto" w:fill="auto"/>
            <w:vAlign w:val="center"/>
          </w:tcPr>
          <w:p w14:paraId="2A5A01A8"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r w:rsidRPr="00013B24">
              <w:rPr>
                <w:rFonts w:ascii="Times New Roman" w:eastAsia="Calibri" w:hAnsi="Times New Roman" w:cs="Times New Roman"/>
                <w:sz w:val="24"/>
                <w:szCs w:val="24"/>
                <w:lang w:val="en-US" w:eastAsia="en-US"/>
              </w:rPr>
              <w:t>Hu et al. (2020), Marcussen; Dalsgaard; Holm (2008), Zhuang et al. (2019), Wang et al. (2018), Barhoumi et al. (2019), Yuan et al. (2019), Rupakheti et al. (2017)</w:t>
            </w:r>
          </w:p>
        </w:tc>
      </w:tr>
      <w:tr w:rsidR="00013B24" w:rsidRPr="00013B24" w14:paraId="427288C7" w14:textId="77777777" w:rsidTr="00013B24">
        <w:trPr>
          <w:gridAfter w:val="2"/>
          <w:wAfter w:w="10227" w:type="dxa"/>
        </w:trPr>
        <w:tc>
          <w:tcPr>
            <w:tcW w:w="1276" w:type="dxa"/>
            <w:vMerge/>
            <w:tcBorders>
              <w:left w:val="nil"/>
              <w:right w:val="nil"/>
            </w:tcBorders>
            <w:shd w:val="clear" w:color="auto" w:fill="auto"/>
            <w:vAlign w:val="center"/>
          </w:tcPr>
          <w:p w14:paraId="0FB76EC6" w14:textId="77777777" w:rsidR="00013B24" w:rsidRPr="00013B24" w:rsidRDefault="00013B24" w:rsidP="00013B24">
            <w:pPr>
              <w:spacing w:after="160"/>
              <w:jc w:val="center"/>
              <w:rPr>
                <w:rFonts w:ascii="Times New Roman" w:eastAsia="Calibri" w:hAnsi="Times New Roman" w:cs="Times New Roman"/>
                <w:sz w:val="24"/>
                <w:szCs w:val="24"/>
                <w:lang w:val="en-US" w:eastAsia="en-US"/>
              </w:rPr>
            </w:pPr>
          </w:p>
        </w:tc>
        <w:tc>
          <w:tcPr>
            <w:tcW w:w="3260" w:type="dxa"/>
            <w:tcBorders>
              <w:top w:val="single" w:sz="4" w:space="0" w:color="auto"/>
              <w:left w:val="nil"/>
              <w:bottom w:val="single" w:sz="4" w:space="0" w:color="auto"/>
              <w:right w:val="nil"/>
            </w:tcBorders>
            <w:shd w:val="clear" w:color="auto" w:fill="auto"/>
            <w:vAlign w:val="center"/>
          </w:tcPr>
          <w:p w14:paraId="0B2151D0" w14:textId="2FCFAB50" w:rsidR="00013B24" w:rsidRPr="00013B24" w:rsidRDefault="00A41699"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Traffic</w:t>
            </w:r>
          </w:p>
        </w:tc>
        <w:tc>
          <w:tcPr>
            <w:tcW w:w="4536" w:type="dxa"/>
            <w:tcBorders>
              <w:top w:val="single" w:sz="4" w:space="0" w:color="auto"/>
              <w:left w:val="nil"/>
              <w:bottom w:val="single" w:sz="4" w:space="0" w:color="auto"/>
              <w:right w:val="nil"/>
            </w:tcBorders>
            <w:shd w:val="clear" w:color="auto" w:fill="auto"/>
            <w:vAlign w:val="center"/>
          </w:tcPr>
          <w:p w14:paraId="184C4EAA"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r w:rsidRPr="00013B24">
              <w:rPr>
                <w:rFonts w:ascii="Times New Roman" w:eastAsia="Calibri" w:hAnsi="Times New Roman" w:cs="Times New Roman"/>
                <w:sz w:val="24"/>
                <w:szCs w:val="24"/>
                <w:lang w:val="pt-BR" w:eastAsia="en-US"/>
              </w:rPr>
              <w:t xml:space="preserve">Wang et al. (2020b), dos Santos et al. </w:t>
            </w:r>
            <w:r w:rsidRPr="00013B24">
              <w:rPr>
                <w:rFonts w:ascii="Times New Roman" w:eastAsia="Calibri" w:hAnsi="Times New Roman" w:cs="Times New Roman"/>
                <w:sz w:val="24"/>
                <w:szCs w:val="24"/>
                <w:lang w:val="en-US" w:eastAsia="en-US"/>
              </w:rPr>
              <w:t xml:space="preserve">(2020), Niu et al. (2020), Barhoumi et al. (2019), Sebastiao; Wagner; Goldsmith </w:t>
            </w:r>
            <w:r w:rsidRPr="00013B24">
              <w:rPr>
                <w:rFonts w:ascii="Times New Roman" w:eastAsia="Calibri" w:hAnsi="Times New Roman" w:cs="Times New Roman"/>
                <w:sz w:val="24"/>
                <w:szCs w:val="24"/>
                <w:lang w:val="en-US" w:eastAsia="en-US"/>
              </w:rPr>
              <w:lastRenderedPageBreak/>
              <w:t>(2017), Munksgaard; Lottermoser (2010)</w:t>
            </w:r>
          </w:p>
        </w:tc>
      </w:tr>
      <w:tr w:rsidR="00013B24" w:rsidRPr="00013B24" w14:paraId="029CD7FF" w14:textId="77777777" w:rsidTr="00013B24">
        <w:trPr>
          <w:gridAfter w:val="2"/>
          <w:wAfter w:w="10227" w:type="dxa"/>
        </w:trPr>
        <w:tc>
          <w:tcPr>
            <w:tcW w:w="1276" w:type="dxa"/>
            <w:vMerge/>
            <w:tcBorders>
              <w:left w:val="nil"/>
              <w:right w:val="nil"/>
            </w:tcBorders>
            <w:shd w:val="clear" w:color="auto" w:fill="auto"/>
            <w:vAlign w:val="center"/>
          </w:tcPr>
          <w:p w14:paraId="3EF61CE6" w14:textId="77777777" w:rsidR="00013B24" w:rsidRPr="00013B24" w:rsidRDefault="00013B24" w:rsidP="00013B24">
            <w:pPr>
              <w:spacing w:after="160"/>
              <w:jc w:val="center"/>
              <w:rPr>
                <w:rFonts w:ascii="Times New Roman" w:eastAsia="Calibri" w:hAnsi="Times New Roman" w:cs="Times New Roman"/>
                <w:sz w:val="24"/>
                <w:szCs w:val="24"/>
                <w:lang w:val="pt-BR" w:eastAsia="en-US"/>
              </w:rPr>
            </w:pPr>
          </w:p>
        </w:tc>
        <w:tc>
          <w:tcPr>
            <w:tcW w:w="3260" w:type="dxa"/>
            <w:tcBorders>
              <w:top w:val="single" w:sz="4" w:space="0" w:color="auto"/>
              <w:left w:val="nil"/>
              <w:bottom w:val="single" w:sz="4" w:space="0" w:color="auto"/>
              <w:right w:val="nil"/>
            </w:tcBorders>
            <w:shd w:val="clear" w:color="auto" w:fill="auto"/>
            <w:vAlign w:val="center"/>
          </w:tcPr>
          <w:p w14:paraId="02BF7EE5" w14:textId="0D5345DB" w:rsidR="00013B24" w:rsidRPr="00013B24" w:rsidRDefault="00717035"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Hospital</w:t>
            </w:r>
            <w:r w:rsidR="00A41699">
              <w:rPr>
                <w:rFonts w:ascii="Times New Roman" w:eastAsia="Calibri" w:hAnsi="Times New Roman" w:cs="Times New Roman"/>
                <w:sz w:val="24"/>
                <w:szCs w:val="24"/>
                <w:lang w:val="pt-BR" w:eastAsia="en-US"/>
              </w:rPr>
              <w:t xml:space="preserve"> effluents</w:t>
            </w:r>
          </w:p>
        </w:tc>
        <w:tc>
          <w:tcPr>
            <w:tcW w:w="4536" w:type="dxa"/>
            <w:tcBorders>
              <w:top w:val="single" w:sz="4" w:space="0" w:color="auto"/>
              <w:left w:val="nil"/>
              <w:bottom w:val="single" w:sz="4" w:space="0" w:color="auto"/>
              <w:right w:val="nil"/>
            </w:tcBorders>
            <w:shd w:val="clear" w:color="auto" w:fill="auto"/>
            <w:vAlign w:val="center"/>
          </w:tcPr>
          <w:p w14:paraId="0773DAC8"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r w:rsidRPr="00013B24">
              <w:rPr>
                <w:rFonts w:ascii="Times New Roman" w:eastAsia="Calibri" w:hAnsi="Times New Roman" w:cs="Times New Roman"/>
                <w:sz w:val="24"/>
                <w:szCs w:val="24"/>
                <w:lang w:val="en-US" w:eastAsia="en-US"/>
              </w:rPr>
              <w:t>Mubedi et al. (2013), Lafitte et al. (2020)</w:t>
            </w:r>
          </w:p>
        </w:tc>
      </w:tr>
      <w:tr w:rsidR="00013B24" w:rsidRPr="00013B24" w14:paraId="6D0DD2B3" w14:textId="77777777" w:rsidTr="00013B24">
        <w:trPr>
          <w:gridAfter w:val="2"/>
          <w:wAfter w:w="10227" w:type="dxa"/>
        </w:trPr>
        <w:tc>
          <w:tcPr>
            <w:tcW w:w="1276" w:type="dxa"/>
            <w:vMerge/>
            <w:tcBorders>
              <w:left w:val="nil"/>
              <w:right w:val="nil"/>
            </w:tcBorders>
            <w:shd w:val="clear" w:color="auto" w:fill="auto"/>
            <w:vAlign w:val="center"/>
          </w:tcPr>
          <w:p w14:paraId="5616F19F" w14:textId="77777777" w:rsidR="00013B24" w:rsidRPr="00013B24" w:rsidRDefault="00013B24" w:rsidP="00013B24">
            <w:pPr>
              <w:spacing w:after="160"/>
              <w:jc w:val="center"/>
              <w:rPr>
                <w:rFonts w:ascii="Times New Roman" w:eastAsia="Calibri" w:hAnsi="Times New Roman" w:cs="Times New Roman"/>
                <w:sz w:val="24"/>
                <w:szCs w:val="24"/>
                <w:lang w:val="pt-BR" w:eastAsia="en-US"/>
              </w:rPr>
            </w:pPr>
          </w:p>
        </w:tc>
        <w:tc>
          <w:tcPr>
            <w:tcW w:w="3260" w:type="dxa"/>
            <w:tcBorders>
              <w:top w:val="single" w:sz="4" w:space="0" w:color="auto"/>
              <w:left w:val="nil"/>
              <w:bottom w:val="single" w:sz="4" w:space="0" w:color="auto"/>
              <w:right w:val="nil"/>
            </w:tcBorders>
            <w:shd w:val="clear" w:color="auto" w:fill="auto"/>
            <w:vAlign w:val="center"/>
          </w:tcPr>
          <w:p w14:paraId="494040DA" w14:textId="3A6C5E32" w:rsidR="00013B24" w:rsidRPr="00013B24" w:rsidRDefault="00717035"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Atmospheric deposition from polluted areas</w:t>
            </w:r>
          </w:p>
        </w:tc>
        <w:tc>
          <w:tcPr>
            <w:tcW w:w="4536" w:type="dxa"/>
            <w:tcBorders>
              <w:top w:val="single" w:sz="4" w:space="0" w:color="auto"/>
              <w:left w:val="nil"/>
              <w:bottom w:val="single" w:sz="4" w:space="0" w:color="auto"/>
              <w:right w:val="nil"/>
            </w:tcBorders>
            <w:shd w:val="clear" w:color="auto" w:fill="auto"/>
            <w:vAlign w:val="center"/>
          </w:tcPr>
          <w:p w14:paraId="4104B7D9"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r w:rsidRPr="00013B24">
              <w:rPr>
                <w:rFonts w:ascii="Times New Roman" w:eastAsia="Calibri" w:hAnsi="Times New Roman" w:cs="Times New Roman"/>
                <w:sz w:val="24"/>
                <w:szCs w:val="24"/>
                <w:lang w:val="en-US" w:eastAsia="en-US"/>
              </w:rPr>
              <w:t>Li et al. (2020), Rupakheti et al. (2017)</w:t>
            </w:r>
          </w:p>
        </w:tc>
      </w:tr>
      <w:tr w:rsidR="00013B24" w:rsidRPr="00013B24" w14:paraId="6C8F64B1" w14:textId="77777777" w:rsidTr="00013B24">
        <w:trPr>
          <w:gridAfter w:val="2"/>
          <w:wAfter w:w="10227" w:type="dxa"/>
        </w:trPr>
        <w:tc>
          <w:tcPr>
            <w:tcW w:w="1276" w:type="dxa"/>
            <w:vMerge/>
            <w:tcBorders>
              <w:left w:val="nil"/>
              <w:bottom w:val="single" w:sz="12" w:space="0" w:color="auto"/>
              <w:right w:val="nil"/>
            </w:tcBorders>
            <w:shd w:val="clear" w:color="auto" w:fill="auto"/>
            <w:vAlign w:val="center"/>
          </w:tcPr>
          <w:p w14:paraId="4659192F" w14:textId="77777777" w:rsidR="00013B24" w:rsidRPr="00013B24" w:rsidRDefault="00013B24" w:rsidP="00013B24">
            <w:pPr>
              <w:spacing w:after="160"/>
              <w:jc w:val="center"/>
              <w:rPr>
                <w:rFonts w:ascii="Times New Roman" w:eastAsia="Calibri" w:hAnsi="Times New Roman" w:cs="Times New Roman"/>
                <w:sz w:val="24"/>
                <w:szCs w:val="24"/>
                <w:lang w:val="pt-BR" w:eastAsia="en-US"/>
              </w:rPr>
            </w:pPr>
          </w:p>
        </w:tc>
        <w:tc>
          <w:tcPr>
            <w:tcW w:w="3260" w:type="dxa"/>
            <w:tcBorders>
              <w:top w:val="single" w:sz="4" w:space="0" w:color="auto"/>
              <w:left w:val="nil"/>
              <w:bottom w:val="single" w:sz="12" w:space="0" w:color="auto"/>
              <w:right w:val="nil"/>
            </w:tcBorders>
            <w:shd w:val="clear" w:color="auto" w:fill="auto"/>
            <w:vAlign w:val="center"/>
          </w:tcPr>
          <w:p w14:paraId="6327F92A" w14:textId="6D5090F3" w:rsidR="00013B24" w:rsidRPr="00013B24" w:rsidRDefault="00717035"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Waterway transport</w:t>
            </w:r>
          </w:p>
        </w:tc>
        <w:tc>
          <w:tcPr>
            <w:tcW w:w="4536" w:type="dxa"/>
            <w:tcBorders>
              <w:top w:val="single" w:sz="4" w:space="0" w:color="auto"/>
              <w:left w:val="nil"/>
              <w:bottom w:val="single" w:sz="12" w:space="0" w:color="auto"/>
              <w:right w:val="nil"/>
            </w:tcBorders>
            <w:shd w:val="clear" w:color="auto" w:fill="auto"/>
            <w:vAlign w:val="center"/>
          </w:tcPr>
          <w:p w14:paraId="0F8E98FA"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r w:rsidRPr="00013B24">
              <w:rPr>
                <w:rFonts w:ascii="Times New Roman" w:eastAsia="Calibri" w:hAnsi="Times New Roman" w:cs="Times New Roman"/>
                <w:sz w:val="24"/>
                <w:szCs w:val="24"/>
                <w:lang w:val="pt-BR" w:eastAsia="en-US"/>
              </w:rPr>
              <w:t>Zhuang et al. (2019)</w:t>
            </w:r>
          </w:p>
        </w:tc>
      </w:tr>
      <w:tr w:rsidR="00013B24" w:rsidRPr="00013B24" w14:paraId="3217E256" w14:textId="77777777" w:rsidTr="00013B24">
        <w:trPr>
          <w:gridAfter w:val="2"/>
          <w:wAfter w:w="10227" w:type="dxa"/>
        </w:trPr>
        <w:tc>
          <w:tcPr>
            <w:tcW w:w="1276" w:type="dxa"/>
            <w:vMerge w:val="restart"/>
            <w:tcBorders>
              <w:top w:val="single" w:sz="12" w:space="0" w:color="auto"/>
              <w:left w:val="nil"/>
              <w:right w:val="nil"/>
            </w:tcBorders>
            <w:shd w:val="clear" w:color="auto" w:fill="auto"/>
            <w:vAlign w:val="center"/>
          </w:tcPr>
          <w:p w14:paraId="5416CB24" w14:textId="77777777" w:rsidR="00013B24" w:rsidRPr="00013B24" w:rsidRDefault="00013B24" w:rsidP="00013B24">
            <w:pPr>
              <w:spacing w:after="160"/>
              <w:jc w:val="center"/>
              <w:rPr>
                <w:rFonts w:ascii="Times New Roman" w:eastAsia="Calibri" w:hAnsi="Times New Roman" w:cs="Times New Roman"/>
                <w:b/>
                <w:bCs/>
                <w:sz w:val="24"/>
                <w:szCs w:val="24"/>
                <w:lang w:val="pt-BR" w:eastAsia="en-US"/>
              </w:rPr>
            </w:pPr>
            <w:r w:rsidRPr="00013B24">
              <w:rPr>
                <w:rFonts w:ascii="Times New Roman" w:eastAsia="Calibri" w:hAnsi="Times New Roman" w:cs="Times New Roman"/>
                <w:b/>
                <w:bCs/>
                <w:sz w:val="24"/>
                <w:szCs w:val="24"/>
                <w:lang w:val="pt-BR" w:eastAsia="en-US"/>
              </w:rPr>
              <w:t>Fe</w:t>
            </w:r>
          </w:p>
        </w:tc>
        <w:tc>
          <w:tcPr>
            <w:tcW w:w="3260" w:type="dxa"/>
            <w:tcBorders>
              <w:top w:val="single" w:sz="12" w:space="0" w:color="auto"/>
              <w:left w:val="nil"/>
              <w:bottom w:val="single" w:sz="4" w:space="0" w:color="auto"/>
              <w:right w:val="nil"/>
            </w:tcBorders>
            <w:shd w:val="clear" w:color="auto" w:fill="auto"/>
            <w:vAlign w:val="center"/>
          </w:tcPr>
          <w:p w14:paraId="097C1333" w14:textId="00A70D8B" w:rsidR="00013B24" w:rsidRPr="00013B24" w:rsidRDefault="00A41699"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Mining</w:t>
            </w:r>
          </w:p>
        </w:tc>
        <w:tc>
          <w:tcPr>
            <w:tcW w:w="4536" w:type="dxa"/>
            <w:tcBorders>
              <w:top w:val="single" w:sz="12" w:space="0" w:color="auto"/>
              <w:left w:val="nil"/>
              <w:bottom w:val="single" w:sz="4" w:space="0" w:color="auto"/>
              <w:right w:val="nil"/>
            </w:tcBorders>
            <w:shd w:val="clear" w:color="auto" w:fill="auto"/>
            <w:vAlign w:val="center"/>
          </w:tcPr>
          <w:p w14:paraId="77F94D50" w14:textId="77777777" w:rsidR="00013B24" w:rsidRPr="00013B24" w:rsidRDefault="00013B24" w:rsidP="00013B24">
            <w:pPr>
              <w:spacing w:after="160"/>
              <w:jc w:val="both"/>
              <w:rPr>
                <w:rFonts w:ascii="Times New Roman" w:eastAsia="Calibri" w:hAnsi="Times New Roman" w:cs="Times New Roman"/>
                <w:sz w:val="24"/>
                <w:szCs w:val="24"/>
                <w:lang w:val="pt-BR" w:eastAsia="en-US"/>
              </w:rPr>
            </w:pPr>
            <w:r w:rsidRPr="00013B24">
              <w:rPr>
                <w:rFonts w:ascii="Times New Roman" w:eastAsia="Calibri" w:hAnsi="Times New Roman" w:cs="Times New Roman"/>
                <w:sz w:val="24"/>
                <w:szCs w:val="24"/>
                <w:lang w:val="pt-BR" w:eastAsia="en-US"/>
              </w:rPr>
              <w:t xml:space="preserve">Sarmiento et al. (2011), Santana et al. </w:t>
            </w:r>
            <w:r w:rsidRPr="00013B24">
              <w:rPr>
                <w:rFonts w:ascii="Times New Roman" w:eastAsia="Calibri" w:hAnsi="Times New Roman" w:cs="Times New Roman"/>
                <w:sz w:val="24"/>
                <w:szCs w:val="24"/>
                <w:lang w:val="en-US" w:eastAsia="en-US"/>
              </w:rPr>
              <w:t xml:space="preserve">(2020), O'Neill et al. (2015), Kovács et al. </w:t>
            </w:r>
            <w:r w:rsidRPr="00013B24">
              <w:rPr>
                <w:rFonts w:ascii="Times New Roman" w:eastAsia="Calibri" w:hAnsi="Times New Roman" w:cs="Times New Roman"/>
                <w:sz w:val="24"/>
                <w:szCs w:val="24"/>
                <w:lang w:val="pt-BR" w:eastAsia="en-US"/>
              </w:rPr>
              <w:t>(2012), Yuan et al. (2019)</w:t>
            </w:r>
          </w:p>
        </w:tc>
      </w:tr>
      <w:tr w:rsidR="00013B24" w:rsidRPr="00013B24" w14:paraId="14A64044" w14:textId="77777777" w:rsidTr="00013B24">
        <w:trPr>
          <w:gridAfter w:val="2"/>
          <w:wAfter w:w="10227" w:type="dxa"/>
        </w:trPr>
        <w:tc>
          <w:tcPr>
            <w:tcW w:w="1276" w:type="dxa"/>
            <w:vMerge/>
            <w:tcBorders>
              <w:left w:val="nil"/>
              <w:right w:val="nil"/>
            </w:tcBorders>
            <w:shd w:val="clear" w:color="auto" w:fill="auto"/>
          </w:tcPr>
          <w:p w14:paraId="5952C2D9" w14:textId="77777777" w:rsidR="00013B24" w:rsidRPr="00013B24" w:rsidRDefault="00013B24" w:rsidP="00013B24">
            <w:pPr>
              <w:spacing w:after="160"/>
              <w:jc w:val="both"/>
              <w:rPr>
                <w:rFonts w:ascii="Times New Roman" w:eastAsia="Calibri" w:hAnsi="Times New Roman" w:cs="Times New Roman"/>
                <w:sz w:val="24"/>
                <w:szCs w:val="24"/>
                <w:lang w:val="pt-BR" w:eastAsia="en-US"/>
              </w:rPr>
            </w:pPr>
          </w:p>
        </w:tc>
        <w:tc>
          <w:tcPr>
            <w:tcW w:w="3260" w:type="dxa"/>
            <w:tcBorders>
              <w:top w:val="single" w:sz="4" w:space="0" w:color="auto"/>
              <w:left w:val="nil"/>
              <w:bottom w:val="single" w:sz="4" w:space="0" w:color="auto"/>
              <w:right w:val="nil"/>
            </w:tcBorders>
            <w:shd w:val="clear" w:color="auto" w:fill="auto"/>
            <w:vAlign w:val="center"/>
          </w:tcPr>
          <w:p w14:paraId="5709F538" w14:textId="480F78AC" w:rsidR="00013B24" w:rsidRPr="00013B24" w:rsidRDefault="00A41699"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Agriculture</w:t>
            </w:r>
          </w:p>
        </w:tc>
        <w:tc>
          <w:tcPr>
            <w:tcW w:w="4536" w:type="dxa"/>
            <w:tcBorders>
              <w:top w:val="single" w:sz="4" w:space="0" w:color="auto"/>
              <w:left w:val="nil"/>
              <w:bottom w:val="single" w:sz="4" w:space="0" w:color="auto"/>
              <w:right w:val="nil"/>
            </w:tcBorders>
            <w:shd w:val="clear" w:color="auto" w:fill="auto"/>
            <w:vAlign w:val="center"/>
          </w:tcPr>
          <w:p w14:paraId="34113EE2"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r w:rsidRPr="00013B24">
              <w:rPr>
                <w:rFonts w:ascii="Times New Roman" w:eastAsia="Calibri" w:hAnsi="Times New Roman" w:cs="Times New Roman"/>
                <w:sz w:val="24"/>
                <w:szCs w:val="24"/>
                <w:lang w:val="en-US" w:eastAsia="en-US"/>
              </w:rPr>
              <w:t>Nde; Mathuthu (2018)</w:t>
            </w:r>
          </w:p>
        </w:tc>
      </w:tr>
      <w:tr w:rsidR="00013B24" w:rsidRPr="00013B24" w14:paraId="7B12EBE3" w14:textId="77777777" w:rsidTr="00013B24">
        <w:trPr>
          <w:gridAfter w:val="2"/>
          <w:wAfter w:w="10227" w:type="dxa"/>
        </w:trPr>
        <w:tc>
          <w:tcPr>
            <w:tcW w:w="1276" w:type="dxa"/>
            <w:vMerge/>
            <w:tcBorders>
              <w:left w:val="nil"/>
              <w:right w:val="nil"/>
            </w:tcBorders>
            <w:shd w:val="clear" w:color="auto" w:fill="auto"/>
          </w:tcPr>
          <w:p w14:paraId="48FC3437" w14:textId="77777777" w:rsidR="00013B24" w:rsidRPr="00013B24" w:rsidRDefault="00013B24" w:rsidP="00013B24">
            <w:pPr>
              <w:spacing w:after="160"/>
              <w:jc w:val="both"/>
              <w:rPr>
                <w:rFonts w:ascii="Times New Roman" w:eastAsia="Calibri" w:hAnsi="Times New Roman" w:cs="Times New Roman"/>
                <w:sz w:val="24"/>
                <w:szCs w:val="24"/>
                <w:lang w:val="pt-BR" w:eastAsia="en-US"/>
              </w:rPr>
            </w:pPr>
          </w:p>
        </w:tc>
        <w:tc>
          <w:tcPr>
            <w:tcW w:w="3260" w:type="dxa"/>
            <w:tcBorders>
              <w:top w:val="single" w:sz="4" w:space="0" w:color="auto"/>
              <w:left w:val="nil"/>
              <w:bottom w:val="single" w:sz="4" w:space="0" w:color="auto"/>
              <w:right w:val="nil"/>
            </w:tcBorders>
            <w:shd w:val="clear" w:color="auto" w:fill="auto"/>
            <w:vAlign w:val="center"/>
          </w:tcPr>
          <w:p w14:paraId="0E6BEEB6" w14:textId="34CB7D6F" w:rsidR="00013B24" w:rsidRPr="00013B24" w:rsidRDefault="00A41699"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Domestic effluents</w:t>
            </w:r>
          </w:p>
        </w:tc>
        <w:tc>
          <w:tcPr>
            <w:tcW w:w="4536" w:type="dxa"/>
            <w:tcBorders>
              <w:top w:val="single" w:sz="4" w:space="0" w:color="auto"/>
              <w:left w:val="nil"/>
              <w:bottom w:val="single" w:sz="4" w:space="0" w:color="auto"/>
              <w:right w:val="nil"/>
            </w:tcBorders>
            <w:shd w:val="clear" w:color="auto" w:fill="auto"/>
            <w:vAlign w:val="center"/>
          </w:tcPr>
          <w:p w14:paraId="5DB16F97" w14:textId="77777777" w:rsidR="00013B24" w:rsidRPr="00013B24" w:rsidRDefault="00013B24" w:rsidP="00013B24">
            <w:pPr>
              <w:spacing w:after="160" w:line="259" w:lineRule="auto"/>
              <w:jc w:val="both"/>
              <w:rPr>
                <w:rFonts w:ascii="Times New Roman" w:eastAsia="Calibri" w:hAnsi="Times New Roman" w:cs="Times New Roman"/>
                <w:color w:val="000000"/>
                <w:sz w:val="24"/>
                <w:lang w:val="pt-BR" w:eastAsia="en-US"/>
              </w:rPr>
            </w:pPr>
            <w:r w:rsidRPr="00013B24">
              <w:rPr>
                <w:rFonts w:ascii="Times New Roman" w:eastAsia="Calibri" w:hAnsi="Times New Roman" w:cs="Times New Roman"/>
                <w:color w:val="000000"/>
                <w:sz w:val="24"/>
                <w:lang w:val="pt-BR" w:eastAsia="en-US"/>
              </w:rPr>
              <w:t>Pratap; Mani; Prasad (2020)</w:t>
            </w:r>
          </w:p>
        </w:tc>
      </w:tr>
      <w:tr w:rsidR="00013B24" w:rsidRPr="00013B24" w14:paraId="482A4E9D" w14:textId="77777777" w:rsidTr="00013B24">
        <w:trPr>
          <w:gridAfter w:val="2"/>
          <w:wAfter w:w="10227" w:type="dxa"/>
        </w:trPr>
        <w:tc>
          <w:tcPr>
            <w:tcW w:w="1276" w:type="dxa"/>
            <w:vMerge/>
            <w:tcBorders>
              <w:left w:val="nil"/>
              <w:bottom w:val="single" w:sz="12" w:space="0" w:color="auto"/>
              <w:right w:val="nil"/>
            </w:tcBorders>
            <w:shd w:val="clear" w:color="auto" w:fill="auto"/>
          </w:tcPr>
          <w:p w14:paraId="1FF06338"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p>
        </w:tc>
        <w:tc>
          <w:tcPr>
            <w:tcW w:w="3260" w:type="dxa"/>
            <w:tcBorders>
              <w:top w:val="single" w:sz="4" w:space="0" w:color="auto"/>
              <w:left w:val="nil"/>
              <w:bottom w:val="single" w:sz="12" w:space="0" w:color="auto"/>
              <w:right w:val="nil"/>
            </w:tcBorders>
            <w:shd w:val="clear" w:color="auto" w:fill="auto"/>
            <w:vAlign w:val="center"/>
          </w:tcPr>
          <w:p w14:paraId="641B29A4" w14:textId="729AABEC" w:rsidR="00013B24" w:rsidRPr="00013B24" w:rsidRDefault="00A41699"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Industrial effluents</w:t>
            </w:r>
            <w:r w:rsidR="00013B24" w:rsidRPr="00013B24">
              <w:rPr>
                <w:rFonts w:ascii="Times New Roman" w:eastAsia="Calibri" w:hAnsi="Times New Roman" w:cs="Times New Roman"/>
                <w:sz w:val="24"/>
                <w:szCs w:val="24"/>
                <w:lang w:val="pt-BR" w:eastAsia="en-US"/>
              </w:rPr>
              <w:t xml:space="preserve"> </w:t>
            </w:r>
          </w:p>
        </w:tc>
        <w:tc>
          <w:tcPr>
            <w:tcW w:w="4536" w:type="dxa"/>
            <w:tcBorders>
              <w:top w:val="single" w:sz="4" w:space="0" w:color="auto"/>
              <w:left w:val="nil"/>
              <w:bottom w:val="single" w:sz="12" w:space="0" w:color="auto"/>
              <w:right w:val="nil"/>
            </w:tcBorders>
            <w:shd w:val="clear" w:color="auto" w:fill="auto"/>
            <w:vAlign w:val="center"/>
          </w:tcPr>
          <w:p w14:paraId="011971AB" w14:textId="77777777" w:rsidR="00013B24" w:rsidRPr="00013B24" w:rsidRDefault="00013B24" w:rsidP="00013B24">
            <w:pPr>
              <w:spacing w:after="160"/>
              <w:jc w:val="both"/>
              <w:rPr>
                <w:rFonts w:ascii="Times New Roman" w:eastAsia="Calibri" w:hAnsi="Times New Roman" w:cs="Times New Roman"/>
                <w:sz w:val="24"/>
                <w:szCs w:val="24"/>
                <w:lang w:val="pt-BR" w:eastAsia="en-US"/>
              </w:rPr>
            </w:pPr>
            <w:r w:rsidRPr="00013B24">
              <w:rPr>
                <w:rFonts w:ascii="Times New Roman" w:eastAsia="Calibri" w:hAnsi="Times New Roman" w:cs="Times New Roman"/>
                <w:sz w:val="24"/>
                <w:szCs w:val="24"/>
                <w:lang w:val="pt-BR" w:eastAsia="en-US"/>
              </w:rPr>
              <w:t>Yuan et al. (2019)</w:t>
            </w:r>
          </w:p>
        </w:tc>
      </w:tr>
      <w:tr w:rsidR="00013B24" w:rsidRPr="00013B24" w14:paraId="00B61B66" w14:textId="77777777" w:rsidTr="00013B24">
        <w:trPr>
          <w:gridAfter w:val="2"/>
          <w:wAfter w:w="10227" w:type="dxa"/>
        </w:trPr>
        <w:tc>
          <w:tcPr>
            <w:tcW w:w="1276" w:type="dxa"/>
            <w:vMerge w:val="restart"/>
            <w:tcBorders>
              <w:top w:val="single" w:sz="12" w:space="0" w:color="auto"/>
              <w:left w:val="nil"/>
              <w:right w:val="nil"/>
            </w:tcBorders>
            <w:shd w:val="clear" w:color="auto" w:fill="auto"/>
            <w:vAlign w:val="center"/>
          </w:tcPr>
          <w:p w14:paraId="1A16BE4C" w14:textId="77777777" w:rsidR="00013B24" w:rsidRPr="00013B24" w:rsidRDefault="00013B24" w:rsidP="00013B24">
            <w:pPr>
              <w:spacing w:after="160"/>
              <w:jc w:val="center"/>
              <w:rPr>
                <w:rFonts w:ascii="Times New Roman" w:eastAsia="Calibri" w:hAnsi="Times New Roman" w:cs="Times New Roman"/>
                <w:b/>
                <w:bCs/>
                <w:sz w:val="24"/>
                <w:szCs w:val="24"/>
                <w:lang w:val="pt-BR" w:eastAsia="en-US"/>
              </w:rPr>
            </w:pPr>
            <w:r w:rsidRPr="00013B24">
              <w:rPr>
                <w:rFonts w:ascii="Times New Roman" w:eastAsia="Calibri" w:hAnsi="Times New Roman" w:cs="Times New Roman"/>
                <w:b/>
                <w:bCs/>
                <w:sz w:val="24"/>
                <w:szCs w:val="24"/>
                <w:lang w:val="pt-BR" w:eastAsia="en-US"/>
              </w:rPr>
              <w:t>Hg</w:t>
            </w:r>
          </w:p>
        </w:tc>
        <w:tc>
          <w:tcPr>
            <w:tcW w:w="3260" w:type="dxa"/>
            <w:tcBorders>
              <w:top w:val="single" w:sz="12" w:space="0" w:color="auto"/>
              <w:left w:val="nil"/>
              <w:bottom w:val="single" w:sz="4" w:space="0" w:color="auto"/>
              <w:right w:val="nil"/>
            </w:tcBorders>
            <w:shd w:val="clear" w:color="auto" w:fill="auto"/>
            <w:vAlign w:val="center"/>
          </w:tcPr>
          <w:p w14:paraId="758F1FB4" w14:textId="7AA26856" w:rsidR="00013B24" w:rsidRPr="00013B24" w:rsidRDefault="00A41699"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Mining</w:t>
            </w:r>
          </w:p>
        </w:tc>
        <w:tc>
          <w:tcPr>
            <w:tcW w:w="4536" w:type="dxa"/>
            <w:tcBorders>
              <w:top w:val="single" w:sz="12" w:space="0" w:color="auto"/>
              <w:left w:val="nil"/>
              <w:bottom w:val="single" w:sz="4" w:space="0" w:color="auto"/>
              <w:right w:val="nil"/>
            </w:tcBorders>
            <w:shd w:val="clear" w:color="auto" w:fill="auto"/>
            <w:vAlign w:val="center"/>
          </w:tcPr>
          <w:p w14:paraId="0EC04224" w14:textId="77777777" w:rsidR="00013B24" w:rsidRPr="00013B24" w:rsidRDefault="00013B24" w:rsidP="00013B24">
            <w:pPr>
              <w:spacing w:after="160"/>
              <w:jc w:val="both"/>
              <w:rPr>
                <w:rFonts w:ascii="Times New Roman" w:eastAsia="Calibri" w:hAnsi="Times New Roman" w:cs="Times New Roman"/>
                <w:sz w:val="24"/>
                <w:szCs w:val="24"/>
                <w:lang w:val="pt-BR" w:eastAsia="en-US"/>
              </w:rPr>
            </w:pPr>
            <w:r w:rsidRPr="00013B24">
              <w:rPr>
                <w:rFonts w:ascii="Times New Roman" w:eastAsia="Calibri" w:hAnsi="Times New Roman" w:cs="Times New Roman"/>
                <w:sz w:val="24"/>
                <w:szCs w:val="24"/>
                <w:lang w:val="en-US" w:eastAsia="en-US"/>
              </w:rPr>
              <w:t xml:space="preserve">Santos et al. (2020), Appleton et al. </w:t>
            </w:r>
            <w:r w:rsidRPr="00013B24">
              <w:rPr>
                <w:rFonts w:ascii="Times New Roman" w:eastAsia="Calibri" w:hAnsi="Times New Roman" w:cs="Times New Roman"/>
                <w:sz w:val="24"/>
                <w:szCs w:val="24"/>
                <w:lang w:val="pt-BR" w:eastAsia="en-US"/>
              </w:rPr>
              <w:t xml:space="preserve">(2000), Gemici (2008), Obaje et al. (2019), González-Fernández et al. </w:t>
            </w:r>
            <w:r w:rsidRPr="00013B24">
              <w:rPr>
                <w:rFonts w:ascii="Times New Roman" w:eastAsia="Calibri" w:hAnsi="Times New Roman" w:cs="Times New Roman"/>
                <w:sz w:val="24"/>
                <w:szCs w:val="24"/>
                <w:lang w:val="en-US" w:eastAsia="en-US"/>
              </w:rPr>
              <w:t>(2018), Loredo; Ordóñez; Álvarez (2006), Modabberi; Moore (2004)</w:t>
            </w:r>
          </w:p>
        </w:tc>
      </w:tr>
      <w:tr w:rsidR="00013B24" w:rsidRPr="00013B24" w14:paraId="6F0BA861" w14:textId="77777777" w:rsidTr="00013B24">
        <w:trPr>
          <w:gridAfter w:val="2"/>
          <w:wAfter w:w="10227" w:type="dxa"/>
        </w:trPr>
        <w:tc>
          <w:tcPr>
            <w:tcW w:w="1276" w:type="dxa"/>
            <w:vMerge/>
            <w:tcBorders>
              <w:left w:val="nil"/>
              <w:right w:val="nil"/>
            </w:tcBorders>
            <w:shd w:val="clear" w:color="auto" w:fill="auto"/>
            <w:vAlign w:val="center"/>
          </w:tcPr>
          <w:p w14:paraId="6545D3FF" w14:textId="77777777" w:rsidR="00013B24" w:rsidRPr="00013B24" w:rsidRDefault="00013B24" w:rsidP="00013B24">
            <w:pPr>
              <w:spacing w:after="160"/>
              <w:jc w:val="center"/>
              <w:rPr>
                <w:rFonts w:ascii="Times New Roman" w:eastAsia="Calibri" w:hAnsi="Times New Roman" w:cs="Times New Roman"/>
                <w:sz w:val="24"/>
                <w:szCs w:val="24"/>
                <w:lang w:val="pt-BR" w:eastAsia="en-US"/>
              </w:rPr>
            </w:pPr>
          </w:p>
        </w:tc>
        <w:tc>
          <w:tcPr>
            <w:tcW w:w="3260" w:type="dxa"/>
            <w:tcBorders>
              <w:top w:val="single" w:sz="4" w:space="0" w:color="auto"/>
              <w:left w:val="nil"/>
              <w:bottom w:val="single" w:sz="4" w:space="0" w:color="auto"/>
              <w:right w:val="nil"/>
            </w:tcBorders>
            <w:shd w:val="clear" w:color="auto" w:fill="auto"/>
            <w:vAlign w:val="center"/>
          </w:tcPr>
          <w:p w14:paraId="42E2C377" w14:textId="3B0EE04B" w:rsidR="00013B24" w:rsidRPr="00013B24" w:rsidRDefault="00A41699"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Agriculture</w:t>
            </w:r>
          </w:p>
        </w:tc>
        <w:tc>
          <w:tcPr>
            <w:tcW w:w="4536" w:type="dxa"/>
            <w:tcBorders>
              <w:top w:val="single" w:sz="4" w:space="0" w:color="auto"/>
              <w:left w:val="nil"/>
              <w:bottom w:val="single" w:sz="4" w:space="0" w:color="auto"/>
              <w:right w:val="nil"/>
            </w:tcBorders>
            <w:shd w:val="clear" w:color="auto" w:fill="auto"/>
            <w:vAlign w:val="center"/>
          </w:tcPr>
          <w:p w14:paraId="10718BC4"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r w:rsidRPr="00013B24">
              <w:rPr>
                <w:rFonts w:ascii="Times New Roman" w:eastAsia="Calibri" w:hAnsi="Times New Roman" w:cs="Times New Roman"/>
                <w:sz w:val="24"/>
                <w:szCs w:val="24"/>
                <w:lang w:val="en-US" w:eastAsia="en-US"/>
              </w:rPr>
              <w:t>Yuan et al. (2019), Wang et al. (2020b), Huang (2020a), Yuan et al. (2019), Xiao et al. (2019)</w:t>
            </w:r>
          </w:p>
        </w:tc>
      </w:tr>
      <w:tr w:rsidR="00013B24" w:rsidRPr="00013B24" w14:paraId="13C89274" w14:textId="77777777" w:rsidTr="00013B24">
        <w:trPr>
          <w:gridAfter w:val="2"/>
          <w:wAfter w:w="10227" w:type="dxa"/>
        </w:trPr>
        <w:tc>
          <w:tcPr>
            <w:tcW w:w="1276" w:type="dxa"/>
            <w:vMerge/>
            <w:tcBorders>
              <w:left w:val="nil"/>
              <w:right w:val="nil"/>
            </w:tcBorders>
            <w:shd w:val="clear" w:color="auto" w:fill="auto"/>
            <w:vAlign w:val="center"/>
          </w:tcPr>
          <w:p w14:paraId="2D478AB3" w14:textId="77777777" w:rsidR="00013B24" w:rsidRPr="00013B24" w:rsidRDefault="00013B24" w:rsidP="00013B24">
            <w:pPr>
              <w:spacing w:after="160"/>
              <w:jc w:val="center"/>
              <w:rPr>
                <w:rFonts w:ascii="Times New Roman" w:eastAsia="Calibri" w:hAnsi="Times New Roman" w:cs="Times New Roman"/>
                <w:sz w:val="24"/>
                <w:szCs w:val="24"/>
                <w:lang w:val="en-US" w:eastAsia="en-US"/>
              </w:rPr>
            </w:pPr>
          </w:p>
        </w:tc>
        <w:tc>
          <w:tcPr>
            <w:tcW w:w="3260" w:type="dxa"/>
            <w:tcBorders>
              <w:top w:val="single" w:sz="4" w:space="0" w:color="auto"/>
              <w:left w:val="nil"/>
              <w:bottom w:val="single" w:sz="4" w:space="0" w:color="auto"/>
              <w:right w:val="nil"/>
            </w:tcBorders>
            <w:shd w:val="clear" w:color="auto" w:fill="auto"/>
            <w:vAlign w:val="center"/>
          </w:tcPr>
          <w:p w14:paraId="2CA0B970" w14:textId="7BDADCBD" w:rsidR="00013B24" w:rsidRPr="00013B24" w:rsidRDefault="00A41699"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Industries</w:t>
            </w:r>
          </w:p>
        </w:tc>
        <w:tc>
          <w:tcPr>
            <w:tcW w:w="4536" w:type="dxa"/>
            <w:tcBorders>
              <w:top w:val="single" w:sz="4" w:space="0" w:color="auto"/>
              <w:left w:val="nil"/>
              <w:bottom w:val="single" w:sz="4" w:space="0" w:color="auto"/>
              <w:right w:val="nil"/>
            </w:tcBorders>
            <w:shd w:val="clear" w:color="auto" w:fill="auto"/>
            <w:vAlign w:val="center"/>
          </w:tcPr>
          <w:p w14:paraId="2CF6D14F" w14:textId="77777777" w:rsidR="00013B24" w:rsidRPr="00013B24" w:rsidRDefault="00013B24" w:rsidP="00013B24">
            <w:pPr>
              <w:spacing w:after="160"/>
              <w:jc w:val="both"/>
              <w:rPr>
                <w:rFonts w:ascii="Times New Roman" w:eastAsia="Calibri" w:hAnsi="Times New Roman" w:cs="Times New Roman"/>
                <w:sz w:val="24"/>
                <w:szCs w:val="24"/>
                <w:lang w:val="pt-BR" w:eastAsia="en-US"/>
              </w:rPr>
            </w:pPr>
            <w:r w:rsidRPr="00013B24">
              <w:rPr>
                <w:rFonts w:ascii="Times New Roman" w:eastAsia="Calibri" w:hAnsi="Times New Roman" w:cs="Times New Roman"/>
                <w:sz w:val="24"/>
                <w:szCs w:val="24"/>
                <w:lang w:val="en-US" w:eastAsia="en-US"/>
              </w:rPr>
              <w:t>Niu et al. (2020), Roig et al. (2011), Sheykhi; Moore (2013)</w:t>
            </w:r>
          </w:p>
        </w:tc>
      </w:tr>
      <w:tr w:rsidR="00013B24" w:rsidRPr="00013B24" w14:paraId="0FC2EFC1" w14:textId="77777777" w:rsidTr="00013B24">
        <w:trPr>
          <w:gridAfter w:val="2"/>
          <w:wAfter w:w="10227" w:type="dxa"/>
        </w:trPr>
        <w:tc>
          <w:tcPr>
            <w:tcW w:w="1276" w:type="dxa"/>
            <w:vMerge/>
            <w:tcBorders>
              <w:left w:val="nil"/>
              <w:right w:val="nil"/>
            </w:tcBorders>
            <w:shd w:val="clear" w:color="auto" w:fill="auto"/>
            <w:vAlign w:val="center"/>
          </w:tcPr>
          <w:p w14:paraId="10A71BF3" w14:textId="77777777" w:rsidR="00013B24" w:rsidRPr="00013B24" w:rsidRDefault="00013B24" w:rsidP="00013B24">
            <w:pPr>
              <w:spacing w:after="160"/>
              <w:jc w:val="center"/>
              <w:rPr>
                <w:rFonts w:ascii="Times New Roman" w:eastAsia="Calibri" w:hAnsi="Times New Roman" w:cs="Times New Roman"/>
                <w:sz w:val="24"/>
                <w:szCs w:val="24"/>
                <w:lang w:val="pt-BR" w:eastAsia="en-US"/>
              </w:rPr>
            </w:pPr>
          </w:p>
        </w:tc>
        <w:tc>
          <w:tcPr>
            <w:tcW w:w="3260" w:type="dxa"/>
            <w:tcBorders>
              <w:top w:val="single" w:sz="4" w:space="0" w:color="auto"/>
              <w:left w:val="nil"/>
              <w:bottom w:val="single" w:sz="4" w:space="0" w:color="auto"/>
              <w:right w:val="nil"/>
            </w:tcBorders>
            <w:shd w:val="clear" w:color="auto" w:fill="auto"/>
            <w:vAlign w:val="center"/>
          </w:tcPr>
          <w:p w14:paraId="75E7E867" w14:textId="11AA6316" w:rsidR="00013B24" w:rsidRPr="00013B24" w:rsidRDefault="00A41699"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Traffic</w:t>
            </w:r>
          </w:p>
        </w:tc>
        <w:tc>
          <w:tcPr>
            <w:tcW w:w="4536" w:type="dxa"/>
            <w:tcBorders>
              <w:top w:val="single" w:sz="4" w:space="0" w:color="auto"/>
              <w:left w:val="nil"/>
              <w:bottom w:val="single" w:sz="4" w:space="0" w:color="auto"/>
              <w:right w:val="nil"/>
            </w:tcBorders>
            <w:shd w:val="clear" w:color="auto" w:fill="auto"/>
            <w:vAlign w:val="center"/>
          </w:tcPr>
          <w:p w14:paraId="5CCBC149"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r w:rsidRPr="00013B24">
              <w:rPr>
                <w:rFonts w:ascii="Times New Roman" w:eastAsia="Calibri" w:hAnsi="Times New Roman" w:cs="Times New Roman"/>
                <w:sz w:val="24"/>
                <w:szCs w:val="24"/>
                <w:lang w:val="en-US" w:eastAsia="en-US"/>
              </w:rPr>
              <w:t>Peng et al. (2020), Liu; Zhang; Zhang (2017)</w:t>
            </w:r>
          </w:p>
        </w:tc>
      </w:tr>
      <w:tr w:rsidR="00013B24" w:rsidRPr="00013B24" w14:paraId="09676E23" w14:textId="77777777" w:rsidTr="00013B24">
        <w:trPr>
          <w:gridAfter w:val="2"/>
          <w:wAfter w:w="10227" w:type="dxa"/>
        </w:trPr>
        <w:tc>
          <w:tcPr>
            <w:tcW w:w="1276" w:type="dxa"/>
            <w:vMerge/>
            <w:tcBorders>
              <w:left w:val="nil"/>
              <w:right w:val="nil"/>
            </w:tcBorders>
            <w:shd w:val="clear" w:color="auto" w:fill="auto"/>
            <w:vAlign w:val="center"/>
          </w:tcPr>
          <w:p w14:paraId="4474779C" w14:textId="77777777" w:rsidR="00013B24" w:rsidRPr="00013B24" w:rsidRDefault="00013B24" w:rsidP="00013B24">
            <w:pPr>
              <w:spacing w:after="160"/>
              <w:jc w:val="center"/>
              <w:rPr>
                <w:rFonts w:ascii="Times New Roman" w:eastAsia="Calibri" w:hAnsi="Times New Roman" w:cs="Times New Roman"/>
                <w:sz w:val="24"/>
                <w:szCs w:val="24"/>
                <w:lang w:val="en-US" w:eastAsia="en-US"/>
              </w:rPr>
            </w:pPr>
          </w:p>
        </w:tc>
        <w:tc>
          <w:tcPr>
            <w:tcW w:w="3260" w:type="dxa"/>
            <w:tcBorders>
              <w:top w:val="single" w:sz="4" w:space="0" w:color="auto"/>
              <w:left w:val="nil"/>
              <w:bottom w:val="single" w:sz="4" w:space="0" w:color="auto"/>
              <w:right w:val="nil"/>
            </w:tcBorders>
            <w:shd w:val="clear" w:color="auto" w:fill="auto"/>
            <w:vAlign w:val="center"/>
          </w:tcPr>
          <w:p w14:paraId="431D73DD" w14:textId="77777777" w:rsidR="00013B24" w:rsidRPr="00013B24" w:rsidRDefault="00013B24" w:rsidP="00013B24">
            <w:pPr>
              <w:spacing w:after="160"/>
              <w:rPr>
                <w:rFonts w:ascii="Times New Roman" w:eastAsia="Calibri" w:hAnsi="Times New Roman" w:cs="Times New Roman"/>
                <w:sz w:val="24"/>
                <w:szCs w:val="24"/>
                <w:lang w:val="pt-BR" w:eastAsia="en-US"/>
              </w:rPr>
            </w:pPr>
            <w:r w:rsidRPr="00013B24">
              <w:rPr>
                <w:rFonts w:ascii="Times New Roman" w:eastAsia="Calibri" w:hAnsi="Times New Roman" w:cs="Times New Roman"/>
                <w:sz w:val="24"/>
                <w:szCs w:val="24"/>
                <w:lang w:val="pt-BR" w:eastAsia="en-US"/>
              </w:rPr>
              <w:t>Usina termelétrica</w:t>
            </w:r>
          </w:p>
        </w:tc>
        <w:tc>
          <w:tcPr>
            <w:tcW w:w="4536" w:type="dxa"/>
            <w:tcBorders>
              <w:top w:val="single" w:sz="4" w:space="0" w:color="auto"/>
              <w:left w:val="nil"/>
              <w:bottom w:val="single" w:sz="4" w:space="0" w:color="auto"/>
              <w:right w:val="nil"/>
            </w:tcBorders>
            <w:shd w:val="clear" w:color="auto" w:fill="auto"/>
            <w:vAlign w:val="center"/>
          </w:tcPr>
          <w:p w14:paraId="5BF2B71B"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r w:rsidRPr="00013B24">
              <w:rPr>
                <w:rFonts w:ascii="Times New Roman" w:eastAsia="Calibri" w:hAnsi="Times New Roman" w:cs="Times New Roman"/>
                <w:sz w:val="24"/>
                <w:szCs w:val="24"/>
                <w:lang w:val="en-US" w:eastAsia="en-US"/>
              </w:rPr>
              <w:t>Fan et al. (2020)</w:t>
            </w:r>
          </w:p>
        </w:tc>
      </w:tr>
      <w:tr w:rsidR="00013B24" w:rsidRPr="00013B24" w14:paraId="06746EA5" w14:textId="77777777" w:rsidTr="00013B24">
        <w:trPr>
          <w:gridAfter w:val="2"/>
          <w:wAfter w:w="10227" w:type="dxa"/>
        </w:trPr>
        <w:tc>
          <w:tcPr>
            <w:tcW w:w="1276" w:type="dxa"/>
            <w:vMerge/>
            <w:tcBorders>
              <w:left w:val="nil"/>
              <w:right w:val="nil"/>
            </w:tcBorders>
            <w:shd w:val="clear" w:color="auto" w:fill="auto"/>
            <w:vAlign w:val="center"/>
          </w:tcPr>
          <w:p w14:paraId="5FF8FAB2" w14:textId="77777777" w:rsidR="00013B24" w:rsidRPr="00013B24" w:rsidRDefault="00013B24" w:rsidP="00013B24">
            <w:pPr>
              <w:spacing w:after="160"/>
              <w:jc w:val="center"/>
              <w:rPr>
                <w:rFonts w:ascii="Times New Roman" w:eastAsia="Calibri" w:hAnsi="Times New Roman" w:cs="Times New Roman"/>
                <w:sz w:val="24"/>
                <w:szCs w:val="24"/>
                <w:lang w:val="en-US" w:eastAsia="en-US"/>
              </w:rPr>
            </w:pPr>
          </w:p>
        </w:tc>
        <w:tc>
          <w:tcPr>
            <w:tcW w:w="3260" w:type="dxa"/>
            <w:tcBorders>
              <w:top w:val="single" w:sz="4" w:space="0" w:color="auto"/>
              <w:left w:val="nil"/>
              <w:bottom w:val="single" w:sz="4" w:space="0" w:color="auto"/>
              <w:right w:val="nil"/>
            </w:tcBorders>
            <w:shd w:val="clear" w:color="auto" w:fill="auto"/>
            <w:vAlign w:val="center"/>
          </w:tcPr>
          <w:p w14:paraId="6DB67187" w14:textId="25D31E06" w:rsidR="00013B24" w:rsidRPr="00013B24" w:rsidRDefault="00717035"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Hospital</w:t>
            </w:r>
            <w:r w:rsidR="00A41699">
              <w:rPr>
                <w:rFonts w:ascii="Times New Roman" w:eastAsia="Calibri" w:hAnsi="Times New Roman" w:cs="Times New Roman"/>
                <w:sz w:val="24"/>
                <w:szCs w:val="24"/>
                <w:lang w:val="pt-BR" w:eastAsia="en-US"/>
              </w:rPr>
              <w:t xml:space="preserve"> effluents</w:t>
            </w:r>
          </w:p>
        </w:tc>
        <w:tc>
          <w:tcPr>
            <w:tcW w:w="4536" w:type="dxa"/>
            <w:tcBorders>
              <w:top w:val="single" w:sz="4" w:space="0" w:color="auto"/>
              <w:left w:val="nil"/>
              <w:bottom w:val="single" w:sz="4" w:space="0" w:color="auto"/>
              <w:right w:val="nil"/>
            </w:tcBorders>
            <w:shd w:val="clear" w:color="auto" w:fill="auto"/>
            <w:vAlign w:val="center"/>
          </w:tcPr>
          <w:p w14:paraId="0B2E3358" w14:textId="77777777" w:rsidR="00013B24" w:rsidRPr="00013B24" w:rsidRDefault="00013B24" w:rsidP="00013B24">
            <w:pPr>
              <w:spacing w:after="160"/>
              <w:jc w:val="both"/>
              <w:rPr>
                <w:rFonts w:ascii="Times New Roman" w:eastAsia="Calibri" w:hAnsi="Times New Roman" w:cs="Times New Roman"/>
                <w:sz w:val="24"/>
                <w:szCs w:val="24"/>
                <w:lang w:val="pt-BR" w:eastAsia="en-US"/>
              </w:rPr>
            </w:pPr>
            <w:r w:rsidRPr="00013B24">
              <w:rPr>
                <w:rFonts w:ascii="Times New Roman" w:eastAsia="Calibri" w:hAnsi="Times New Roman" w:cs="Times New Roman"/>
                <w:sz w:val="24"/>
                <w:szCs w:val="24"/>
                <w:lang w:val="en-US" w:eastAsia="en-US"/>
              </w:rPr>
              <w:t>Mubedi et al. (2013)</w:t>
            </w:r>
          </w:p>
        </w:tc>
      </w:tr>
      <w:tr w:rsidR="00013B24" w:rsidRPr="00013B24" w14:paraId="66A2306E" w14:textId="77777777" w:rsidTr="00013B24">
        <w:trPr>
          <w:gridAfter w:val="2"/>
          <w:wAfter w:w="10227" w:type="dxa"/>
        </w:trPr>
        <w:tc>
          <w:tcPr>
            <w:tcW w:w="1276" w:type="dxa"/>
            <w:vMerge/>
            <w:tcBorders>
              <w:left w:val="nil"/>
              <w:right w:val="nil"/>
            </w:tcBorders>
            <w:shd w:val="clear" w:color="auto" w:fill="auto"/>
            <w:vAlign w:val="center"/>
          </w:tcPr>
          <w:p w14:paraId="3BC561D8" w14:textId="77777777" w:rsidR="00013B24" w:rsidRPr="00013B24" w:rsidRDefault="00013B24" w:rsidP="00013B24">
            <w:pPr>
              <w:spacing w:after="160"/>
              <w:jc w:val="center"/>
              <w:rPr>
                <w:rFonts w:ascii="Times New Roman" w:eastAsia="Calibri" w:hAnsi="Times New Roman" w:cs="Times New Roman"/>
                <w:sz w:val="24"/>
                <w:szCs w:val="24"/>
                <w:lang w:val="pt-BR" w:eastAsia="en-US"/>
              </w:rPr>
            </w:pPr>
          </w:p>
        </w:tc>
        <w:tc>
          <w:tcPr>
            <w:tcW w:w="3260" w:type="dxa"/>
            <w:tcBorders>
              <w:top w:val="single" w:sz="4" w:space="0" w:color="auto"/>
              <w:left w:val="nil"/>
              <w:bottom w:val="single" w:sz="4" w:space="0" w:color="auto"/>
              <w:right w:val="nil"/>
            </w:tcBorders>
            <w:shd w:val="clear" w:color="auto" w:fill="auto"/>
            <w:vAlign w:val="center"/>
          </w:tcPr>
          <w:p w14:paraId="1E477443" w14:textId="454564B1" w:rsidR="00013B24" w:rsidRPr="00013B24" w:rsidRDefault="00A41699"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Domestic effluents</w:t>
            </w:r>
          </w:p>
        </w:tc>
        <w:tc>
          <w:tcPr>
            <w:tcW w:w="4536" w:type="dxa"/>
            <w:tcBorders>
              <w:top w:val="single" w:sz="4" w:space="0" w:color="auto"/>
              <w:left w:val="nil"/>
              <w:bottom w:val="single" w:sz="4" w:space="0" w:color="auto"/>
              <w:right w:val="nil"/>
            </w:tcBorders>
            <w:shd w:val="clear" w:color="auto" w:fill="auto"/>
            <w:vAlign w:val="center"/>
          </w:tcPr>
          <w:p w14:paraId="3643EB2F" w14:textId="77777777" w:rsidR="00013B24" w:rsidRPr="00013B24" w:rsidRDefault="00013B24" w:rsidP="00013B24">
            <w:pPr>
              <w:spacing w:after="160"/>
              <w:jc w:val="both"/>
              <w:rPr>
                <w:rFonts w:ascii="Times New Roman" w:eastAsia="Calibri" w:hAnsi="Times New Roman" w:cs="Times New Roman"/>
                <w:sz w:val="24"/>
                <w:szCs w:val="24"/>
                <w:lang w:val="pt-BR" w:eastAsia="en-US"/>
              </w:rPr>
            </w:pPr>
            <w:r w:rsidRPr="00013B24">
              <w:rPr>
                <w:rFonts w:ascii="Times New Roman" w:eastAsia="Calibri" w:hAnsi="Times New Roman" w:cs="Times New Roman"/>
                <w:sz w:val="24"/>
                <w:szCs w:val="24"/>
                <w:lang w:val="en-US" w:eastAsia="en-US"/>
              </w:rPr>
              <w:t>Emmons et al. (2018)</w:t>
            </w:r>
          </w:p>
        </w:tc>
      </w:tr>
      <w:tr w:rsidR="00013B24" w:rsidRPr="00013B24" w14:paraId="5B090ABE" w14:textId="77777777" w:rsidTr="00013B24">
        <w:trPr>
          <w:gridAfter w:val="2"/>
          <w:wAfter w:w="10227" w:type="dxa"/>
        </w:trPr>
        <w:tc>
          <w:tcPr>
            <w:tcW w:w="1276" w:type="dxa"/>
            <w:vMerge/>
            <w:tcBorders>
              <w:left w:val="nil"/>
              <w:right w:val="nil"/>
            </w:tcBorders>
            <w:shd w:val="clear" w:color="auto" w:fill="auto"/>
            <w:vAlign w:val="center"/>
          </w:tcPr>
          <w:p w14:paraId="7728DB4D" w14:textId="77777777" w:rsidR="00013B24" w:rsidRPr="00013B24" w:rsidRDefault="00013B24" w:rsidP="00013B24">
            <w:pPr>
              <w:spacing w:after="160"/>
              <w:jc w:val="center"/>
              <w:rPr>
                <w:rFonts w:ascii="Times New Roman" w:eastAsia="Calibri" w:hAnsi="Times New Roman" w:cs="Times New Roman"/>
                <w:sz w:val="24"/>
                <w:szCs w:val="24"/>
                <w:lang w:val="pt-BR" w:eastAsia="en-US"/>
              </w:rPr>
            </w:pPr>
          </w:p>
        </w:tc>
        <w:tc>
          <w:tcPr>
            <w:tcW w:w="3260" w:type="dxa"/>
            <w:tcBorders>
              <w:top w:val="single" w:sz="4" w:space="0" w:color="auto"/>
              <w:left w:val="nil"/>
              <w:bottom w:val="single" w:sz="12" w:space="0" w:color="auto"/>
              <w:right w:val="nil"/>
            </w:tcBorders>
            <w:shd w:val="clear" w:color="auto" w:fill="auto"/>
            <w:vAlign w:val="center"/>
          </w:tcPr>
          <w:p w14:paraId="75721606" w14:textId="45F02FE5" w:rsidR="00013B24" w:rsidRPr="00013B24" w:rsidRDefault="00717035"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A</w:t>
            </w:r>
            <w:r w:rsidRPr="00717035">
              <w:rPr>
                <w:rFonts w:ascii="Times New Roman" w:eastAsia="Calibri" w:hAnsi="Times New Roman" w:cs="Times New Roman"/>
                <w:sz w:val="24"/>
                <w:szCs w:val="24"/>
                <w:lang w:val="pt-BR" w:eastAsia="en-US"/>
              </w:rPr>
              <w:t>tmospheric deposition from polluted areas</w:t>
            </w:r>
          </w:p>
        </w:tc>
        <w:tc>
          <w:tcPr>
            <w:tcW w:w="4536" w:type="dxa"/>
            <w:tcBorders>
              <w:top w:val="single" w:sz="4" w:space="0" w:color="auto"/>
              <w:left w:val="nil"/>
              <w:bottom w:val="single" w:sz="12" w:space="0" w:color="auto"/>
              <w:right w:val="nil"/>
            </w:tcBorders>
            <w:shd w:val="clear" w:color="auto" w:fill="auto"/>
            <w:vAlign w:val="center"/>
          </w:tcPr>
          <w:p w14:paraId="34C3EA87" w14:textId="77777777" w:rsidR="00013B24" w:rsidRPr="00013B24" w:rsidRDefault="00013B24" w:rsidP="00013B24">
            <w:pPr>
              <w:spacing w:after="160"/>
              <w:jc w:val="both"/>
              <w:rPr>
                <w:rFonts w:ascii="Times New Roman" w:eastAsia="Calibri" w:hAnsi="Times New Roman" w:cs="Times New Roman"/>
                <w:sz w:val="24"/>
                <w:szCs w:val="24"/>
                <w:lang w:val="pt-BR" w:eastAsia="en-US"/>
              </w:rPr>
            </w:pPr>
            <w:r w:rsidRPr="00013B24">
              <w:rPr>
                <w:rFonts w:ascii="Times New Roman" w:eastAsia="Calibri" w:hAnsi="Times New Roman" w:cs="Times New Roman"/>
                <w:sz w:val="24"/>
                <w:szCs w:val="24"/>
                <w:lang w:val="pt-BR" w:eastAsia="en-US"/>
              </w:rPr>
              <w:t>Yuan et al. (2019)</w:t>
            </w:r>
          </w:p>
        </w:tc>
      </w:tr>
      <w:tr w:rsidR="00013B24" w:rsidRPr="00013B24" w14:paraId="666CA16D" w14:textId="77777777" w:rsidTr="00013B24">
        <w:trPr>
          <w:gridAfter w:val="2"/>
          <w:wAfter w:w="10227" w:type="dxa"/>
        </w:trPr>
        <w:tc>
          <w:tcPr>
            <w:tcW w:w="1276" w:type="dxa"/>
            <w:vMerge w:val="restart"/>
            <w:tcBorders>
              <w:top w:val="single" w:sz="12" w:space="0" w:color="auto"/>
              <w:left w:val="nil"/>
              <w:right w:val="nil"/>
            </w:tcBorders>
            <w:shd w:val="clear" w:color="auto" w:fill="auto"/>
            <w:vAlign w:val="center"/>
          </w:tcPr>
          <w:p w14:paraId="04EE02BA" w14:textId="77777777" w:rsidR="00013B24" w:rsidRPr="00013B24" w:rsidRDefault="00013B24" w:rsidP="00013B24">
            <w:pPr>
              <w:spacing w:after="160"/>
              <w:jc w:val="center"/>
              <w:rPr>
                <w:rFonts w:ascii="Times New Roman" w:eastAsia="Calibri" w:hAnsi="Times New Roman" w:cs="Times New Roman"/>
                <w:b/>
                <w:bCs/>
                <w:sz w:val="24"/>
                <w:szCs w:val="24"/>
                <w:lang w:val="pt-BR" w:eastAsia="en-US"/>
              </w:rPr>
            </w:pPr>
            <w:r w:rsidRPr="00013B24">
              <w:rPr>
                <w:rFonts w:ascii="Times New Roman" w:eastAsia="Calibri" w:hAnsi="Times New Roman" w:cs="Times New Roman"/>
                <w:b/>
                <w:bCs/>
                <w:sz w:val="24"/>
                <w:szCs w:val="24"/>
                <w:lang w:val="pt-BR" w:eastAsia="en-US"/>
              </w:rPr>
              <w:t>Mn</w:t>
            </w:r>
          </w:p>
        </w:tc>
        <w:tc>
          <w:tcPr>
            <w:tcW w:w="3260" w:type="dxa"/>
            <w:tcBorders>
              <w:top w:val="single" w:sz="12" w:space="0" w:color="auto"/>
              <w:left w:val="nil"/>
              <w:bottom w:val="single" w:sz="4" w:space="0" w:color="auto"/>
              <w:right w:val="nil"/>
            </w:tcBorders>
            <w:shd w:val="clear" w:color="auto" w:fill="auto"/>
            <w:vAlign w:val="center"/>
          </w:tcPr>
          <w:p w14:paraId="39EB5C08" w14:textId="10513AFF" w:rsidR="00013B24" w:rsidRPr="00013B24" w:rsidRDefault="00A41699"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Mining</w:t>
            </w:r>
          </w:p>
        </w:tc>
        <w:tc>
          <w:tcPr>
            <w:tcW w:w="4536" w:type="dxa"/>
            <w:tcBorders>
              <w:top w:val="single" w:sz="12" w:space="0" w:color="auto"/>
              <w:left w:val="nil"/>
              <w:bottom w:val="single" w:sz="4" w:space="0" w:color="auto"/>
              <w:right w:val="nil"/>
            </w:tcBorders>
            <w:shd w:val="clear" w:color="auto" w:fill="auto"/>
            <w:vAlign w:val="center"/>
          </w:tcPr>
          <w:p w14:paraId="15367D2B" w14:textId="77777777" w:rsidR="00013B24" w:rsidRPr="00013B24" w:rsidRDefault="00013B24" w:rsidP="00013B24">
            <w:pPr>
              <w:spacing w:after="160"/>
              <w:jc w:val="both"/>
              <w:rPr>
                <w:rFonts w:ascii="Times New Roman" w:eastAsia="Calibri" w:hAnsi="Times New Roman" w:cs="Times New Roman"/>
                <w:sz w:val="24"/>
                <w:szCs w:val="24"/>
                <w:lang w:val="pt-BR" w:eastAsia="en-US"/>
              </w:rPr>
            </w:pPr>
            <w:r w:rsidRPr="00013B24">
              <w:rPr>
                <w:rFonts w:ascii="Times New Roman" w:eastAsia="Calibri" w:hAnsi="Times New Roman" w:cs="Times New Roman"/>
                <w:sz w:val="24"/>
                <w:szCs w:val="24"/>
                <w:lang w:val="en-US" w:eastAsia="en-US"/>
              </w:rPr>
              <w:t>Zhang et al. (2018), Santana et al. (2020), O’Neill et al. (2015), Kovács et al. (2012), Marzola et al. (2019), Chaparro et al. (2020)</w:t>
            </w:r>
          </w:p>
        </w:tc>
      </w:tr>
      <w:tr w:rsidR="00013B24" w:rsidRPr="00013B24" w14:paraId="41DC4D2E" w14:textId="77777777" w:rsidTr="00013B24">
        <w:trPr>
          <w:gridAfter w:val="2"/>
          <w:wAfter w:w="10227" w:type="dxa"/>
        </w:trPr>
        <w:tc>
          <w:tcPr>
            <w:tcW w:w="1276" w:type="dxa"/>
            <w:vMerge/>
            <w:tcBorders>
              <w:left w:val="nil"/>
              <w:right w:val="nil"/>
            </w:tcBorders>
            <w:shd w:val="clear" w:color="auto" w:fill="auto"/>
          </w:tcPr>
          <w:p w14:paraId="7079C563"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p>
        </w:tc>
        <w:tc>
          <w:tcPr>
            <w:tcW w:w="3260" w:type="dxa"/>
            <w:tcBorders>
              <w:top w:val="single" w:sz="4" w:space="0" w:color="auto"/>
              <w:left w:val="nil"/>
              <w:bottom w:val="single" w:sz="4" w:space="0" w:color="auto"/>
              <w:right w:val="nil"/>
            </w:tcBorders>
            <w:shd w:val="clear" w:color="auto" w:fill="auto"/>
            <w:vAlign w:val="center"/>
          </w:tcPr>
          <w:p w14:paraId="0A964B4C" w14:textId="7C998314" w:rsidR="00013B24" w:rsidRPr="00013B24" w:rsidRDefault="00A41699"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Agriculture</w:t>
            </w:r>
          </w:p>
        </w:tc>
        <w:tc>
          <w:tcPr>
            <w:tcW w:w="4536" w:type="dxa"/>
            <w:tcBorders>
              <w:top w:val="single" w:sz="4" w:space="0" w:color="auto"/>
              <w:left w:val="nil"/>
              <w:bottom w:val="single" w:sz="4" w:space="0" w:color="auto"/>
              <w:right w:val="nil"/>
            </w:tcBorders>
            <w:shd w:val="clear" w:color="auto" w:fill="auto"/>
            <w:vAlign w:val="center"/>
          </w:tcPr>
          <w:p w14:paraId="42D35E7A"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r w:rsidRPr="00013B24">
              <w:rPr>
                <w:rFonts w:ascii="Times New Roman" w:eastAsia="Calibri" w:hAnsi="Times New Roman" w:cs="Times New Roman"/>
                <w:sz w:val="24"/>
                <w:szCs w:val="24"/>
                <w:lang w:val="en-US" w:eastAsia="en-US"/>
              </w:rPr>
              <w:t>Xiao et al. (2019), Liu; Zhang; Zhang (2017), Marzola et al. (2019)</w:t>
            </w:r>
          </w:p>
        </w:tc>
      </w:tr>
      <w:tr w:rsidR="00013B24" w:rsidRPr="00013B24" w14:paraId="33EC14E5" w14:textId="77777777" w:rsidTr="00013B24">
        <w:trPr>
          <w:gridAfter w:val="2"/>
          <w:wAfter w:w="10227" w:type="dxa"/>
        </w:trPr>
        <w:tc>
          <w:tcPr>
            <w:tcW w:w="1276" w:type="dxa"/>
            <w:vMerge/>
            <w:tcBorders>
              <w:left w:val="nil"/>
              <w:right w:val="nil"/>
            </w:tcBorders>
            <w:shd w:val="clear" w:color="auto" w:fill="auto"/>
          </w:tcPr>
          <w:p w14:paraId="3B89B5E7"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p>
        </w:tc>
        <w:tc>
          <w:tcPr>
            <w:tcW w:w="3260" w:type="dxa"/>
            <w:tcBorders>
              <w:top w:val="single" w:sz="4" w:space="0" w:color="auto"/>
              <w:left w:val="nil"/>
              <w:bottom w:val="single" w:sz="4" w:space="0" w:color="auto"/>
              <w:right w:val="nil"/>
            </w:tcBorders>
            <w:shd w:val="clear" w:color="auto" w:fill="auto"/>
            <w:vAlign w:val="center"/>
          </w:tcPr>
          <w:p w14:paraId="2D1430BE" w14:textId="148AFFFF" w:rsidR="00013B24" w:rsidRPr="00013B24" w:rsidRDefault="00A41699"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Industries</w:t>
            </w:r>
          </w:p>
        </w:tc>
        <w:tc>
          <w:tcPr>
            <w:tcW w:w="4536" w:type="dxa"/>
            <w:tcBorders>
              <w:top w:val="single" w:sz="4" w:space="0" w:color="auto"/>
              <w:left w:val="nil"/>
              <w:bottom w:val="single" w:sz="4" w:space="0" w:color="auto"/>
              <w:right w:val="nil"/>
            </w:tcBorders>
            <w:shd w:val="clear" w:color="auto" w:fill="auto"/>
            <w:vAlign w:val="center"/>
          </w:tcPr>
          <w:p w14:paraId="7A9EA9FC"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r w:rsidRPr="00013B24">
              <w:rPr>
                <w:rFonts w:ascii="Times New Roman" w:eastAsia="Calibri" w:hAnsi="Times New Roman" w:cs="Times New Roman"/>
                <w:sz w:val="24"/>
                <w:szCs w:val="24"/>
                <w:lang w:val="en-US" w:eastAsia="en-US"/>
              </w:rPr>
              <w:t>Roig et al. (2011), Liu; Zhang; Zhang (2017), Wang et al. (2020b)</w:t>
            </w:r>
          </w:p>
        </w:tc>
      </w:tr>
      <w:tr w:rsidR="00013B24" w:rsidRPr="00013B24" w14:paraId="2AA09A13" w14:textId="77777777" w:rsidTr="00013B24">
        <w:trPr>
          <w:gridAfter w:val="2"/>
          <w:wAfter w:w="10227" w:type="dxa"/>
        </w:trPr>
        <w:tc>
          <w:tcPr>
            <w:tcW w:w="1276" w:type="dxa"/>
            <w:vMerge/>
            <w:tcBorders>
              <w:left w:val="nil"/>
              <w:right w:val="nil"/>
            </w:tcBorders>
            <w:shd w:val="clear" w:color="auto" w:fill="auto"/>
          </w:tcPr>
          <w:p w14:paraId="02EA61D9"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p>
        </w:tc>
        <w:tc>
          <w:tcPr>
            <w:tcW w:w="3260" w:type="dxa"/>
            <w:tcBorders>
              <w:top w:val="single" w:sz="4" w:space="0" w:color="auto"/>
              <w:left w:val="nil"/>
              <w:bottom w:val="single" w:sz="4" w:space="0" w:color="auto"/>
              <w:right w:val="nil"/>
            </w:tcBorders>
            <w:shd w:val="clear" w:color="auto" w:fill="auto"/>
            <w:vAlign w:val="center"/>
          </w:tcPr>
          <w:p w14:paraId="74B86E56" w14:textId="68D5A53A" w:rsidR="00013B24" w:rsidRPr="00013B24" w:rsidRDefault="00A41699"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Industrial effluents</w:t>
            </w:r>
          </w:p>
        </w:tc>
        <w:tc>
          <w:tcPr>
            <w:tcW w:w="4536" w:type="dxa"/>
            <w:tcBorders>
              <w:top w:val="single" w:sz="4" w:space="0" w:color="auto"/>
              <w:left w:val="nil"/>
              <w:bottom w:val="single" w:sz="4" w:space="0" w:color="auto"/>
              <w:right w:val="nil"/>
            </w:tcBorders>
            <w:shd w:val="clear" w:color="auto" w:fill="auto"/>
            <w:vAlign w:val="center"/>
          </w:tcPr>
          <w:p w14:paraId="626DD566"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r w:rsidRPr="00013B24">
              <w:rPr>
                <w:rFonts w:ascii="Times New Roman" w:eastAsia="Calibri" w:hAnsi="Times New Roman" w:cs="Times New Roman"/>
                <w:sz w:val="24"/>
                <w:szCs w:val="24"/>
                <w:lang w:val="en-US" w:eastAsia="en-US"/>
              </w:rPr>
              <w:t>Palma; Ledo; Alvarenga (2015)</w:t>
            </w:r>
          </w:p>
        </w:tc>
      </w:tr>
      <w:tr w:rsidR="00013B24" w:rsidRPr="00013B24" w14:paraId="138D04C0" w14:textId="77777777" w:rsidTr="00013B24">
        <w:trPr>
          <w:gridAfter w:val="2"/>
          <w:wAfter w:w="10227" w:type="dxa"/>
        </w:trPr>
        <w:tc>
          <w:tcPr>
            <w:tcW w:w="1276" w:type="dxa"/>
            <w:vMerge/>
            <w:tcBorders>
              <w:left w:val="nil"/>
              <w:right w:val="nil"/>
            </w:tcBorders>
            <w:shd w:val="clear" w:color="auto" w:fill="auto"/>
          </w:tcPr>
          <w:p w14:paraId="6E439395"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p>
        </w:tc>
        <w:tc>
          <w:tcPr>
            <w:tcW w:w="3260" w:type="dxa"/>
            <w:tcBorders>
              <w:top w:val="single" w:sz="4" w:space="0" w:color="auto"/>
              <w:left w:val="nil"/>
              <w:bottom w:val="single" w:sz="4" w:space="0" w:color="808080"/>
              <w:right w:val="nil"/>
            </w:tcBorders>
            <w:shd w:val="clear" w:color="auto" w:fill="auto"/>
            <w:vAlign w:val="center"/>
          </w:tcPr>
          <w:p w14:paraId="31819C50" w14:textId="58A9B41D" w:rsidR="00013B24" w:rsidRPr="00013B24" w:rsidRDefault="00A41699"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Traffic</w:t>
            </w:r>
            <w:r w:rsidR="00013B24" w:rsidRPr="00013B24">
              <w:rPr>
                <w:rFonts w:ascii="Times New Roman" w:eastAsia="Calibri" w:hAnsi="Times New Roman" w:cs="Times New Roman"/>
                <w:sz w:val="24"/>
                <w:szCs w:val="24"/>
                <w:lang w:val="pt-BR" w:eastAsia="en-US"/>
              </w:rPr>
              <w:t xml:space="preserve"> </w:t>
            </w:r>
          </w:p>
        </w:tc>
        <w:tc>
          <w:tcPr>
            <w:tcW w:w="4536" w:type="dxa"/>
            <w:tcBorders>
              <w:top w:val="single" w:sz="4" w:space="0" w:color="auto"/>
              <w:left w:val="nil"/>
              <w:bottom w:val="single" w:sz="4" w:space="0" w:color="808080"/>
              <w:right w:val="nil"/>
            </w:tcBorders>
            <w:shd w:val="clear" w:color="auto" w:fill="auto"/>
            <w:vAlign w:val="center"/>
          </w:tcPr>
          <w:p w14:paraId="5456732A" w14:textId="77777777" w:rsidR="00013B24" w:rsidRPr="00013B24" w:rsidRDefault="00013B24" w:rsidP="00013B24">
            <w:pPr>
              <w:spacing w:after="160" w:line="259" w:lineRule="auto"/>
              <w:jc w:val="both"/>
              <w:rPr>
                <w:rFonts w:ascii="Times New Roman" w:eastAsia="Calibri" w:hAnsi="Times New Roman" w:cs="Times New Roman"/>
                <w:color w:val="000000"/>
                <w:sz w:val="24"/>
                <w:lang w:val="pt-BR" w:eastAsia="en-US"/>
              </w:rPr>
            </w:pPr>
            <w:r w:rsidRPr="00013B24">
              <w:rPr>
                <w:rFonts w:ascii="Times New Roman" w:eastAsia="Calibri" w:hAnsi="Times New Roman" w:cs="Times New Roman"/>
                <w:color w:val="000000"/>
                <w:sz w:val="24"/>
                <w:lang w:val="pt-BR" w:eastAsia="en-US"/>
              </w:rPr>
              <w:t>Wang et al. (2020b)</w:t>
            </w:r>
          </w:p>
        </w:tc>
      </w:tr>
      <w:tr w:rsidR="00013B24" w:rsidRPr="00013B24" w14:paraId="35B3E682" w14:textId="77777777" w:rsidTr="00013B24">
        <w:trPr>
          <w:gridAfter w:val="2"/>
          <w:wAfter w:w="10227" w:type="dxa"/>
        </w:trPr>
        <w:tc>
          <w:tcPr>
            <w:tcW w:w="1276" w:type="dxa"/>
            <w:vMerge w:val="restart"/>
            <w:tcBorders>
              <w:top w:val="single" w:sz="12" w:space="0" w:color="auto"/>
              <w:left w:val="nil"/>
              <w:right w:val="nil"/>
            </w:tcBorders>
            <w:shd w:val="clear" w:color="auto" w:fill="auto"/>
            <w:vAlign w:val="center"/>
          </w:tcPr>
          <w:p w14:paraId="23FC0235" w14:textId="77777777" w:rsidR="00013B24" w:rsidRPr="00013B24" w:rsidRDefault="00013B24" w:rsidP="00013B24">
            <w:pPr>
              <w:spacing w:after="160"/>
              <w:jc w:val="center"/>
              <w:rPr>
                <w:rFonts w:ascii="Times New Roman" w:eastAsia="Calibri" w:hAnsi="Times New Roman" w:cs="Times New Roman"/>
                <w:b/>
                <w:bCs/>
                <w:sz w:val="24"/>
                <w:szCs w:val="24"/>
                <w:lang w:val="pt-BR" w:eastAsia="en-US"/>
              </w:rPr>
            </w:pPr>
            <w:r w:rsidRPr="00013B24">
              <w:rPr>
                <w:rFonts w:ascii="Times New Roman" w:eastAsia="Calibri" w:hAnsi="Times New Roman" w:cs="Times New Roman"/>
                <w:b/>
                <w:bCs/>
                <w:sz w:val="24"/>
                <w:szCs w:val="24"/>
                <w:lang w:val="pt-BR" w:eastAsia="en-US"/>
              </w:rPr>
              <w:t>Mo</w:t>
            </w:r>
          </w:p>
        </w:tc>
        <w:tc>
          <w:tcPr>
            <w:tcW w:w="3260" w:type="dxa"/>
            <w:tcBorders>
              <w:top w:val="single" w:sz="12" w:space="0" w:color="auto"/>
              <w:left w:val="nil"/>
              <w:bottom w:val="single" w:sz="4" w:space="0" w:color="auto"/>
              <w:right w:val="nil"/>
            </w:tcBorders>
            <w:shd w:val="clear" w:color="auto" w:fill="auto"/>
            <w:vAlign w:val="center"/>
          </w:tcPr>
          <w:p w14:paraId="15ED7789" w14:textId="0B978460" w:rsidR="00013B24" w:rsidRPr="00013B24" w:rsidRDefault="00A41699" w:rsidP="00013B24">
            <w:pPr>
              <w:spacing w:after="160"/>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pt-BR" w:eastAsia="en-US"/>
              </w:rPr>
              <w:t>Industries</w:t>
            </w:r>
          </w:p>
        </w:tc>
        <w:tc>
          <w:tcPr>
            <w:tcW w:w="4536" w:type="dxa"/>
            <w:tcBorders>
              <w:top w:val="single" w:sz="12" w:space="0" w:color="auto"/>
              <w:left w:val="nil"/>
              <w:bottom w:val="single" w:sz="4" w:space="0" w:color="auto"/>
              <w:right w:val="nil"/>
            </w:tcBorders>
            <w:shd w:val="clear" w:color="auto" w:fill="auto"/>
            <w:vAlign w:val="center"/>
          </w:tcPr>
          <w:p w14:paraId="520F72CC"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r w:rsidRPr="00013B24">
              <w:rPr>
                <w:rFonts w:ascii="Times New Roman" w:eastAsia="Calibri" w:hAnsi="Times New Roman" w:cs="Times New Roman"/>
                <w:sz w:val="24"/>
                <w:szCs w:val="24"/>
                <w:lang w:val="en-US" w:eastAsia="en-US"/>
              </w:rPr>
              <w:t>Sheykhi et al. (2017), Sheykhi; Moore (2013)</w:t>
            </w:r>
          </w:p>
        </w:tc>
      </w:tr>
      <w:tr w:rsidR="00013B24" w:rsidRPr="00013B24" w14:paraId="0BF4ABA3" w14:textId="77777777" w:rsidTr="00013B24">
        <w:trPr>
          <w:gridAfter w:val="2"/>
          <w:wAfter w:w="10227" w:type="dxa"/>
        </w:trPr>
        <w:tc>
          <w:tcPr>
            <w:tcW w:w="1276" w:type="dxa"/>
            <w:vMerge/>
            <w:tcBorders>
              <w:top w:val="single" w:sz="12" w:space="0" w:color="auto"/>
              <w:left w:val="nil"/>
              <w:right w:val="nil"/>
            </w:tcBorders>
            <w:shd w:val="clear" w:color="auto" w:fill="auto"/>
            <w:vAlign w:val="center"/>
          </w:tcPr>
          <w:p w14:paraId="519EE05E" w14:textId="77777777" w:rsidR="00013B24" w:rsidRPr="00013B24" w:rsidRDefault="00013B24" w:rsidP="00013B24">
            <w:pPr>
              <w:spacing w:after="160"/>
              <w:jc w:val="center"/>
              <w:rPr>
                <w:rFonts w:ascii="Times New Roman" w:eastAsia="Calibri" w:hAnsi="Times New Roman" w:cs="Times New Roman"/>
                <w:b/>
                <w:bCs/>
                <w:sz w:val="24"/>
                <w:szCs w:val="24"/>
                <w:lang w:val="en-US" w:eastAsia="en-US"/>
              </w:rPr>
            </w:pPr>
          </w:p>
        </w:tc>
        <w:tc>
          <w:tcPr>
            <w:tcW w:w="3260" w:type="dxa"/>
            <w:tcBorders>
              <w:top w:val="single" w:sz="4" w:space="0" w:color="auto"/>
              <w:left w:val="nil"/>
              <w:bottom w:val="single" w:sz="4" w:space="0" w:color="auto"/>
              <w:right w:val="nil"/>
            </w:tcBorders>
            <w:shd w:val="clear" w:color="auto" w:fill="auto"/>
            <w:vAlign w:val="center"/>
          </w:tcPr>
          <w:p w14:paraId="57125981" w14:textId="384EFC99" w:rsidR="00013B24" w:rsidRPr="00013B24" w:rsidRDefault="00A41699"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Agriculture</w:t>
            </w:r>
          </w:p>
        </w:tc>
        <w:tc>
          <w:tcPr>
            <w:tcW w:w="4536" w:type="dxa"/>
            <w:tcBorders>
              <w:top w:val="single" w:sz="4" w:space="0" w:color="auto"/>
              <w:left w:val="nil"/>
              <w:bottom w:val="single" w:sz="4" w:space="0" w:color="auto"/>
              <w:right w:val="nil"/>
            </w:tcBorders>
            <w:shd w:val="clear" w:color="auto" w:fill="auto"/>
            <w:vAlign w:val="center"/>
          </w:tcPr>
          <w:p w14:paraId="76007E28"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r w:rsidRPr="00013B24">
              <w:rPr>
                <w:rFonts w:ascii="Times New Roman" w:eastAsia="Calibri" w:hAnsi="Times New Roman" w:cs="Times New Roman"/>
                <w:sz w:val="24"/>
                <w:szCs w:val="24"/>
                <w:lang w:val="en-US" w:eastAsia="en-US"/>
              </w:rPr>
              <w:t>Sheykhi; Moore (2013)</w:t>
            </w:r>
          </w:p>
        </w:tc>
      </w:tr>
      <w:tr w:rsidR="00013B24" w:rsidRPr="00013B24" w14:paraId="4756BB92" w14:textId="77777777" w:rsidTr="00013B24">
        <w:trPr>
          <w:gridAfter w:val="2"/>
          <w:wAfter w:w="10227" w:type="dxa"/>
        </w:trPr>
        <w:tc>
          <w:tcPr>
            <w:tcW w:w="1276" w:type="dxa"/>
            <w:vMerge/>
            <w:tcBorders>
              <w:left w:val="nil"/>
              <w:bottom w:val="single" w:sz="12" w:space="0" w:color="auto"/>
              <w:right w:val="nil"/>
            </w:tcBorders>
            <w:shd w:val="clear" w:color="auto" w:fill="auto"/>
          </w:tcPr>
          <w:p w14:paraId="44693D4B"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p>
        </w:tc>
        <w:tc>
          <w:tcPr>
            <w:tcW w:w="3260" w:type="dxa"/>
            <w:tcBorders>
              <w:top w:val="single" w:sz="4" w:space="0" w:color="auto"/>
              <w:left w:val="nil"/>
              <w:bottom w:val="single" w:sz="12" w:space="0" w:color="auto"/>
              <w:right w:val="nil"/>
            </w:tcBorders>
            <w:shd w:val="clear" w:color="auto" w:fill="auto"/>
            <w:vAlign w:val="center"/>
          </w:tcPr>
          <w:p w14:paraId="14613F1D" w14:textId="17DF21FA" w:rsidR="00013B24" w:rsidRPr="00013B24" w:rsidRDefault="00A41699" w:rsidP="00013B24">
            <w:pPr>
              <w:spacing w:after="160"/>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Mining</w:t>
            </w:r>
          </w:p>
        </w:tc>
        <w:tc>
          <w:tcPr>
            <w:tcW w:w="4536" w:type="dxa"/>
            <w:tcBorders>
              <w:top w:val="single" w:sz="4" w:space="0" w:color="auto"/>
              <w:left w:val="nil"/>
              <w:bottom w:val="single" w:sz="12" w:space="0" w:color="auto"/>
              <w:right w:val="nil"/>
            </w:tcBorders>
            <w:shd w:val="clear" w:color="auto" w:fill="auto"/>
            <w:vAlign w:val="center"/>
          </w:tcPr>
          <w:p w14:paraId="71BEFF58" w14:textId="77777777" w:rsidR="00013B24" w:rsidRPr="00013B24" w:rsidRDefault="00013B24" w:rsidP="00013B24">
            <w:pPr>
              <w:spacing w:after="160" w:line="259" w:lineRule="auto"/>
              <w:jc w:val="both"/>
              <w:rPr>
                <w:rFonts w:ascii="Times New Roman" w:eastAsia="Calibri" w:hAnsi="Times New Roman" w:cs="Times New Roman"/>
                <w:color w:val="000000"/>
                <w:sz w:val="24"/>
                <w:lang w:val="pt-BR" w:eastAsia="en-US"/>
              </w:rPr>
            </w:pPr>
            <w:r w:rsidRPr="00013B24">
              <w:rPr>
                <w:rFonts w:ascii="Times New Roman" w:eastAsia="Calibri" w:hAnsi="Times New Roman" w:cs="Times New Roman"/>
                <w:color w:val="000000"/>
                <w:sz w:val="24"/>
                <w:lang w:val="pt-BR" w:eastAsia="en-US"/>
              </w:rPr>
              <w:t>Munk; Faure (2004)</w:t>
            </w:r>
          </w:p>
        </w:tc>
      </w:tr>
      <w:tr w:rsidR="00013B24" w:rsidRPr="00013B24" w14:paraId="40C46863" w14:textId="77777777" w:rsidTr="00013B24">
        <w:trPr>
          <w:gridAfter w:val="2"/>
          <w:wAfter w:w="10227" w:type="dxa"/>
        </w:trPr>
        <w:tc>
          <w:tcPr>
            <w:tcW w:w="1276" w:type="dxa"/>
            <w:vMerge w:val="restart"/>
            <w:tcBorders>
              <w:top w:val="single" w:sz="12" w:space="0" w:color="auto"/>
              <w:left w:val="nil"/>
              <w:right w:val="nil"/>
            </w:tcBorders>
            <w:shd w:val="clear" w:color="auto" w:fill="auto"/>
            <w:vAlign w:val="center"/>
          </w:tcPr>
          <w:p w14:paraId="65669964" w14:textId="77777777" w:rsidR="00013B24" w:rsidRPr="00013B24" w:rsidRDefault="00013B24" w:rsidP="00013B24">
            <w:pPr>
              <w:spacing w:after="160"/>
              <w:jc w:val="center"/>
              <w:rPr>
                <w:rFonts w:ascii="Times New Roman" w:eastAsia="Calibri" w:hAnsi="Times New Roman" w:cs="Times New Roman"/>
                <w:b/>
                <w:bCs/>
                <w:sz w:val="24"/>
                <w:szCs w:val="24"/>
                <w:lang w:val="pt-BR" w:eastAsia="en-US"/>
              </w:rPr>
            </w:pPr>
            <w:r w:rsidRPr="00013B24">
              <w:rPr>
                <w:rFonts w:ascii="Times New Roman" w:eastAsia="Calibri" w:hAnsi="Times New Roman" w:cs="Times New Roman"/>
                <w:b/>
                <w:bCs/>
                <w:sz w:val="24"/>
                <w:szCs w:val="24"/>
                <w:lang w:val="pt-BR" w:eastAsia="en-US"/>
              </w:rPr>
              <w:t>Ni</w:t>
            </w:r>
          </w:p>
        </w:tc>
        <w:tc>
          <w:tcPr>
            <w:tcW w:w="3260" w:type="dxa"/>
            <w:tcBorders>
              <w:top w:val="single" w:sz="12" w:space="0" w:color="auto"/>
              <w:left w:val="nil"/>
              <w:bottom w:val="single" w:sz="4" w:space="0" w:color="auto"/>
              <w:right w:val="nil"/>
            </w:tcBorders>
            <w:shd w:val="clear" w:color="auto" w:fill="auto"/>
            <w:vAlign w:val="center"/>
          </w:tcPr>
          <w:p w14:paraId="2C178ADD" w14:textId="6B5DD357" w:rsidR="00013B24" w:rsidRPr="00013B24" w:rsidRDefault="00A41699"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Industries</w:t>
            </w:r>
          </w:p>
        </w:tc>
        <w:tc>
          <w:tcPr>
            <w:tcW w:w="4536" w:type="dxa"/>
            <w:tcBorders>
              <w:top w:val="single" w:sz="12" w:space="0" w:color="auto"/>
              <w:left w:val="nil"/>
              <w:bottom w:val="single" w:sz="4" w:space="0" w:color="auto"/>
              <w:right w:val="nil"/>
            </w:tcBorders>
            <w:shd w:val="clear" w:color="auto" w:fill="auto"/>
            <w:vAlign w:val="center"/>
          </w:tcPr>
          <w:p w14:paraId="1E370B97"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r w:rsidRPr="00013B24">
              <w:rPr>
                <w:rFonts w:ascii="Times New Roman" w:eastAsia="Calibri" w:hAnsi="Times New Roman" w:cs="Times New Roman"/>
                <w:sz w:val="24"/>
                <w:szCs w:val="24"/>
                <w:lang w:val="en-US" w:eastAsia="en-US"/>
              </w:rPr>
              <w:t>Ezemonye et al. (2019), Hoang et al. (2020), Niu et al. (2020), Wu et al. (2016), Li; Chen; Teng (2020), Sun et al. (2019), Castro; Rendina; Orgeira (2018), Roig et al. (2011), Sheykhi; Moore (2013), Hou et al. (2009), Wang et al. (2020b)</w:t>
            </w:r>
          </w:p>
        </w:tc>
      </w:tr>
      <w:tr w:rsidR="00013B24" w:rsidRPr="00013B24" w14:paraId="51CFF0C8" w14:textId="77777777" w:rsidTr="00013B24">
        <w:trPr>
          <w:gridAfter w:val="2"/>
          <w:wAfter w:w="10227" w:type="dxa"/>
        </w:trPr>
        <w:tc>
          <w:tcPr>
            <w:tcW w:w="1276" w:type="dxa"/>
            <w:vMerge/>
            <w:tcBorders>
              <w:left w:val="nil"/>
              <w:right w:val="nil"/>
            </w:tcBorders>
            <w:shd w:val="clear" w:color="auto" w:fill="auto"/>
          </w:tcPr>
          <w:p w14:paraId="49E57136"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p>
        </w:tc>
        <w:tc>
          <w:tcPr>
            <w:tcW w:w="3260" w:type="dxa"/>
            <w:tcBorders>
              <w:top w:val="single" w:sz="4" w:space="0" w:color="auto"/>
              <w:left w:val="nil"/>
              <w:bottom w:val="single" w:sz="4" w:space="0" w:color="auto"/>
              <w:right w:val="nil"/>
            </w:tcBorders>
            <w:shd w:val="clear" w:color="auto" w:fill="auto"/>
            <w:vAlign w:val="center"/>
          </w:tcPr>
          <w:p w14:paraId="0234F6E4" w14:textId="0A5A217A" w:rsidR="00013B24" w:rsidRPr="00013B24" w:rsidRDefault="00A41699"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Domestic effluents</w:t>
            </w:r>
          </w:p>
        </w:tc>
        <w:tc>
          <w:tcPr>
            <w:tcW w:w="4536" w:type="dxa"/>
            <w:tcBorders>
              <w:top w:val="single" w:sz="4" w:space="0" w:color="auto"/>
              <w:left w:val="nil"/>
              <w:bottom w:val="single" w:sz="4" w:space="0" w:color="auto"/>
              <w:right w:val="nil"/>
            </w:tcBorders>
            <w:shd w:val="clear" w:color="auto" w:fill="auto"/>
            <w:vAlign w:val="center"/>
          </w:tcPr>
          <w:p w14:paraId="44F04D3D" w14:textId="77777777" w:rsidR="00013B24" w:rsidRPr="00013B24" w:rsidRDefault="00013B24" w:rsidP="00013B24">
            <w:pPr>
              <w:spacing w:after="160"/>
              <w:jc w:val="both"/>
              <w:rPr>
                <w:rFonts w:ascii="Times New Roman" w:eastAsia="Calibri" w:hAnsi="Times New Roman" w:cs="Times New Roman"/>
                <w:sz w:val="24"/>
                <w:szCs w:val="24"/>
                <w:lang w:val="pt-BR" w:eastAsia="en-US"/>
              </w:rPr>
            </w:pPr>
            <w:r w:rsidRPr="00013B24">
              <w:rPr>
                <w:rFonts w:ascii="Times New Roman" w:eastAsia="Calibri" w:hAnsi="Times New Roman" w:cs="Times New Roman"/>
                <w:sz w:val="24"/>
                <w:szCs w:val="24"/>
                <w:lang w:val="en-US" w:eastAsia="en-US"/>
              </w:rPr>
              <w:t xml:space="preserve">Barhoumi et al. (2019), Ustaoğlua e Islam (2020), Marcussen; Dalsgaard; Holm (2008), Zhuang et al. (2019), Vystavna et al. (2012), Sheykhi; Moore (2013), Rupakheti et al. (2017), Wang et al. </w:t>
            </w:r>
            <w:r w:rsidRPr="00013B24">
              <w:rPr>
                <w:rFonts w:ascii="Times New Roman" w:eastAsia="Calibri" w:hAnsi="Times New Roman" w:cs="Times New Roman"/>
                <w:sz w:val="24"/>
                <w:szCs w:val="24"/>
                <w:lang w:val="pt-BR" w:eastAsia="en-US"/>
              </w:rPr>
              <w:t>(2020c)</w:t>
            </w:r>
          </w:p>
        </w:tc>
      </w:tr>
      <w:tr w:rsidR="00013B24" w:rsidRPr="00013B24" w14:paraId="45DC5052" w14:textId="77777777" w:rsidTr="00013B24">
        <w:trPr>
          <w:gridAfter w:val="2"/>
          <w:wAfter w:w="10227" w:type="dxa"/>
        </w:trPr>
        <w:tc>
          <w:tcPr>
            <w:tcW w:w="1276" w:type="dxa"/>
            <w:vMerge/>
            <w:tcBorders>
              <w:left w:val="nil"/>
              <w:right w:val="nil"/>
            </w:tcBorders>
            <w:shd w:val="clear" w:color="auto" w:fill="auto"/>
          </w:tcPr>
          <w:p w14:paraId="31550E69"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p>
        </w:tc>
        <w:tc>
          <w:tcPr>
            <w:tcW w:w="3260" w:type="dxa"/>
            <w:tcBorders>
              <w:top w:val="single" w:sz="4" w:space="0" w:color="auto"/>
              <w:left w:val="nil"/>
              <w:bottom w:val="single" w:sz="4" w:space="0" w:color="auto"/>
              <w:right w:val="nil"/>
            </w:tcBorders>
            <w:shd w:val="clear" w:color="auto" w:fill="auto"/>
            <w:vAlign w:val="center"/>
          </w:tcPr>
          <w:p w14:paraId="27169F3F" w14:textId="3546E03D" w:rsidR="00013B24" w:rsidRPr="00013B24" w:rsidRDefault="00A41699"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Traffic</w:t>
            </w:r>
          </w:p>
        </w:tc>
        <w:tc>
          <w:tcPr>
            <w:tcW w:w="4536" w:type="dxa"/>
            <w:tcBorders>
              <w:top w:val="single" w:sz="4" w:space="0" w:color="auto"/>
              <w:left w:val="nil"/>
              <w:bottom w:val="single" w:sz="4" w:space="0" w:color="auto"/>
              <w:right w:val="nil"/>
            </w:tcBorders>
            <w:shd w:val="clear" w:color="auto" w:fill="auto"/>
            <w:vAlign w:val="center"/>
          </w:tcPr>
          <w:p w14:paraId="29E80A35"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r w:rsidRPr="00013B24">
              <w:rPr>
                <w:rFonts w:ascii="Times New Roman" w:eastAsia="Calibri" w:hAnsi="Times New Roman" w:cs="Times New Roman"/>
                <w:sz w:val="24"/>
                <w:szCs w:val="24"/>
                <w:lang w:val="en-US" w:eastAsia="en-US"/>
              </w:rPr>
              <w:t>Xia et al. (2020), Wang et al. (2020b), Niu et al. (2020), Ustaoğlua e Islam (2020), Barhoumi et al. (2019), Sebastiao; Wagner;Goldsmith (2017)</w:t>
            </w:r>
          </w:p>
        </w:tc>
      </w:tr>
      <w:tr w:rsidR="00013B24" w:rsidRPr="00013B24" w14:paraId="56EAF999" w14:textId="77777777" w:rsidTr="00013B24">
        <w:trPr>
          <w:gridAfter w:val="2"/>
          <w:wAfter w:w="10227" w:type="dxa"/>
        </w:trPr>
        <w:tc>
          <w:tcPr>
            <w:tcW w:w="1276" w:type="dxa"/>
            <w:vMerge/>
            <w:tcBorders>
              <w:left w:val="nil"/>
              <w:right w:val="nil"/>
            </w:tcBorders>
            <w:shd w:val="clear" w:color="auto" w:fill="auto"/>
          </w:tcPr>
          <w:p w14:paraId="3002350E"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p>
        </w:tc>
        <w:tc>
          <w:tcPr>
            <w:tcW w:w="3260" w:type="dxa"/>
            <w:tcBorders>
              <w:top w:val="single" w:sz="4" w:space="0" w:color="auto"/>
              <w:left w:val="nil"/>
              <w:bottom w:val="single" w:sz="4" w:space="0" w:color="auto"/>
              <w:right w:val="nil"/>
            </w:tcBorders>
            <w:shd w:val="clear" w:color="auto" w:fill="auto"/>
            <w:vAlign w:val="center"/>
          </w:tcPr>
          <w:p w14:paraId="5FBA16B4" w14:textId="50460CF3" w:rsidR="00013B24" w:rsidRPr="00013B24" w:rsidRDefault="00A41699" w:rsidP="00013B24">
            <w:pPr>
              <w:spacing w:after="160"/>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pt-BR" w:eastAsia="en-US"/>
              </w:rPr>
              <w:t>Agriculture</w:t>
            </w:r>
            <w:r w:rsidR="00013B24" w:rsidRPr="00013B24">
              <w:rPr>
                <w:rFonts w:ascii="Times New Roman" w:eastAsia="Calibri" w:hAnsi="Times New Roman" w:cs="Times New Roman"/>
                <w:sz w:val="24"/>
                <w:szCs w:val="24"/>
                <w:lang w:val="pt-BR" w:eastAsia="en-US"/>
              </w:rPr>
              <w:t xml:space="preserve"> </w:t>
            </w:r>
          </w:p>
        </w:tc>
        <w:tc>
          <w:tcPr>
            <w:tcW w:w="4536" w:type="dxa"/>
            <w:tcBorders>
              <w:top w:val="single" w:sz="4" w:space="0" w:color="auto"/>
              <w:left w:val="nil"/>
              <w:bottom w:val="single" w:sz="4" w:space="0" w:color="auto"/>
              <w:right w:val="nil"/>
            </w:tcBorders>
            <w:shd w:val="clear" w:color="auto" w:fill="auto"/>
            <w:vAlign w:val="center"/>
          </w:tcPr>
          <w:p w14:paraId="0105CF36"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r w:rsidRPr="00013B24">
              <w:rPr>
                <w:rFonts w:ascii="Times New Roman" w:eastAsia="Calibri" w:hAnsi="Times New Roman" w:cs="Times New Roman"/>
                <w:sz w:val="24"/>
                <w:szCs w:val="24"/>
                <w:lang w:val="pt-BR" w:eastAsia="en-US"/>
              </w:rPr>
              <w:t xml:space="preserve">Xiao et al. (2019), Castro; Rendina; Orgeira (2018), Islam et al. </w:t>
            </w:r>
            <w:r w:rsidRPr="00013B24">
              <w:rPr>
                <w:rFonts w:ascii="Times New Roman" w:eastAsia="Calibri" w:hAnsi="Times New Roman" w:cs="Times New Roman"/>
                <w:sz w:val="24"/>
                <w:szCs w:val="24"/>
                <w:lang w:val="en-US" w:eastAsia="en-US"/>
              </w:rPr>
              <w:t>(2018), Saran et al. (2018), Rupakheti et al. (2017)</w:t>
            </w:r>
          </w:p>
        </w:tc>
      </w:tr>
      <w:tr w:rsidR="00013B24" w:rsidRPr="00013B24" w14:paraId="0BCC376D" w14:textId="77777777" w:rsidTr="00013B24">
        <w:trPr>
          <w:gridAfter w:val="2"/>
          <w:wAfter w:w="10227" w:type="dxa"/>
        </w:trPr>
        <w:tc>
          <w:tcPr>
            <w:tcW w:w="1276" w:type="dxa"/>
            <w:vMerge/>
            <w:tcBorders>
              <w:left w:val="nil"/>
              <w:right w:val="nil"/>
            </w:tcBorders>
            <w:shd w:val="clear" w:color="auto" w:fill="auto"/>
          </w:tcPr>
          <w:p w14:paraId="0F763828"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p>
        </w:tc>
        <w:tc>
          <w:tcPr>
            <w:tcW w:w="3260" w:type="dxa"/>
            <w:tcBorders>
              <w:top w:val="single" w:sz="4" w:space="0" w:color="auto"/>
              <w:left w:val="nil"/>
              <w:bottom w:val="single" w:sz="4" w:space="0" w:color="auto"/>
              <w:right w:val="nil"/>
            </w:tcBorders>
            <w:shd w:val="clear" w:color="auto" w:fill="auto"/>
            <w:vAlign w:val="center"/>
          </w:tcPr>
          <w:p w14:paraId="4554FFBE" w14:textId="0B7F4DB8" w:rsidR="00013B24" w:rsidRPr="00013B24" w:rsidRDefault="00A41699" w:rsidP="00013B24">
            <w:pPr>
              <w:spacing w:after="160"/>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pt-BR" w:eastAsia="en-US"/>
              </w:rPr>
              <w:t>Mining</w:t>
            </w:r>
          </w:p>
        </w:tc>
        <w:tc>
          <w:tcPr>
            <w:tcW w:w="4536" w:type="dxa"/>
            <w:tcBorders>
              <w:top w:val="single" w:sz="4" w:space="0" w:color="auto"/>
              <w:left w:val="nil"/>
              <w:bottom w:val="single" w:sz="4" w:space="0" w:color="auto"/>
              <w:right w:val="nil"/>
            </w:tcBorders>
            <w:shd w:val="clear" w:color="auto" w:fill="auto"/>
            <w:vAlign w:val="center"/>
          </w:tcPr>
          <w:p w14:paraId="68E3F21D"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r w:rsidRPr="00013B24">
              <w:rPr>
                <w:rFonts w:ascii="Times New Roman" w:eastAsia="Calibri" w:hAnsi="Times New Roman" w:cs="Times New Roman"/>
                <w:sz w:val="24"/>
                <w:szCs w:val="24"/>
                <w:lang w:val="pt-BR" w:eastAsia="en-US"/>
              </w:rPr>
              <w:t xml:space="preserve">Palacios-Torres; de la Rosa; Olivero-Verbel (2020), Santana et al. </w:t>
            </w:r>
            <w:r w:rsidRPr="00013B24">
              <w:rPr>
                <w:rFonts w:ascii="Times New Roman" w:eastAsia="Calibri" w:hAnsi="Times New Roman" w:cs="Times New Roman"/>
                <w:sz w:val="24"/>
                <w:szCs w:val="24"/>
                <w:lang w:val="en-US" w:eastAsia="en-US"/>
              </w:rPr>
              <w:t>(2020), Kumar e Maiti (2015), Gemici (2008), Sun; Hu; Cheng (2020)</w:t>
            </w:r>
          </w:p>
        </w:tc>
      </w:tr>
      <w:tr w:rsidR="00013B24" w:rsidRPr="00013B24" w14:paraId="7631CD47" w14:textId="77777777" w:rsidTr="00013B24">
        <w:trPr>
          <w:gridAfter w:val="2"/>
          <w:wAfter w:w="10227" w:type="dxa"/>
        </w:trPr>
        <w:tc>
          <w:tcPr>
            <w:tcW w:w="1276" w:type="dxa"/>
            <w:vMerge/>
            <w:tcBorders>
              <w:left w:val="nil"/>
              <w:right w:val="nil"/>
            </w:tcBorders>
            <w:shd w:val="clear" w:color="auto" w:fill="auto"/>
          </w:tcPr>
          <w:p w14:paraId="347711DC"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p>
        </w:tc>
        <w:tc>
          <w:tcPr>
            <w:tcW w:w="3260" w:type="dxa"/>
            <w:tcBorders>
              <w:top w:val="single" w:sz="4" w:space="0" w:color="auto"/>
              <w:left w:val="nil"/>
              <w:bottom w:val="single" w:sz="4" w:space="0" w:color="auto"/>
              <w:right w:val="nil"/>
            </w:tcBorders>
            <w:shd w:val="clear" w:color="auto" w:fill="auto"/>
            <w:vAlign w:val="center"/>
          </w:tcPr>
          <w:p w14:paraId="56F506C7" w14:textId="4E1C1CA1" w:rsidR="00013B24" w:rsidRPr="00013B24" w:rsidRDefault="00A41699" w:rsidP="00013B24">
            <w:pPr>
              <w:spacing w:after="160"/>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pt-BR" w:eastAsia="en-US"/>
              </w:rPr>
              <w:t>Industrial effluents</w:t>
            </w:r>
          </w:p>
        </w:tc>
        <w:tc>
          <w:tcPr>
            <w:tcW w:w="4536" w:type="dxa"/>
            <w:tcBorders>
              <w:top w:val="single" w:sz="4" w:space="0" w:color="auto"/>
              <w:left w:val="nil"/>
              <w:bottom w:val="single" w:sz="4" w:space="0" w:color="auto"/>
              <w:right w:val="nil"/>
            </w:tcBorders>
            <w:shd w:val="clear" w:color="auto" w:fill="auto"/>
            <w:vAlign w:val="center"/>
          </w:tcPr>
          <w:p w14:paraId="1111E2AD"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r w:rsidRPr="00013B24">
              <w:rPr>
                <w:rFonts w:ascii="Times New Roman" w:eastAsia="Calibri" w:hAnsi="Times New Roman" w:cs="Times New Roman"/>
                <w:sz w:val="24"/>
                <w:szCs w:val="24"/>
                <w:lang w:val="en-US" w:eastAsia="en-US"/>
              </w:rPr>
              <w:t>Marcussen; Dalsgaard; Holm (2008), Zhuang et al. (2019), Barhoumi et al. (2019), Rupakheti et al. (2017)</w:t>
            </w:r>
          </w:p>
        </w:tc>
      </w:tr>
      <w:tr w:rsidR="00013B24" w:rsidRPr="00013B24" w14:paraId="5802F3A7" w14:textId="77777777" w:rsidTr="00013B24">
        <w:trPr>
          <w:gridAfter w:val="2"/>
          <w:wAfter w:w="10227" w:type="dxa"/>
        </w:trPr>
        <w:tc>
          <w:tcPr>
            <w:tcW w:w="1276" w:type="dxa"/>
            <w:vMerge/>
            <w:tcBorders>
              <w:left w:val="nil"/>
              <w:right w:val="nil"/>
            </w:tcBorders>
            <w:shd w:val="clear" w:color="auto" w:fill="auto"/>
          </w:tcPr>
          <w:p w14:paraId="6F9D131A"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p>
        </w:tc>
        <w:tc>
          <w:tcPr>
            <w:tcW w:w="3260" w:type="dxa"/>
            <w:tcBorders>
              <w:top w:val="single" w:sz="4" w:space="0" w:color="auto"/>
              <w:left w:val="nil"/>
              <w:bottom w:val="single" w:sz="4" w:space="0" w:color="auto"/>
              <w:right w:val="nil"/>
            </w:tcBorders>
            <w:shd w:val="clear" w:color="auto" w:fill="auto"/>
            <w:vAlign w:val="center"/>
          </w:tcPr>
          <w:p w14:paraId="77F2C574" w14:textId="7C3A3378" w:rsidR="00013B24" w:rsidRPr="00013B24" w:rsidRDefault="00717035"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Waterway transport</w:t>
            </w:r>
            <w:r w:rsidR="00013B24" w:rsidRPr="00013B24">
              <w:rPr>
                <w:rFonts w:ascii="Times New Roman" w:eastAsia="Calibri" w:hAnsi="Times New Roman" w:cs="Times New Roman"/>
                <w:sz w:val="24"/>
                <w:szCs w:val="24"/>
                <w:lang w:val="pt-BR" w:eastAsia="en-US"/>
              </w:rPr>
              <w:t xml:space="preserve"> </w:t>
            </w:r>
          </w:p>
        </w:tc>
        <w:tc>
          <w:tcPr>
            <w:tcW w:w="4536" w:type="dxa"/>
            <w:tcBorders>
              <w:top w:val="single" w:sz="4" w:space="0" w:color="auto"/>
              <w:left w:val="nil"/>
              <w:bottom w:val="single" w:sz="4" w:space="0" w:color="auto"/>
              <w:right w:val="nil"/>
            </w:tcBorders>
            <w:shd w:val="clear" w:color="auto" w:fill="auto"/>
            <w:vAlign w:val="center"/>
          </w:tcPr>
          <w:p w14:paraId="378DDA78" w14:textId="77777777" w:rsidR="00013B24" w:rsidRPr="00013B24" w:rsidRDefault="00013B24" w:rsidP="00013B24">
            <w:pPr>
              <w:spacing w:after="160" w:line="259" w:lineRule="auto"/>
              <w:jc w:val="both"/>
              <w:rPr>
                <w:rFonts w:ascii="Times New Roman" w:eastAsia="Calibri" w:hAnsi="Times New Roman" w:cs="Times New Roman"/>
                <w:color w:val="000000"/>
                <w:sz w:val="24"/>
                <w:lang w:val="pt-BR" w:eastAsia="en-US"/>
              </w:rPr>
            </w:pPr>
            <w:r w:rsidRPr="00013B24">
              <w:rPr>
                <w:rFonts w:ascii="Times New Roman" w:eastAsia="Calibri" w:hAnsi="Times New Roman" w:cs="Times New Roman"/>
                <w:color w:val="000000"/>
                <w:sz w:val="24"/>
                <w:lang w:val="pt-BR" w:eastAsia="en-US"/>
              </w:rPr>
              <w:t>Zhuang et al. (2019)</w:t>
            </w:r>
          </w:p>
        </w:tc>
      </w:tr>
      <w:tr w:rsidR="00013B24" w:rsidRPr="00013B24" w14:paraId="6A4CEFE7" w14:textId="77777777" w:rsidTr="00013B24">
        <w:trPr>
          <w:gridAfter w:val="2"/>
          <w:wAfter w:w="10227" w:type="dxa"/>
        </w:trPr>
        <w:tc>
          <w:tcPr>
            <w:tcW w:w="1276" w:type="dxa"/>
            <w:vMerge/>
            <w:tcBorders>
              <w:left w:val="nil"/>
              <w:bottom w:val="single" w:sz="12" w:space="0" w:color="auto"/>
              <w:right w:val="nil"/>
            </w:tcBorders>
            <w:shd w:val="clear" w:color="auto" w:fill="auto"/>
          </w:tcPr>
          <w:p w14:paraId="044A2124"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p>
        </w:tc>
        <w:tc>
          <w:tcPr>
            <w:tcW w:w="3260" w:type="dxa"/>
            <w:tcBorders>
              <w:top w:val="single" w:sz="4" w:space="0" w:color="auto"/>
              <w:left w:val="nil"/>
              <w:bottom w:val="single" w:sz="12" w:space="0" w:color="auto"/>
              <w:right w:val="nil"/>
            </w:tcBorders>
            <w:shd w:val="clear" w:color="auto" w:fill="auto"/>
            <w:vAlign w:val="center"/>
          </w:tcPr>
          <w:p w14:paraId="2AE622E5" w14:textId="7605E02D" w:rsidR="00013B24" w:rsidRPr="00013B24" w:rsidRDefault="00717035"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Atmospheric deposition from polluted areas</w:t>
            </w:r>
          </w:p>
        </w:tc>
        <w:tc>
          <w:tcPr>
            <w:tcW w:w="4536" w:type="dxa"/>
            <w:tcBorders>
              <w:top w:val="single" w:sz="4" w:space="0" w:color="auto"/>
              <w:left w:val="nil"/>
              <w:bottom w:val="single" w:sz="12" w:space="0" w:color="auto"/>
              <w:right w:val="nil"/>
            </w:tcBorders>
            <w:shd w:val="clear" w:color="auto" w:fill="auto"/>
            <w:vAlign w:val="center"/>
          </w:tcPr>
          <w:p w14:paraId="59D5633D" w14:textId="77777777" w:rsidR="00013B24" w:rsidRPr="00013B24" w:rsidRDefault="00013B24" w:rsidP="00013B24">
            <w:pPr>
              <w:spacing w:after="160" w:line="259" w:lineRule="auto"/>
              <w:jc w:val="both"/>
              <w:rPr>
                <w:rFonts w:ascii="Times New Roman" w:eastAsia="Calibri" w:hAnsi="Times New Roman" w:cs="Times New Roman"/>
                <w:color w:val="000000"/>
                <w:sz w:val="24"/>
                <w:lang w:val="pt-BR" w:eastAsia="en-US"/>
              </w:rPr>
            </w:pPr>
            <w:r w:rsidRPr="00013B24">
              <w:rPr>
                <w:rFonts w:ascii="Times New Roman" w:eastAsia="Calibri" w:hAnsi="Times New Roman" w:cs="Times New Roman"/>
                <w:color w:val="000000"/>
                <w:sz w:val="24"/>
                <w:lang w:val="pt-BR" w:eastAsia="en-US"/>
              </w:rPr>
              <w:t>Rupakheti et al. (2017)</w:t>
            </w:r>
          </w:p>
        </w:tc>
      </w:tr>
      <w:tr w:rsidR="00013B24" w:rsidRPr="00013B24" w14:paraId="3D021E9B" w14:textId="77777777" w:rsidTr="00013B24">
        <w:trPr>
          <w:gridAfter w:val="2"/>
          <w:wAfter w:w="10227" w:type="dxa"/>
        </w:trPr>
        <w:tc>
          <w:tcPr>
            <w:tcW w:w="1276" w:type="dxa"/>
            <w:vMerge w:val="restart"/>
            <w:tcBorders>
              <w:top w:val="single" w:sz="12" w:space="0" w:color="auto"/>
              <w:left w:val="nil"/>
              <w:right w:val="nil"/>
            </w:tcBorders>
            <w:shd w:val="clear" w:color="auto" w:fill="auto"/>
            <w:vAlign w:val="center"/>
          </w:tcPr>
          <w:p w14:paraId="249C5B78" w14:textId="77777777" w:rsidR="00013B24" w:rsidRPr="00013B24" w:rsidRDefault="00013B24" w:rsidP="00013B24">
            <w:pPr>
              <w:spacing w:after="160"/>
              <w:jc w:val="center"/>
              <w:rPr>
                <w:rFonts w:ascii="Times New Roman" w:eastAsia="Calibri" w:hAnsi="Times New Roman" w:cs="Times New Roman"/>
                <w:b/>
                <w:bCs/>
                <w:sz w:val="24"/>
                <w:szCs w:val="24"/>
                <w:lang w:val="en-US" w:eastAsia="en-US"/>
              </w:rPr>
            </w:pPr>
            <w:r w:rsidRPr="00013B24">
              <w:rPr>
                <w:rFonts w:ascii="Times New Roman" w:eastAsia="Calibri" w:hAnsi="Times New Roman" w:cs="Times New Roman"/>
                <w:b/>
                <w:bCs/>
                <w:sz w:val="24"/>
                <w:szCs w:val="24"/>
                <w:lang w:val="en-US" w:eastAsia="en-US"/>
              </w:rPr>
              <w:lastRenderedPageBreak/>
              <w:t>Pb</w:t>
            </w:r>
          </w:p>
        </w:tc>
        <w:tc>
          <w:tcPr>
            <w:tcW w:w="3260" w:type="dxa"/>
            <w:tcBorders>
              <w:top w:val="single" w:sz="12" w:space="0" w:color="auto"/>
              <w:left w:val="nil"/>
              <w:bottom w:val="single" w:sz="4" w:space="0" w:color="auto"/>
              <w:right w:val="nil"/>
            </w:tcBorders>
            <w:shd w:val="clear" w:color="auto" w:fill="auto"/>
            <w:vAlign w:val="center"/>
          </w:tcPr>
          <w:p w14:paraId="1D6DC950" w14:textId="68D6DF5D" w:rsidR="00013B24" w:rsidRPr="00013B24" w:rsidRDefault="00A41699"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Mining</w:t>
            </w:r>
          </w:p>
        </w:tc>
        <w:tc>
          <w:tcPr>
            <w:tcW w:w="4536" w:type="dxa"/>
            <w:tcBorders>
              <w:top w:val="single" w:sz="12" w:space="0" w:color="auto"/>
              <w:left w:val="nil"/>
              <w:bottom w:val="single" w:sz="4" w:space="0" w:color="auto"/>
              <w:right w:val="nil"/>
            </w:tcBorders>
            <w:shd w:val="clear" w:color="auto" w:fill="auto"/>
            <w:vAlign w:val="center"/>
          </w:tcPr>
          <w:p w14:paraId="17D0B6D1" w14:textId="77777777" w:rsidR="00013B24" w:rsidRPr="00013B24" w:rsidRDefault="00013B24" w:rsidP="00013B24">
            <w:pPr>
              <w:spacing w:after="160"/>
              <w:jc w:val="both"/>
              <w:rPr>
                <w:rFonts w:ascii="Times New Roman" w:eastAsia="Calibri" w:hAnsi="Times New Roman" w:cs="Times New Roman"/>
                <w:sz w:val="24"/>
                <w:szCs w:val="24"/>
                <w:lang w:val="pt-BR" w:eastAsia="en-US"/>
              </w:rPr>
            </w:pPr>
            <w:r w:rsidRPr="00013B24">
              <w:rPr>
                <w:rFonts w:ascii="Times New Roman" w:eastAsia="Calibri" w:hAnsi="Times New Roman" w:cs="Times New Roman"/>
                <w:sz w:val="24"/>
                <w:szCs w:val="24"/>
                <w:lang w:val="en-US" w:eastAsia="en-US"/>
              </w:rPr>
              <w:t xml:space="preserve">Sun; Hu; Cheng (2020); Hu et al. (2020), El Azhari et al. (2017), Zhang et al. </w:t>
            </w:r>
            <w:r w:rsidRPr="00013B24">
              <w:rPr>
                <w:rFonts w:ascii="Times New Roman" w:eastAsia="Calibri" w:hAnsi="Times New Roman" w:cs="Times New Roman"/>
                <w:sz w:val="24"/>
                <w:szCs w:val="24"/>
                <w:lang w:val="pt-BR" w:eastAsia="en-US"/>
              </w:rPr>
              <w:t xml:space="preserve">(2018), Palacios-Torres; de la Rosa; Olivero-Verbel (2020), Bouzekri et al. (2020), O'Neill et al. (2015), Iavazzo et al. (2012), Obaje et al. (2019), Hadjipanagiotou et al. (2020), Custodio et al. (2020), Yi et al. (2020), Zibret e Gosar (2017), Palma; Ledo; Alvarenga (2015), Munk; Faure (2004), Shakeri et al. </w:t>
            </w:r>
            <w:r w:rsidRPr="00013B24">
              <w:rPr>
                <w:rFonts w:ascii="Times New Roman" w:eastAsia="Calibri" w:hAnsi="Times New Roman" w:cs="Times New Roman"/>
                <w:sz w:val="24"/>
                <w:szCs w:val="24"/>
                <w:lang w:val="en-US" w:eastAsia="en-US"/>
              </w:rPr>
              <w:t>(2020), Chaparro et al. (2020)</w:t>
            </w:r>
          </w:p>
        </w:tc>
      </w:tr>
      <w:tr w:rsidR="00013B24" w:rsidRPr="00013B24" w14:paraId="6B7BCF2B" w14:textId="77777777" w:rsidTr="00013B24">
        <w:trPr>
          <w:gridAfter w:val="2"/>
          <w:wAfter w:w="10227" w:type="dxa"/>
        </w:trPr>
        <w:tc>
          <w:tcPr>
            <w:tcW w:w="1276" w:type="dxa"/>
            <w:vMerge/>
            <w:tcBorders>
              <w:left w:val="nil"/>
              <w:right w:val="nil"/>
            </w:tcBorders>
            <w:shd w:val="clear" w:color="auto" w:fill="auto"/>
          </w:tcPr>
          <w:p w14:paraId="155D005F" w14:textId="77777777" w:rsidR="00013B24" w:rsidRPr="00013B24" w:rsidRDefault="00013B24" w:rsidP="00013B24">
            <w:pPr>
              <w:spacing w:after="160"/>
              <w:jc w:val="both"/>
              <w:rPr>
                <w:rFonts w:ascii="Times New Roman" w:eastAsia="Calibri" w:hAnsi="Times New Roman" w:cs="Times New Roman"/>
                <w:sz w:val="24"/>
                <w:szCs w:val="24"/>
                <w:lang w:val="pt-BR" w:eastAsia="en-US"/>
              </w:rPr>
            </w:pPr>
          </w:p>
        </w:tc>
        <w:tc>
          <w:tcPr>
            <w:tcW w:w="3260" w:type="dxa"/>
            <w:tcBorders>
              <w:top w:val="single" w:sz="4" w:space="0" w:color="auto"/>
              <w:left w:val="nil"/>
              <w:bottom w:val="single" w:sz="4" w:space="0" w:color="auto"/>
              <w:right w:val="nil"/>
            </w:tcBorders>
            <w:shd w:val="clear" w:color="auto" w:fill="auto"/>
            <w:vAlign w:val="center"/>
          </w:tcPr>
          <w:p w14:paraId="2BE3EABE" w14:textId="4C4C8AD8" w:rsidR="00013B24" w:rsidRPr="00013B24" w:rsidRDefault="00A41699"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Industries</w:t>
            </w:r>
          </w:p>
        </w:tc>
        <w:tc>
          <w:tcPr>
            <w:tcW w:w="4536" w:type="dxa"/>
            <w:tcBorders>
              <w:top w:val="single" w:sz="4" w:space="0" w:color="auto"/>
              <w:left w:val="nil"/>
              <w:bottom w:val="single" w:sz="4" w:space="0" w:color="auto"/>
              <w:right w:val="nil"/>
            </w:tcBorders>
            <w:shd w:val="clear" w:color="auto" w:fill="auto"/>
            <w:vAlign w:val="center"/>
          </w:tcPr>
          <w:p w14:paraId="61B157A2" w14:textId="77777777" w:rsidR="00013B24" w:rsidRPr="00013B24" w:rsidRDefault="00013B24" w:rsidP="00013B24">
            <w:pPr>
              <w:spacing w:after="160"/>
              <w:jc w:val="both"/>
              <w:rPr>
                <w:rFonts w:ascii="Times New Roman" w:eastAsia="Calibri" w:hAnsi="Times New Roman" w:cs="Times New Roman"/>
                <w:sz w:val="24"/>
                <w:szCs w:val="24"/>
                <w:lang w:val="pt-BR" w:eastAsia="en-US"/>
              </w:rPr>
            </w:pPr>
            <w:r w:rsidRPr="00013B24">
              <w:rPr>
                <w:rFonts w:ascii="Times New Roman" w:eastAsia="Calibri" w:hAnsi="Times New Roman" w:cs="Times New Roman"/>
                <w:sz w:val="24"/>
                <w:szCs w:val="24"/>
                <w:lang w:val="en-US" w:eastAsia="en-US"/>
              </w:rPr>
              <w:t xml:space="preserve">Ezemonye et al. (2019), Hoang et al. </w:t>
            </w:r>
            <w:r w:rsidRPr="00013B24">
              <w:rPr>
                <w:rFonts w:ascii="Times New Roman" w:eastAsia="Calibri" w:hAnsi="Times New Roman" w:cs="Times New Roman"/>
                <w:sz w:val="24"/>
                <w:szCs w:val="24"/>
                <w:lang w:val="pt-BR" w:eastAsia="en-US"/>
              </w:rPr>
              <w:t>(2020), Niu et al. (2020), Louriño-Cabana et al. (2011), Ji et al. (2019), Castro; Rendina; Orgeira (2018), Sierra et al. (2014), Tytla e Kostecki (2019), Roig et al. (2011), Sheykhi; Moore (2013), da Silva Júnior et al. (2020), Yang et al. (2010), Hou et al. (2009), Custodio et al. (2020)</w:t>
            </w:r>
          </w:p>
        </w:tc>
      </w:tr>
      <w:tr w:rsidR="00013B24" w:rsidRPr="00013B24" w14:paraId="276450EC" w14:textId="77777777" w:rsidTr="00013B24">
        <w:trPr>
          <w:gridAfter w:val="2"/>
          <w:wAfter w:w="10227" w:type="dxa"/>
        </w:trPr>
        <w:tc>
          <w:tcPr>
            <w:tcW w:w="1276" w:type="dxa"/>
            <w:vMerge/>
            <w:tcBorders>
              <w:left w:val="nil"/>
              <w:right w:val="nil"/>
            </w:tcBorders>
            <w:shd w:val="clear" w:color="auto" w:fill="auto"/>
          </w:tcPr>
          <w:p w14:paraId="07C7A55A"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p>
        </w:tc>
        <w:tc>
          <w:tcPr>
            <w:tcW w:w="3260" w:type="dxa"/>
            <w:tcBorders>
              <w:top w:val="single" w:sz="4" w:space="0" w:color="auto"/>
              <w:left w:val="nil"/>
              <w:bottom w:val="single" w:sz="4" w:space="0" w:color="808080"/>
              <w:right w:val="nil"/>
            </w:tcBorders>
            <w:shd w:val="clear" w:color="auto" w:fill="auto"/>
            <w:vAlign w:val="center"/>
          </w:tcPr>
          <w:p w14:paraId="111F2392" w14:textId="7EF004CC" w:rsidR="00013B24" w:rsidRPr="00013B24" w:rsidRDefault="00A41699"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Agriculture</w:t>
            </w:r>
          </w:p>
        </w:tc>
        <w:tc>
          <w:tcPr>
            <w:tcW w:w="4536" w:type="dxa"/>
            <w:tcBorders>
              <w:top w:val="single" w:sz="4" w:space="0" w:color="auto"/>
              <w:left w:val="nil"/>
              <w:bottom w:val="single" w:sz="4" w:space="0" w:color="808080"/>
              <w:right w:val="nil"/>
            </w:tcBorders>
            <w:shd w:val="clear" w:color="auto" w:fill="auto"/>
            <w:vAlign w:val="center"/>
          </w:tcPr>
          <w:p w14:paraId="72A46284" w14:textId="77777777" w:rsidR="00013B24" w:rsidRPr="00013B24" w:rsidRDefault="00013B24" w:rsidP="00013B24">
            <w:pPr>
              <w:spacing w:after="160"/>
              <w:jc w:val="both"/>
              <w:rPr>
                <w:rFonts w:ascii="Times New Roman" w:eastAsia="Calibri" w:hAnsi="Times New Roman" w:cs="Times New Roman"/>
                <w:sz w:val="24"/>
                <w:szCs w:val="24"/>
                <w:lang w:val="pt-BR" w:eastAsia="en-US"/>
              </w:rPr>
            </w:pPr>
            <w:r w:rsidRPr="00013B24">
              <w:rPr>
                <w:rFonts w:ascii="Times New Roman" w:eastAsia="Calibri" w:hAnsi="Times New Roman" w:cs="Times New Roman"/>
                <w:sz w:val="24"/>
                <w:szCs w:val="24"/>
                <w:lang w:val="en-US" w:eastAsia="en-US"/>
              </w:rPr>
              <w:t xml:space="preserve">Zhuang et al. (2019), Yuan et al. </w:t>
            </w:r>
            <w:r w:rsidRPr="00013B24">
              <w:rPr>
                <w:rFonts w:ascii="Times New Roman" w:eastAsia="Calibri" w:hAnsi="Times New Roman" w:cs="Times New Roman"/>
                <w:sz w:val="24"/>
                <w:szCs w:val="24"/>
                <w:lang w:val="pt-BR" w:eastAsia="en-US"/>
              </w:rPr>
              <w:t xml:space="preserve">(2019), Castro; Rendina; Orgeira (2018), Santana et al. </w:t>
            </w:r>
            <w:r w:rsidRPr="00013B24">
              <w:rPr>
                <w:rFonts w:ascii="Times New Roman" w:eastAsia="Calibri" w:hAnsi="Times New Roman" w:cs="Times New Roman"/>
                <w:sz w:val="24"/>
                <w:szCs w:val="24"/>
                <w:lang w:val="en-US" w:eastAsia="en-US"/>
              </w:rPr>
              <w:t xml:space="preserve">(2020), Huang et al. (2020a), Li et al. (2020), Yuan et al. (2019), Amini e Qishlaqi (2020), Sheykhi et al. (2017), Wang et al. (2018), Saran et al. </w:t>
            </w:r>
            <w:r w:rsidRPr="00013B24">
              <w:rPr>
                <w:rFonts w:ascii="Times New Roman" w:eastAsia="Calibri" w:hAnsi="Times New Roman" w:cs="Times New Roman"/>
                <w:sz w:val="24"/>
                <w:szCs w:val="24"/>
                <w:lang w:val="pt-BR" w:eastAsia="en-US"/>
              </w:rPr>
              <w:t>(2018), Rupakheti et al. (2017)</w:t>
            </w:r>
          </w:p>
        </w:tc>
      </w:tr>
      <w:tr w:rsidR="00013B24" w:rsidRPr="00013B24" w14:paraId="54915AB0" w14:textId="77777777" w:rsidTr="00013B24">
        <w:trPr>
          <w:gridAfter w:val="2"/>
          <w:wAfter w:w="10227" w:type="dxa"/>
        </w:trPr>
        <w:tc>
          <w:tcPr>
            <w:tcW w:w="1276" w:type="dxa"/>
            <w:vMerge/>
            <w:tcBorders>
              <w:top w:val="single" w:sz="4" w:space="0" w:color="auto"/>
              <w:left w:val="nil"/>
              <w:right w:val="nil"/>
            </w:tcBorders>
            <w:shd w:val="clear" w:color="auto" w:fill="auto"/>
          </w:tcPr>
          <w:p w14:paraId="4E814806"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p>
        </w:tc>
        <w:tc>
          <w:tcPr>
            <w:tcW w:w="3260" w:type="dxa"/>
            <w:tcBorders>
              <w:top w:val="single" w:sz="4" w:space="0" w:color="auto"/>
              <w:left w:val="nil"/>
              <w:bottom w:val="single" w:sz="4" w:space="0" w:color="auto"/>
              <w:right w:val="nil"/>
            </w:tcBorders>
            <w:shd w:val="clear" w:color="auto" w:fill="auto"/>
            <w:vAlign w:val="center"/>
          </w:tcPr>
          <w:p w14:paraId="50B4E34C" w14:textId="5C1C95C2" w:rsidR="00013B24" w:rsidRPr="00013B24" w:rsidRDefault="00A41699"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Domestic effluents</w:t>
            </w:r>
            <w:r w:rsidR="00013B24" w:rsidRPr="00013B24">
              <w:rPr>
                <w:rFonts w:ascii="Times New Roman" w:eastAsia="Calibri" w:hAnsi="Times New Roman" w:cs="Times New Roman"/>
                <w:sz w:val="24"/>
                <w:szCs w:val="24"/>
                <w:lang w:val="pt-BR" w:eastAsia="en-US"/>
              </w:rPr>
              <w:t xml:space="preserve"> </w:t>
            </w:r>
          </w:p>
        </w:tc>
        <w:tc>
          <w:tcPr>
            <w:tcW w:w="4536" w:type="dxa"/>
            <w:tcBorders>
              <w:top w:val="single" w:sz="4" w:space="0" w:color="auto"/>
              <w:left w:val="nil"/>
              <w:bottom w:val="single" w:sz="4" w:space="0" w:color="auto"/>
              <w:right w:val="nil"/>
            </w:tcBorders>
            <w:shd w:val="clear" w:color="auto" w:fill="auto"/>
            <w:vAlign w:val="center"/>
          </w:tcPr>
          <w:p w14:paraId="4680C1A3" w14:textId="77777777" w:rsidR="00013B24" w:rsidRPr="00013B24" w:rsidRDefault="00013B24" w:rsidP="00013B24">
            <w:pPr>
              <w:spacing w:after="160"/>
              <w:jc w:val="both"/>
              <w:rPr>
                <w:rFonts w:ascii="Times New Roman" w:eastAsia="Calibri" w:hAnsi="Times New Roman" w:cs="Times New Roman"/>
                <w:sz w:val="24"/>
                <w:szCs w:val="24"/>
                <w:lang w:val="pt-BR" w:eastAsia="en-US"/>
              </w:rPr>
            </w:pPr>
            <w:r w:rsidRPr="00013B24">
              <w:rPr>
                <w:rFonts w:ascii="Times New Roman" w:eastAsia="Calibri" w:hAnsi="Times New Roman" w:cs="Times New Roman"/>
                <w:sz w:val="24"/>
                <w:szCs w:val="24"/>
                <w:lang w:val="pt-BR" w:eastAsia="en-US"/>
              </w:rPr>
              <w:t>Pratap; Mani; Prasad (2020), Lafitte et al. (2020), Ustaoğlua e Islam (2020), Marcussen; Dalsgaard; Holm (2008), da Silva Júnior et al. (2020), Amini e Qishlaqi (2020), Sheykhi et al. (2017), dos Santos et al. (2020), Barhoumi et al. (2019), Vystavna et al. (2012), Rupakheti et al. (2017), Wang et al. (2020c)</w:t>
            </w:r>
          </w:p>
        </w:tc>
      </w:tr>
      <w:tr w:rsidR="00013B24" w:rsidRPr="00013B24" w14:paraId="467F7701" w14:textId="77777777" w:rsidTr="00013B24">
        <w:trPr>
          <w:gridAfter w:val="2"/>
          <w:wAfter w:w="10227" w:type="dxa"/>
        </w:trPr>
        <w:tc>
          <w:tcPr>
            <w:tcW w:w="1276" w:type="dxa"/>
            <w:vMerge/>
            <w:tcBorders>
              <w:left w:val="nil"/>
              <w:right w:val="nil"/>
            </w:tcBorders>
            <w:shd w:val="clear" w:color="auto" w:fill="auto"/>
          </w:tcPr>
          <w:p w14:paraId="6750EEEC"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p>
        </w:tc>
        <w:tc>
          <w:tcPr>
            <w:tcW w:w="3260" w:type="dxa"/>
            <w:tcBorders>
              <w:top w:val="single" w:sz="4" w:space="0" w:color="auto"/>
              <w:left w:val="nil"/>
              <w:bottom w:val="single" w:sz="4" w:space="0" w:color="auto"/>
              <w:right w:val="nil"/>
            </w:tcBorders>
            <w:shd w:val="clear" w:color="auto" w:fill="auto"/>
            <w:vAlign w:val="center"/>
          </w:tcPr>
          <w:p w14:paraId="26EABD89" w14:textId="7EEC15D9" w:rsidR="00013B24" w:rsidRPr="00013B24" w:rsidRDefault="00A41699"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Traffic</w:t>
            </w:r>
          </w:p>
        </w:tc>
        <w:tc>
          <w:tcPr>
            <w:tcW w:w="4536" w:type="dxa"/>
            <w:tcBorders>
              <w:top w:val="single" w:sz="4" w:space="0" w:color="auto"/>
              <w:left w:val="nil"/>
              <w:bottom w:val="single" w:sz="4" w:space="0" w:color="auto"/>
              <w:right w:val="nil"/>
            </w:tcBorders>
            <w:shd w:val="clear" w:color="auto" w:fill="auto"/>
            <w:vAlign w:val="center"/>
          </w:tcPr>
          <w:p w14:paraId="1675F688"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r w:rsidRPr="00013B24">
              <w:rPr>
                <w:rFonts w:ascii="Times New Roman" w:eastAsia="Calibri" w:hAnsi="Times New Roman" w:cs="Times New Roman"/>
                <w:sz w:val="24"/>
                <w:szCs w:val="24"/>
                <w:lang w:val="en-US" w:eastAsia="en-US"/>
              </w:rPr>
              <w:t xml:space="preserve">Barhoumi et al. (2019), Xia et al. </w:t>
            </w:r>
            <w:r w:rsidRPr="00013B24">
              <w:rPr>
                <w:rFonts w:ascii="Times New Roman" w:eastAsia="Calibri" w:hAnsi="Times New Roman" w:cs="Times New Roman"/>
                <w:sz w:val="24"/>
                <w:szCs w:val="24"/>
                <w:lang w:val="pt-BR" w:eastAsia="en-US"/>
              </w:rPr>
              <w:t xml:space="preserve">(2020), dos Santos et al. (2020), Hu et al. </w:t>
            </w:r>
            <w:r w:rsidRPr="00013B24">
              <w:rPr>
                <w:rFonts w:ascii="Times New Roman" w:eastAsia="Calibri" w:hAnsi="Times New Roman" w:cs="Times New Roman"/>
                <w:sz w:val="24"/>
                <w:szCs w:val="24"/>
                <w:lang w:val="en-US" w:eastAsia="en-US"/>
              </w:rPr>
              <w:t>(2020), Peng et al. (2020), Liu; Zhang; Zhang (2017), Hou et al. (2009), Sebastiao; Wagner;Goldsmith (2017), Sheykhi; Moore (2013)</w:t>
            </w:r>
          </w:p>
        </w:tc>
      </w:tr>
      <w:tr w:rsidR="00013B24" w:rsidRPr="00013B24" w14:paraId="5F684C80" w14:textId="77777777" w:rsidTr="00013B24">
        <w:trPr>
          <w:gridAfter w:val="2"/>
          <w:wAfter w:w="10227" w:type="dxa"/>
        </w:trPr>
        <w:tc>
          <w:tcPr>
            <w:tcW w:w="1276" w:type="dxa"/>
            <w:vMerge/>
            <w:tcBorders>
              <w:left w:val="nil"/>
              <w:right w:val="nil"/>
            </w:tcBorders>
            <w:shd w:val="clear" w:color="auto" w:fill="auto"/>
          </w:tcPr>
          <w:p w14:paraId="230532AA"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p>
        </w:tc>
        <w:tc>
          <w:tcPr>
            <w:tcW w:w="3260" w:type="dxa"/>
            <w:tcBorders>
              <w:top w:val="single" w:sz="4" w:space="0" w:color="auto"/>
              <w:left w:val="nil"/>
              <w:bottom w:val="single" w:sz="4" w:space="0" w:color="auto"/>
              <w:right w:val="nil"/>
            </w:tcBorders>
            <w:shd w:val="clear" w:color="auto" w:fill="auto"/>
            <w:vAlign w:val="center"/>
          </w:tcPr>
          <w:p w14:paraId="19755A4F" w14:textId="6E95C859" w:rsidR="00013B24" w:rsidRPr="00013B24" w:rsidRDefault="00A41699"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Industrial effluents</w:t>
            </w:r>
            <w:r w:rsidR="00013B24" w:rsidRPr="00013B24">
              <w:rPr>
                <w:rFonts w:ascii="Times New Roman" w:eastAsia="Calibri" w:hAnsi="Times New Roman" w:cs="Times New Roman"/>
                <w:sz w:val="24"/>
                <w:szCs w:val="24"/>
                <w:lang w:val="pt-BR" w:eastAsia="en-US"/>
              </w:rPr>
              <w:t xml:space="preserve"> </w:t>
            </w:r>
          </w:p>
        </w:tc>
        <w:tc>
          <w:tcPr>
            <w:tcW w:w="4536" w:type="dxa"/>
            <w:tcBorders>
              <w:top w:val="single" w:sz="4" w:space="0" w:color="auto"/>
              <w:left w:val="nil"/>
              <w:bottom w:val="single" w:sz="4" w:space="0" w:color="auto"/>
              <w:right w:val="nil"/>
            </w:tcBorders>
            <w:shd w:val="clear" w:color="auto" w:fill="auto"/>
            <w:vAlign w:val="center"/>
          </w:tcPr>
          <w:p w14:paraId="4616452B"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r w:rsidRPr="00013B24">
              <w:rPr>
                <w:rFonts w:ascii="Times New Roman" w:eastAsia="Calibri" w:hAnsi="Times New Roman" w:cs="Times New Roman"/>
                <w:sz w:val="24"/>
                <w:szCs w:val="24"/>
                <w:lang w:val="pt-BR" w:eastAsia="en-US"/>
              </w:rPr>
              <w:t xml:space="preserve">Ustaoğlua e Islam (2020), Marcussen; Dalsgaard; Holm (2008), da Silva Júnior et </w:t>
            </w:r>
            <w:r w:rsidRPr="00013B24">
              <w:rPr>
                <w:rFonts w:ascii="Times New Roman" w:eastAsia="Calibri" w:hAnsi="Times New Roman" w:cs="Times New Roman"/>
                <w:sz w:val="24"/>
                <w:szCs w:val="24"/>
                <w:lang w:val="pt-BR" w:eastAsia="en-US"/>
              </w:rPr>
              <w:lastRenderedPageBreak/>
              <w:t xml:space="preserve">al. </w:t>
            </w:r>
            <w:r w:rsidRPr="00013B24">
              <w:rPr>
                <w:rFonts w:ascii="Times New Roman" w:eastAsia="Calibri" w:hAnsi="Times New Roman" w:cs="Times New Roman"/>
                <w:sz w:val="24"/>
                <w:szCs w:val="24"/>
                <w:lang w:val="en-US" w:eastAsia="en-US"/>
              </w:rPr>
              <w:t>(2020), Barhoumi et al. (2019), Wang et al. (2018), Rupakheti et al. (2017)</w:t>
            </w:r>
          </w:p>
        </w:tc>
      </w:tr>
      <w:tr w:rsidR="00013B24" w:rsidRPr="00013B24" w14:paraId="712E0EDE" w14:textId="77777777" w:rsidTr="00013B24">
        <w:tc>
          <w:tcPr>
            <w:tcW w:w="1276" w:type="dxa"/>
            <w:vMerge/>
            <w:tcBorders>
              <w:left w:val="nil"/>
              <w:right w:val="nil"/>
            </w:tcBorders>
            <w:shd w:val="clear" w:color="auto" w:fill="auto"/>
          </w:tcPr>
          <w:p w14:paraId="3F4BA816"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p>
        </w:tc>
        <w:tc>
          <w:tcPr>
            <w:tcW w:w="3260" w:type="dxa"/>
            <w:tcBorders>
              <w:top w:val="single" w:sz="4" w:space="0" w:color="auto"/>
              <w:left w:val="nil"/>
              <w:bottom w:val="single" w:sz="4" w:space="0" w:color="auto"/>
              <w:right w:val="nil"/>
            </w:tcBorders>
            <w:shd w:val="clear" w:color="auto" w:fill="auto"/>
            <w:vAlign w:val="center"/>
          </w:tcPr>
          <w:p w14:paraId="547C28CF" w14:textId="7CBEC429" w:rsidR="00013B24" w:rsidRPr="00013B24" w:rsidRDefault="00717035"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Atmospheric deposition from polluted areas</w:t>
            </w:r>
          </w:p>
        </w:tc>
        <w:tc>
          <w:tcPr>
            <w:tcW w:w="4536" w:type="dxa"/>
            <w:tcBorders>
              <w:top w:val="single" w:sz="4" w:space="0" w:color="auto"/>
              <w:left w:val="nil"/>
              <w:bottom w:val="single" w:sz="4" w:space="0" w:color="auto"/>
              <w:right w:val="nil"/>
            </w:tcBorders>
            <w:shd w:val="clear" w:color="auto" w:fill="auto"/>
          </w:tcPr>
          <w:p w14:paraId="3A367EB7" w14:textId="77777777" w:rsidR="00013B24" w:rsidRPr="00013B24" w:rsidRDefault="00013B24" w:rsidP="00013B24">
            <w:pPr>
              <w:spacing w:after="160"/>
              <w:jc w:val="both"/>
              <w:rPr>
                <w:rFonts w:ascii="Times New Roman" w:eastAsia="Calibri" w:hAnsi="Times New Roman" w:cs="Times New Roman"/>
                <w:sz w:val="24"/>
                <w:szCs w:val="24"/>
                <w:lang w:val="pt-BR" w:eastAsia="en-US"/>
              </w:rPr>
            </w:pPr>
            <w:r w:rsidRPr="00013B24">
              <w:rPr>
                <w:rFonts w:ascii="Times New Roman" w:eastAsia="Calibri" w:hAnsi="Times New Roman" w:cs="Times New Roman"/>
                <w:sz w:val="24"/>
                <w:szCs w:val="24"/>
                <w:lang w:val="en-US" w:eastAsia="en-US"/>
              </w:rPr>
              <w:t xml:space="preserve">Li et al. (2020), Yuan et al. (2019), Mao et al. (2020), Rupakheti et al. </w:t>
            </w:r>
            <w:r w:rsidRPr="00013B24">
              <w:rPr>
                <w:rFonts w:ascii="Times New Roman" w:eastAsia="Calibri" w:hAnsi="Times New Roman" w:cs="Times New Roman"/>
                <w:sz w:val="24"/>
                <w:szCs w:val="24"/>
                <w:lang w:val="pt-BR" w:eastAsia="en-US"/>
              </w:rPr>
              <w:t>(2017)</w:t>
            </w:r>
          </w:p>
        </w:tc>
        <w:tc>
          <w:tcPr>
            <w:tcW w:w="5409" w:type="dxa"/>
            <w:vAlign w:val="center"/>
          </w:tcPr>
          <w:p w14:paraId="57A81370" w14:textId="77777777" w:rsidR="00013B24" w:rsidRPr="00013B24" w:rsidRDefault="00013B24" w:rsidP="00013B24">
            <w:pPr>
              <w:spacing w:after="160" w:line="259" w:lineRule="auto"/>
              <w:rPr>
                <w:rFonts w:ascii="Times New Roman" w:eastAsia="Calibri" w:hAnsi="Times New Roman" w:cs="Times New Roman"/>
                <w:sz w:val="24"/>
                <w:lang w:val="pt-BR" w:eastAsia="en-US"/>
              </w:rPr>
            </w:pPr>
          </w:p>
        </w:tc>
        <w:tc>
          <w:tcPr>
            <w:tcW w:w="4818" w:type="dxa"/>
            <w:vAlign w:val="center"/>
          </w:tcPr>
          <w:p w14:paraId="65FE8B2C" w14:textId="77777777" w:rsidR="00013B24" w:rsidRPr="00013B24" w:rsidRDefault="00013B24" w:rsidP="00013B24">
            <w:pPr>
              <w:spacing w:after="160" w:line="259" w:lineRule="auto"/>
              <w:rPr>
                <w:rFonts w:ascii="Times New Roman" w:eastAsia="Calibri" w:hAnsi="Times New Roman" w:cs="Times New Roman"/>
                <w:sz w:val="24"/>
                <w:lang w:val="pt-BR" w:eastAsia="en-US"/>
              </w:rPr>
            </w:pPr>
          </w:p>
        </w:tc>
      </w:tr>
      <w:tr w:rsidR="00013B24" w:rsidRPr="00013B24" w14:paraId="1ED294D2" w14:textId="77777777" w:rsidTr="00013B24">
        <w:trPr>
          <w:gridAfter w:val="2"/>
          <w:wAfter w:w="10227" w:type="dxa"/>
        </w:trPr>
        <w:tc>
          <w:tcPr>
            <w:tcW w:w="1276" w:type="dxa"/>
            <w:vMerge/>
            <w:tcBorders>
              <w:left w:val="nil"/>
              <w:right w:val="nil"/>
            </w:tcBorders>
            <w:shd w:val="clear" w:color="auto" w:fill="auto"/>
          </w:tcPr>
          <w:p w14:paraId="0EFD4C78" w14:textId="77777777" w:rsidR="00013B24" w:rsidRPr="00013B24" w:rsidRDefault="00013B24" w:rsidP="00013B24">
            <w:pPr>
              <w:spacing w:after="160"/>
              <w:jc w:val="both"/>
              <w:rPr>
                <w:rFonts w:ascii="Times New Roman" w:eastAsia="Calibri" w:hAnsi="Times New Roman" w:cs="Times New Roman"/>
                <w:sz w:val="24"/>
                <w:szCs w:val="24"/>
                <w:lang w:val="pt-BR" w:eastAsia="en-US"/>
              </w:rPr>
            </w:pPr>
          </w:p>
        </w:tc>
        <w:tc>
          <w:tcPr>
            <w:tcW w:w="3260" w:type="dxa"/>
            <w:tcBorders>
              <w:top w:val="single" w:sz="4" w:space="0" w:color="auto"/>
              <w:left w:val="nil"/>
              <w:bottom w:val="single" w:sz="12" w:space="0" w:color="auto"/>
              <w:right w:val="nil"/>
            </w:tcBorders>
            <w:shd w:val="clear" w:color="auto" w:fill="auto"/>
            <w:vAlign w:val="center"/>
          </w:tcPr>
          <w:p w14:paraId="266B47C6" w14:textId="689220B9" w:rsidR="00013B24" w:rsidRPr="00013B24" w:rsidRDefault="00717035"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Hospital</w:t>
            </w:r>
            <w:r w:rsidR="00A41699">
              <w:rPr>
                <w:rFonts w:ascii="Times New Roman" w:eastAsia="Calibri" w:hAnsi="Times New Roman" w:cs="Times New Roman"/>
                <w:sz w:val="24"/>
                <w:szCs w:val="24"/>
                <w:lang w:val="pt-BR" w:eastAsia="en-US"/>
              </w:rPr>
              <w:t xml:space="preserve"> effluents</w:t>
            </w:r>
          </w:p>
        </w:tc>
        <w:tc>
          <w:tcPr>
            <w:tcW w:w="4536" w:type="dxa"/>
            <w:tcBorders>
              <w:top w:val="single" w:sz="4" w:space="0" w:color="auto"/>
              <w:left w:val="nil"/>
              <w:bottom w:val="single" w:sz="12" w:space="0" w:color="auto"/>
              <w:right w:val="nil"/>
            </w:tcBorders>
            <w:shd w:val="clear" w:color="auto" w:fill="auto"/>
            <w:vAlign w:val="center"/>
          </w:tcPr>
          <w:p w14:paraId="7CAD48E6" w14:textId="77777777" w:rsidR="00013B24" w:rsidRPr="00013B24" w:rsidRDefault="00013B24" w:rsidP="00013B24">
            <w:pPr>
              <w:spacing w:after="160" w:line="259" w:lineRule="auto"/>
              <w:jc w:val="both"/>
              <w:rPr>
                <w:rFonts w:ascii="Times New Roman" w:eastAsia="Calibri" w:hAnsi="Times New Roman" w:cs="Times New Roman"/>
                <w:color w:val="000000"/>
                <w:sz w:val="24"/>
                <w:lang w:val="pt-BR" w:eastAsia="en-US"/>
              </w:rPr>
            </w:pPr>
            <w:r w:rsidRPr="00013B24">
              <w:rPr>
                <w:rFonts w:ascii="Times New Roman" w:eastAsia="Calibri" w:hAnsi="Times New Roman" w:cs="Times New Roman"/>
                <w:color w:val="000000"/>
                <w:sz w:val="24"/>
                <w:lang w:val="pt-BR" w:eastAsia="en-US"/>
              </w:rPr>
              <w:t>Lafitte et al. (2020)</w:t>
            </w:r>
          </w:p>
        </w:tc>
      </w:tr>
      <w:tr w:rsidR="00013B24" w:rsidRPr="00013B24" w14:paraId="4D614669" w14:textId="77777777" w:rsidTr="00013B24">
        <w:trPr>
          <w:gridAfter w:val="2"/>
          <w:wAfter w:w="10227" w:type="dxa"/>
        </w:trPr>
        <w:tc>
          <w:tcPr>
            <w:tcW w:w="1276" w:type="dxa"/>
            <w:vMerge w:val="restart"/>
            <w:tcBorders>
              <w:top w:val="single" w:sz="12" w:space="0" w:color="auto"/>
              <w:left w:val="nil"/>
              <w:right w:val="nil"/>
            </w:tcBorders>
            <w:shd w:val="clear" w:color="auto" w:fill="auto"/>
            <w:vAlign w:val="center"/>
          </w:tcPr>
          <w:p w14:paraId="0FA3FA1C" w14:textId="77777777" w:rsidR="00013B24" w:rsidRPr="00013B24" w:rsidRDefault="00013B24" w:rsidP="00013B24">
            <w:pPr>
              <w:spacing w:after="160"/>
              <w:jc w:val="center"/>
              <w:rPr>
                <w:rFonts w:ascii="Times New Roman" w:eastAsia="Calibri" w:hAnsi="Times New Roman" w:cs="Times New Roman"/>
                <w:b/>
                <w:bCs/>
                <w:sz w:val="24"/>
                <w:szCs w:val="24"/>
                <w:lang w:val="en-US" w:eastAsia="en-US"/>
              </w:rPr>
            </w:pPr>
            <w:r w:rsidRPr="00013B24">
              <w:rPr>
                <w:rFonts w:ascii="Times New Roman" w:eastAsia="Calibri" w:hAnsi="Times New Roman" w:cs="Times New Roman"/>
                <w:b/>
                <w:bCs/>
                <w:sz w:val="24"/>
                <w:szCs w:val="24"/>
                <w:lang w:val="en-US" w:eastAsia="en-US"/>
              </w:rPr>
              <w:t>Sb</w:t>
            </w:r>
          </w:p>
        </w:tc>
        <w:tc>
          <w:tcPr>
            <w:tcW w:w="3260" w:type="dxa"/>
            <w:tcBorders>
              <w:top w:val="single" w:sz="12" w:space="0" w:color="auto"/>
              <w:left w:val="nil"/>
              <w:bottom w:val="single" w:sz="4" w:space="0" w:color="auto"/>
              <w:right w:val="nil"/>
            </w:tcBorders>
            <w:shd w:val="clear" w:color="auto" w:fill="auto"/>
            <w:vAlign w:val="center"/>
          </w:tcPr>
          <w:p w14:paraId="20BEB208" w14:textId="464F56C8" w:rsidR="00013B24" w:rsidRPr="00013B24" w:rsidRDefault="00A41699"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Mining</w:t>
            </w:r>
          </w:p>
        </w:tc>
        <w:tc>
          <w:tcPr>
            <w:tcW w:w="4536" w:type="dxa"/>
            <w:tcBorders>
              <w:top w:val="single" w:sz="12" w:space="0" w:color="auto"/>
              <w:left w:val="nil"/>
              <w:bottom w:val="single" w:sz="4" w:space="0" w:color="auto"/>
              <w:right w:val="nil"/>
            </w:tcBorders>
            <w:shd w:val="clear" w:color="auto" w:fill="auto"/>
            <w:vAlign w:val="center"/>
          </w:tcPr>
          <w:p w14:paraId="4EC096AD"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r w:rsidRPr="00013B24">
              <w:rPr>
                <w:rFonts w:ascii="Times New Roman" w:eastAsia="Calibri" w:hAnsi="Times New Roman" w:cs="Times New Roman"/>
                <w:sz w:val="24"/>
                <w:szCs w:val="24"/>
                <w:lang w:val="en-US" w:eastAsia="en-US"/>
              </w:rPr>
              <w:t>Zhang et al. (2018), Modabberi; Moore (2004)</w:t>
            </w:r>
          </w:p>
        </w:tc>
      </w:tr>
      <w:tr w:rsidR="00013B24" w:rsidRPr="00013B24" w14:paraId="75D38BF2" w14:textId="77777777" w:rsidTr="00013B24">
        <w:trPr>
          <w:gridAfter w:val="2"/>
          <w:wAfter w:w="10227" w:type="dxa"/>
        </w:trPr>
        <w:tc>
          <w:tcPr>
            <w:tcW w:w="1276" w:type="dxa"/>
            <w:vMerge/>
            <w:tcBorders>
              <w:top w:val="single" w:sz="12" w:space="0" w:color="auto"/>
              <w:left w:val="nil"/>
              <w:right w:val="nil"/>
            </w:tcBorders>
            <w:shd w:val="clear" w:color="auto" w:fill="auto"/>
            <w:vAlign w:val="center"/>
          </w:tcPr>
          <w:p w14:paraId="27D702A3" w14:textId="77777777" w:rsidR="00013B24" w:rsidRPr="00013B24" w:rsidRDefault="00013B24" w:rsidP="00013B24">
            <w:pPr>
              <w:spacing w:after="160"/>
              <w:jc w:val="center"/>
              <w:rPr>
                <w:rFonts w:ascii="Times New Roman" w:eastAsia="Calibri" w:hAnsi="Times New Roman" w:cs="Times New Roman"/>
                <w:b/>
                <w:bCs/>
                <w:sz w:val="24"/>
                <w:szCs w:val="24"/>
                <w:lang w:val="en-US" w:eastAsia="en-US"/>
              </w:rPr>
            </w:pPr>
          </w:p>
        </w:tc>
        <w:tc>
          <w:tcPr>
            <w:tcW w:w="3260" w:type="dxa"/>
            <w:tcBorders>
              <w:top w:val="single" w:sz="4" w:space="0" w:color="auto"/>
              <w:left w:val="nil"/>
              <w:bottom w:val="single" w:sz="4" w:space="0" w:color="auto"/>
              <w:right w:val="nil"/>
            </w:tcBorders>
            <w:shd w:val="clear" w:color="auto" w:fill="auto"/>
            <w:vAlign w:val="center"/>
          </w:tcPr>
          <w:p w14:paraId="7E8CEE8B" w14:textId="4C239333" w:rsidR="00013B24" w:rsidRPr="00013B24" w:rsidRDefault="00A41699"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Domestic effluents</w:t>
            </w:r>
          </w:p>
        </w:tc>
        <w:tc>
          <w:tcPr>
            <w:tcW w:w="4536" w:type="dxa"/>
            <w:tcBorders>
              <w:top w:val="single" w:sz="4" w:space="0" w:color="auto"/>
              <w:left w:val="nil"/>
              <w:bottom w:val="single" w:sz="4" w:space="0" w:color="auto"/>
              <w:right w:val="nil"/>
            </w:tcBorders>
            <w:shd w:val="clear" w:color="auto" w:fill="auto"/>
            <w:vAlign w:val="center"/>
          </w:tcPr>
          <w:p w14:paraId="7FA847B3"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r w:rsidRPr="00013B24">
              <w:rPr>
                <w:rFonts w:ascii="Times New Roman" w:eastAsia="Calibri" w:hAnsi="Times New Roman" w:cs="Times New Roman"/>
                <w:sz w:val="24"/>
                <w:szCs w:val="24"/>
                <w:lang w:val="en-US" w:eastAsia="en-US"/>
              </w:rPr>
              <w:t>Marcussen; Dalsgaard; Holm (2008)</w:t>
            </w:r>
          </w:p>
        </w:tc>
      </w:tr>
      <w:tr w:rsidR="00013B24" w:rsidRPr="00013B24" w14:paraId="03E7ADEE" w14:textId="77777777" w:rsidTr="00013B24">
        <w:trPr>
          <w:gridAfter w:val="2"/>
          <w:wAfter w:w="10227" w:type="dxa"/>
        </w:trPr>
        <w:tc>
          <w:tcPr>
            <w:tcW w:w="1276" w:type="dxa"/>
            <w:vMerge/>
            <w:tcBorders>
              <w:top w:val="single" w:sz="12" w:space="0" w:color="auto"/>
              <w:left w:val="nil"/>
              <w:right w:val="nil"/>
            </w:tcBorders>
            <w:shd w:val="clear" w:color="auto" w:fill="auto"/>
            <w:vAlign w:val="center"/>
          </w:tcPr>
          <w:p w14:paraId="4FACAEBC" w14:textId="77777777" w:rsidR="00013B24" w:rsidRPr="00013B24" w:rsidRDefault="00013B24" w:rsidP="00013B24">
            <w:pPr>
              <w:spacing w:after="160"/>
              <w:jc w:val="center"/>
              <w:rPr>
                <w:rFonts w:ascii="Times New Roman" w:eastAsia="Calibri" w:hAnsi="Times New Roman" w:cs="Times New Roman"/>
                <w:b/>
                <w:bCs/>
                <w:sz w:val="24"/>
                <w:szCs w:val="24"/>
                <w:lang w:val="en-US" w:eastAsia="en-US"/>
              </w:rPr>
            </w:pPr>
          </w:p>
        </w:tc>
        <w:tc>
          <w:tcPr>
            <w:tcW w:w="3260" w:type="dxa"/>
            <w:tcBorders>
              <w:top w:val="single" w:sz="4" w:space="0" w:color="auto"/>
              <w:left w:val="nil"/>
              <w:bottom w:val="single" w:sz="4" w:space="0" w:color="auto"/>
              <w:right w:val="nil"/>
            </w:tcBorders>
            <w:shd w:val="clear" w:color="auto" w:fill="auto"/>
            <w:vAlign w:val="center"/>
          </w:tcPr>
          <w:p w14:paraId="2EB84AD3" w14:textId="79D020EF" w:rsidR="00013B24" w:rsidRPr="00013B24" w:rsidRDefault="00A41699"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Industrial effluents</w:t>
            </w:r>
          </w:p>
        </w:tc>
        <w:tc>
          <w:tcPr>
            <w:tcW w:w="4536" w:type="dxa"/>
            <w:tcBorders>
              <w:top w:val="single" w:sz="4" w:space="0" w:color="auto"/>
              <w:left w:val="nil"/>
              <w:bottom w:val="single" w:sz="4" w:space="0" w:color="auto"/>
              <w:right w:val="nil"/>
            </w:tcBorders>
            <w:shd w:val="clear" w:color="auto" w:fill="auto"/>
            <w:vAlign w:val="center"/>
          </w:tcPr>
          <w:p w14:paraId="6F1B4309"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r w:rsidRPr="00013B24">
              <w:rPr>
                <w:rFonts w:ascii="Times New Roman" w:eastAsia="Calibri" w:hAnsi="Times New Roman" w:cs="Times New Roman"/>
                <w:sz w:val="24"/>
                <w:szCs w:val="24"/>
                <w:lang w:val="en-US" w:eastAsia="en-US"/>
              </w:rPr>
              <w:t>Marcussen; Dalsgaard; Holm (2008)</w:t>
            </w:r>
          </w:p>
        </w:tc>
      </w:tr>
      <w:tr w:rsidR="00013B24" w:rsidRPr="00013B24" w14:paraId="4E0BC624" w14:textId="77777777" w:rsidTr="00013B24">
        <w:trPr>
          <w:gridAfter w:val="2"/>
          <w:wAfter w:w="10227" w:type="dxa"/>
        </w:trPr>
        <w:tc>
          <w:tcPr>
            <w:tcW w:w="1276" w:type="dxa"/>
            <w:vMerge/>
            <w:tcBorders>
              <w:left w:val="nil"/>
              <w:right w:val="nil"/>
            </w:tcBorders>
            <w:shd w:val="clear" w:color="auto" w:fill="auto"/>
            <w:vAlign w:val="center"/>
          </w:tcPr>
          <w:p w14:paraId="6A082819" w14:textId="77777777" w:rsidR="00013B24" w:rsidRPr="00013B24" w:rsidRDefault="00013B24" w:rsidP="00013B24">
            <w:pPr>
              <w:spacing w:after="160"/>
              <w:jc w:val="center"/>
              <w:rPr>
                <w:rFonts w:ascii="Times New Roman" w:eastAsia="Calibri" w:hAnsi="Times New Roman" w:cs="Times New Roman"/>
                <w:b/>
                <w:bCs/>
                <w:sz w:val="24"/>
                <w:szCs w:val="24"/>
                <w:lang w:val="en-US" w:eastAsia="en-US"/>
              </w:rPr>
            </w:pPr>
          </w:p>
        </w:tc>
        <w:tc>
          <w:tcPr>
            <w:tcW w:w="3260" w:type="dxa"/>
            <w:tcBorders>
              <w:top w:val="single" w:sz="4" w:space="0" w:color="auto"/>
              <w:left w:val="nil"/>
              <w:bottom w:val="single" w:sz="4" w:space="0" w:color="auto"/>
              <w:right w:val="nil"/>
            </w:tcBorders>
            <w:shd w:val="clear" w:color="auto" w:fill="auto"/>
            <w:vAlign w:val="center"/>
          </w:tcPr>
          <w:p w14:paraId="55F74077" w14:textId="4D46C285" w:rsidR="00013B24" w:rsidRPr="00013B24" w:rsidRDefault="00717035"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Atmospheric deposition from polluted areas</w:t>
            </w:r>
          </w:p>
        </w:tc>
        <w:tc>
          <w:tcPr>
            <w:tcW w:w="4536" w:type="dxa"/>
            <w:tcBorders>
              <w:top w:val="single" w:sz="4" w:space="0" w:color="auto"/>
              <w:left w:val="nil"/>
              <w:bottom w:val="single" w:sz="4" w:space="0" w:color="auto"/>
              <w:right w:val="nil"/>
            </w:tcBorders>
            <w:shd w:val="clear" w:color="auto" w:fill="auto"/>
            <w:vAlign w:val="center"/>
          </w:tcPr>
          <w:p w14:paraId="0970F8F7" w14:textId="77777777" w:rsidR="00013B24" w:rsidRPr="00013B24" w:rsidRDefault="00013B24" w:rsidP="00013B24">
            <w:pPr>
              <w:spacing w:after="160"/>
              <w:jc w:val="both"/>
              <w:rPr>
                <w:rFonts w:ascii="Times New Roman" w:eastAsia="Calibri" w:hAnsi="Times New Roman" w:cs="Times New Roman"/>
                <w:sz w:val="24"/>
                <w:szCs w:val="24"/>
                <w:lang w:val="pt-BR" w:eastAsia="en-US"/>
              </w:rPr>
            </w:pPr>
            <w:r w:rsidRPr="00013B24">
              <w:rPr>
                <w:rFonts w:ascii="Times New Roman" w:eastAsia="Calibri" w:hAnsi="Times New Roman" w:cs="Times New Roman"/>
                <w:sz w:val="24"/>
                <w:szCs w:val="24"/>
                <w:lang w:val="pt-BR" w:eastAsia="en-US"/>
              </w:rPr>
              <w:t>Mao et al. (2020)</w:t>
            </w:r>
          </w:p>
        </w:tc>
      </w:tr>
      <w:tr w:rsidR="00013B24" w:rsidRPr="00013B24" w14:paraId="6F710051" w14:textId="77777777" w:rsidTr="00013B24">
        <w:trPr>
          <w:gridAfter w:val="2"/>
          <w:wAfter w:w="10227" w:type="dxa"/>
        </w:trPr>
        <w:tc>
          <w:tcPr>
            <w:tcW w:w="1276" w:type="dxa"/>
            <w:vMerge w:val="restart"/>
            <w:tcBorders>
              <w:top w:val="single" w:sz="12" w:space="0" w:color="auto"/>
              <w:left w:val="nil"/>
              <w:right w:val="nil"/>
            </w:tcBorders>
            <w:shd w:val="clear" w:color="auto" w:fill="auto"/>
            <w:vAlign w:val="center"/>
          </w:tcPr>
          <w:p w14:paraId="34BD2593" w14:textId="77777777" w:rsidR="00013B24" w:rsidRPr="00013B24" w:rsidRDefault="00013B24" w:rsidP="00013B24">
            <w:pPr>
              <w:spacing w:after="160"/>
              <w:jc w:val="center"/>
              <w:rPr>
                <w:rFonts w:ascii="Times New Roman" w:eastAsia="Calibri" w:hAnsi="Times New Roman" w:cs="Times New Roman"/>
                <w:b/>
                <w:bCs/>
                <w:sz w:val="24"/>
                <w:szCs w:val="24"/>
                <w:lang w:val="en-US" w:eastAsia="en-US"/>
              </w:rPr>
            </w:pPr>
            <w:r w:rsidRPr="00013B24">
              <w:rPr>
                <w:rFonts w:ascii="Times New Roman" w:eastAsia="Calibri" w:hAnsi="Times New Roman" w:cs="Times New Roman"/>
                <w:b/>
                <w:bCs/>
                <w:sz w:val="24"/>
                <w:szCs w:val="24"/>
                <w:lang w:val="en-US" w:eastAsia="en-US"/>
              </w:rPr>
              <w:t>V</w:t>
            </w:r>
          </w:p>
        </w:tc>
        <w:tc>
          <w:tcPr>
            <w:tcW w:w="3260" w:type="dxa"/>
            <w:tcBorders>
              <w:top w:val="single" w:sz="12" w:space="0" w:color="auto"/>
              <w:left w:val="nil"/>
              <w:bottom w:val="single" w:sz="4" w:space="0" w:color="auto"/>
              <w:right w:val="nil"/>
            </w:tcBorders>
            <w:shd w:val="clear" w:color="auto" w:fill="auto"/>
            <w:vAlign w:val="center"/>
          </w:tcPr>
          <w:p w14:paraId="575751B7" w14:textId="32AAF05C" w:rsidR="00013B24" w:rsidRPr="00013B24" w:rsidRDefault="00A41699"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Domestic effluents</w:t>
            </w:r>
          </w:p>
        </w:tc>
        <w:tc>
          <w:tcPr>
            <w:tcW w:w="4536" w:type="dxa"/>
            <w:tcBorders>
              <w:top w:val="single" w:sz="12" w:space="0" w:color="auto"/>
              <w:left w:val="nil"/>
              <w:bottom w:val="single" w:sz="4" w:space="0" w:color="auto"/>
              <w:right w:val="nil"/>
            </w:tcBorders>
            <w:shd w:val="clear" w:color="auto" w:fill="auto"/>
            <w:vAlign w:val="center"/>
          </w:tcPr>
          <w:p w14:paraId="4BE6C71A"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r w:rsidRPr="00013B24">
              <w:rPr>
                <w:rFonts w:ascii="Times New Roman" w:eastAsia="Calibri" w:hAnsi="Times New Roman" w:cs="Times New Roman"/>
                <w:sz w:val="24"/>
                <w:szCs w:val="24"/>
                <w:lang w:val="en-US" w:eastAsia="en-US"/>
              </w:rPr>
              <w:t>Emmons et al. (2018), Marcussen; Dalsgaard; Holm (2008), Rupakheti et al. (2017)</w:t>
            </w:r>
          </w:p>
        </w:tc>
      </w:tr>
      <w:tr w:rsidR="00013B24" w:rsidRPr="00013B24" w14:paraId="5917991C" w14:textId="77777777" w:rsidTr="00013B24">
        <w:trPr>
          <w:gridAfter w:val="2"/>
          <w:wAfter w:w="10227" w:type="dxa"/>
        </w:trPr>
        <w:tc>
          <w:tcPr>
            <w:tcW w:w="1276" w:type="dxa"/>
            <w:vMerge/>
            <w:tcBorders>
              <w:left w:val="nil"/>
              <w:right w:val="nil"/>
            </w:tcBorders>
            <w:shd w:val="clear" w:color="auto" w:fill="auto"/>
            <w:vAlign w:val="center"/>
          </w:tcPr>
          <w:p w14:paraId="5D261564" w14:textId="77777777" w:rsidR="00013B24" w:rsidRPr="00013B24" w:rsidRDefault="00013B24" w:rsidP="00013B24">
            <w:pPr>
              <w:spacing w:after="160"/>
              <w:jc w:val="center"/>
              <w:rPr>
                <w:rFonts w:ascii="Times New Roman" w:eastAsia="Calibri" w:hAnsi="Times New Roman" w:cs="Times New Roman"/>
                <w:b/>
                <w:bCs/>
                <w:sz w:val="24"/>
                <w:szCs w:val="24"/>
                <w:lang w:val="en-US" w:eastAsia="en-US"/>
              </w:rPr>
            </w:pPr>
          </w:p>
        </w:tc>
        <w:tc>
          <w:tcPr>
            <w:tcW w:w="3260" w:type="dxa"/>
            <w:tcBorders>
              <w:top w:val="single" w:sz="4" w:space="0" w:color="auto"/>
              <w:left w:val="nil"/>
              <w:bottom w:val="single" w:sz="4" w:space="0" w:color="auto"/>
              <w:right w:val="nil"/>
            </w:tcBorders>
            <w:shd w:val="clear" w:color="auto" w:fill="auto"/>
            <w:vAlign w:val="center"/>
          </w:tcPr>
          <w:p w14:paraId="190F81CF" w14:textId="65C22ED6" w:rsidR="00013B24" w:rsidRPr="00013B24" w:rsidRDefault="00A41699"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Industrial effluents</w:t>
            </w:r>
          </w:p>
        </w:tc>
        <w:tc>
          <w:tcPr>
            <w:tcW w:w="4536" w:type="dxa"/>
            <w:tcBorders>
              <w:top w:val="single" w:sz="4" w:space="0" w:color="auto"/>
              <w:left w:val="nil"/>
              <w:bottom w:val="single" w:sz="4" w:space="0" w:color="auto"/>
              <w:right w:val="nil"/>
            </w:tcBorders>
            <w:shd w:val="clear" w:color="auto" w:fill="auto"/>
            <w:vAlign w:val="center"/>
          </w:tcPr>
          <w:p w14:paraId="02F3ABEF"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r w:rsidRPr="00013B24">
              <w:rPr>
                <w:rFonts w:ascii="Times New Roman" w:eastAsia="Calibri" w:hAnsi="Times New Roman" w:cs="Times New Roman"/>
                <w:sz w:val="24"/>
                <w:szCs w:val="24"/>
                <w:lang w:val="en-US" w:eastAsia="en-US"/>
              </w:rPr>
              <w:t>Marcussen; Dalsgaard; Holm (2008), Rupakheti et al. (2017)</w:t>
            </w:r>
          </w:p>
        </w:tc>
      </w:tr>
      <w:tr w:rsidR="00013B24" w:rsidRPr="00013B24" w14:paraId="60732DE2" w14:textId="77777777" w:rsidTr="00013B24">
        <w:trPr>
          <w:gridAfter w:val="2"/>
          <w:wAfter w:w="10227" w:type="dxa"/>
        </w:trPr>
        <w:tc>
          <w:tcPr>
            <w:tcW w:w="1276" w:type="dxa"/>
            <w:tcBorders>
              <w:left w:val="nil"/>
              <w:right w:val="nil"/>
            </w:tcBorders>
            <w:shd w:val="clear" w:color="auto" w:fill="auto"/>
            <w:vAlign w:val="center"/>
          </w:tcPr>
          <w:p w14:paraId="7959A43B" w14:textId="77777777" w:rsidR="00013B24" w:rsidRPr="00013B24" w:rsidRDefault="00013B24" w:rsidP="00013B24">
            <w:pPr>
              <w:spacing w:after="160"/>
              <w:jc w:val="center"/>
              <w:rPr>
                <w:rFonts w:ascii="Times New Roman" w:eastAsia="Calibri" w:hAnsi="Times New Roman" w:cs="Times New Roman"/>
                <w:b/>
                <w:bCs/>
                <w:sz w:val="24"/>
                <w:szCs w:val="24"/>
                <w:lang w:val="en-US" w:eastAsia="en-US"/>
              </w:rPr>
            </w:pPr>
          </w:p>
        </w:tc>
        <w:tc>
          <w:tcPr>
            <w:tcW w:w="3260" w:type="dxa"/>
            <w:tcBorders>
              <w:top w:val="single" w:sz="4" w:space="0" w:color="auto"/>
              <w:left w:val="nil"/>
              <w:bottom w:val="single" w:sz="4" w:space="0" w:color="auto"/>
              <w:right w:val="nil"/>
            </w:tcBorders>
            <w:shd w:val="clear" w:color="auto" w:fill="auto"/>
            <w:vAlign w:val="center"/>
          </w:tcPr>
          <w:p w14:paraId="7EFE7333" w14:textId="4C394EA3" w:rsidR="00013B24" w:rsidRPr="00013B24" w:rsidRDefault="00A41699"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Agriculture</w:t>
            </w:r>
          </w:p>
        </w:tc>
        <w:tc>
          <w:tcPr>
            <w:tcW w:w="4536" w:type="dxa"/>
            <w:tcBorders>
              <w:top w:val="single" w:sz="4" w:space="0" w:color="auto"/>
              <w:left w:val="nil"/>
              <w:bottom w:val="single" w:sz="4" w:space="0" w:color="auto"/>
              <w:right w:val="nil"/>
            </w:tcBorders>
            <w:shd w:val="clear" w:color="auto" w:fill="auto"/>
            <w:vAlign w:val="center"/>
          </w:tcPr>
          <w:p w14:paraId="029670D4"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r w:rsidRPr="00013B24">
              <w:rPr>
                <w:rFonts w:ascii="Times New Roman" w:eastAsia="Calibri" w:hAnsi="Times New Roman" w:cs="Times New Roman"/>
                <w:sz w:val="24"/>
                <w:szCs w:val="24"/>
                <w:lang w:val="en-US" w:eastAsia="en-US"/>
              </w:rPr>
              <w:t>Rupakheti et al. (2017)</w:t>
            </w:r>
          </w:p>
        </w:tc>
      </w:tr>
      <w:tr w:rsidR="00013B24" w:rsidRPr="00013B24" w14:paraId="6E109E90" w14:textId="77777777" w:rsidTr="00013B24">
        <w:trPr>
          <w:gridAfter w:val="2"/>
          <w:wAfter w:w="10227" w:type="dxa"/>
        </w:trPr>
        <w:tc>
          <w:tcPr>
            <w:tcW w:w="1276" w:type="dxa"/>
            <w:tcBorders>
              <w:left w:val="nil"/>
              <w:right w:val="nil"/>
            </w:tcBorders>
            <w:shd w:val="clear" w:color="auto" w:fill="auto"/>
            <w:vAlign w:val="center"/>
          </w:tcPr>
          <w:p w14:paraId="3DB43223" w14:textId="77777777" w:rsidR="00013B24" w:rsidRPr="00013B24" w:rsidRDefault="00013B24" w:rsidP="00013B24">
            <w:pPr>
              <w:spacing w:after="160"/>
              <w:jc w:val="center"/>
              <w:rPr>
                <w:rFonts w:ascii="Times New Roman" w:eastAsia="Calibri" w:hAnsi="Times New Roman" w:cs="Times New Roman"/>
                <w:b/>
                <w:bCs/>
                <w:sz w:val="24"/>
                <w:szCs w:val="24"/>
                <w:lang w:val="en-US" w:eastAsia="en-US"/>
              </w:rPr>
            </w:pPr>
          </w:p>
        </w:tc>
        <w:tc>
          <w:tcPr>
            <w:tcW w:w="3260" w:type="dxa"/>
            <w:tcBorders>
              <w:top w:val="single" w:sz="4" w:space="0" w:color="auto"/>
              <w:left w:val="nil"/>
              <w:bottom w:val="single" w:sz="4" w:space="0" w:color="auto"/>
              <w:right w:val="nil"/>
            </w:tcBorders>
            <w:shd w:val="clear" w:color="auto" w:fill="auto"/>
            <w:vAlign w:val="center"/>
          </w:tcPr>
          <w:p w14:paraId="44F43CEF" w14:textId="7D315627" w:rsidR="00013B24" w:rsidRPr="00013B24" w:rsidRDefault="00717035"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Atmospheric deposition from polluted areas</w:t>
            </w:r>
          </w:p>
        </w:tc>
        <w:tc>
          <w:tcPr>
            <w:tcW w:w="4536" w:type="dxa"/>
            <w:tcBorders>
              <w:top w:val="single" w:sz="4" w:space="0" w:color="auto"/>
              <w:left w:val="nil"/>
              <w:bottom w:val="single" w:sz="4" w:space="0" w:color="auto"/>
              <w:right w:val="nil"/>
            </w:tcBorders>
            <w:shd w:val="clear" w:color="auto" w:fill="auto"/>
            <w:vAlign w:val="center"/>
          </w:tcPr>
          <w:p w14:paraId="68D27CF4" w14:textId="77777777" w:rsidR="00013B24" w:rsidRPr="00013B24" w:rsidRDefault="00013B24" w:rsidP="00013B24">
            <w:pPr>
              <w:spacing w:after="160"/>
              <w:jc w:val="both"/>
              <w:rPr>
                <w:rFonts w:ascii="Times New Roman" w:eastAsia="Calibri" w:hAnsi="Times New Roman" w:cs="Times New Roman"/>
                <w:sz w:val="24"/>
                <w:szCs w:val="24"/>
                <w:lang w:val="pt-BR" w:eastAsia="en-US"/>
              </w:rPr>
            </w:pPr>
            <w:r w:rsidRPr="00013B24">
              <w:rPr>
                <w:rFonts w:ascii="Times New Roman" w:eastAsia="Calibri" w:hAnsi="Times New Roman" w:cs="Times New Roman"/>
                <w:sz w:val="24"/>
                <w:szCs w:val="24"/>
                <w:lang w:val="pt-BR" w:eastAsia="en-US"/>
              </w:rPr>
              <w:t>Rupakheti et al. (2017)</w:t>
            </w:r>
          </w:p>
        </w:tc>
      </w:tr>
      <w:tr w:rsidR="00013B24" w:rsidRPr="00013B24" w14:paraId="78B9066A" w14:textId="77777777" w:rsidTr="00013B24">
        <w:trPr>
          <w:gridAfter w:val="2"/>
          <w:wAfter w:w="10227" w:type="dxa"/>
        </w:trPr>
        <w:tc>
          <w:tcPr>
            <w:tcW w:w="1276" w:type="dxa"/>
            <w:vMerge w:val="restart"/>
            <w:tcBorders>
              <w:top w:val="single" w:sz="12" w:space="0" w:color="auto"/>
              <w:left w:val="nil"/>
              <w:right w:val="nil"/>
            </w:tcBorders>
            <w:shd w:val="clear" w:color="auto" w:fill="auto"/>
            <w:vAlign w:val="center"/>
          </w:tcPr>
          <w:p w14:paraId="0E9FF92B" w14:textId="77777777" w:rsidR="00013B24" w:rsidRPr="00013B24" w:rsidRDefault="00013B24" w:rsidP="00013B24">
            <w:pPr>
              <w:spacing w:after="160"/>
              <w:jc w:val="center"/>
              <w:rPr>
                <w:rFonts w:ascii="Times New Roman" w:eastAsia="Calibri" w:hAnsi="Times New Roman" w:cs="Times New Roman"/>
                <w:b/>
                <w:bCs/>
                <w:sz w:val="24"/>
                <w:szCs w:val="24"/>
                <w:lang w:val="en-US" w:eastAsia="en-US"/>
              </w:rPr>
            </w:pPr>
            <w:r w:rsidRPr="00013B24">
              <w:rPr>
                <w:rFonts w:ascii="Times New Roman" w:eastAsia="Calibri" w:hAnsi="Times New Roman" w:cs="Times New Roman"/>
                <w:b/>
                <w:bCs/>
                <w:sz w:val="24"/>
                <w:szCs w:val="24"/>
                <w:lang w:val="en-US" w:eastAsia="en-US"/>
              </w:rPr>
              <w:t>Zn</w:t>
            </w:r>
          </w:p>
        </w:tc>
        <w:tc>
          <w:tcPr>
            <w:tcW w:w="3260" w:type="dxa"/>
            <w:tcBorders>
              <w:top w:val="single" w:sz="12" w:space="0" w:color="auto"/>
              <w:left w:val="nil"/>
              <w:bottom w:val="single" w:sz="4" w:space="0" w:color="auto"/>
              <w:right w:val="nil"/>
            </w:tcBorders>
            <w:shd w:val="clear" w:color="auto" w:fill="auto"/>
            <w:vAlign w:val="center"/>
          </w:tcPr>
          <w:p w14:paraId="2A26AE08" w14:textId="116E7343" w:rsidR="00013B24" w:rsidRPr="00013B24" w:rsidRDefault="00A41699"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Industries</w:t>
            </w:r>
          </w:p>
        </w:tc>
        <w:tc>
          <w:tcPr>
            <w:tcW w:w="4536" w:type="dxa"/>
            <w:tcBorders>
              <w:top w:val="single" w:sz="12" w:space="0" w:color="auto"/>
              <w:left w:val="nil"/>
              <w:bottom w:val="single" w:sz="4" w:space="0" w:color="auto"/>
              <w:right w:val="nil"/>
            </w:tcBorders>
            <w:shd w:val="clear" w:color="auto" w:fill="auto"/>
            <w:vAlign w:val="center"/>
          </w:tcPr>
          <w:p w14:paraId="28EF205B" w14:textId="77777777" w:rsidR="00013B24" w:rsidRPr="00013B24" w:rsidRDefault="00013B24" w:rsidP="00013B24">
            <w:pPr>
              <w:spacing w:after="160"/>
              <w:jc w:val="both"/>
              <w:rPr>
                <w:rFonts w:ascii="Times New Roman" w:eastAsia="Calibri" w:hAnsi="Times New Roman" w:cs="Times New Roman"/>
                <w:sz w:val="24"/>
                <w:szCs w:val="24"/>
                <w:lang w:val="pt-BR" w:eastAsia="en-US"/>
              </w:rPr>
            </w:pPr>
            <w:r w:rsidRPr="00013B24">
              <w:rPr>
                <w:rFonts w:ascii="Times New Roman" w:eastAsia="Calibri" w:hAnsi="Times New Roman" w:cs="Times New Roman"/>
                <w:sz w:val="24"/>
                <w:szCs w:val="24"/>
                <w:lang w:val="en-US" w:eastAsia="en-US"/>
              </w:rPr>
              <w:t xml:space="preserve">Hoang et al. (2020), Niu et al. </w:t>
            </w:r>
            <w:r w:rsidRPr="00013B24">
              <w:rPr>
                <w:rFonts w:ascii="Times New Roman" w:eastAsia="Calibri" w:hAnsi="Times New Roman" w:cs="Times New Roman"/>
                <w:sz w:val="24"/>
                <w:szCs w:val="24"/>
                <w:lang w:val="pt-BR" w:eastAsia="en-US"/>
              </w:rPr>
              <w:t xml:space="preserve">(2020), Louriño-Cabana et al. (2011), Ji et al. (2019), Li; Chen; Teng (2020), Sun et al. (2019), Castro; Rendina; Orgeira (2018), Sierra et al. (2014), Tytla e Kostecki (2019), Roig et al. (2011), Sheykhi; Moore (2013), da Silva Júnior et al. </w:t>
            </w:r>
            <w:r w:rsidRPr="00013B24">
              <w:rPr>
                <w:rFonts w:ascii="Times New Roman" w:eastAsia="Calibri" w:hAnsi="Times New Roman" w:cs="Times New Roman"/>
                <w:sz w:val="24"/>
                <w:szCs w:val="24"/>
                <w:lang w:val="en-US" w:eastAsia="en-US"/>
              </w:rPr>
              <w:t xml:space="preserve">(2020), Zibret e Gosar (2017), Yang et al. (2010), Hou et al. (2009), Wang et al. </w:t>
            </w:r>
            <w:r w:rsidRPr="00013B24">
              <w:rPr>
                <w:rFonts w:ascii="Times New Roman" w:eastAsia="Calibri" w:hAnsi="Times New Roman" w:cs="Times New Roman"/>
                <w:sz w:val="24"/>
                <w:szCs w:val="24"/>
                <w:lang w:val="pt-BR" w:eastAsia="en-US"/>
              </w:rPr>
              <w:t>(2020b), Liu; Zhang; Zhang (2017), Custodio et al. (2020)</w:t>
            </w:r>
          </w:p>
        </w:tc>
      </w:tr>
      <w:tr w:rsidR="00013B24" w:rsidRPr="00013B24" w14:paraId="61E8C16C" w14:textId="77777777" w:rsidTr="00013B24">
        <w:trPr>
          <w:gridAfter w:val="2"/>
          <w:wAfter w:w="10227" w:type="dxa"/>
        </w:trPr>
        <w:tc>
          <w:tcPr>
            <w:tcW w:w="1276" w:type="dxa"/>
            <w:vMerge/>
            <w:tcBorders>
              <w:top w:val="single" w:sz="12" w:space="0" w:color="auto"/>
              <w:left w:val="nil"/>
              <w:right w:val="nil"/>
            </w:tcBorders>
            <w:shd w:val="clear" w:color="auto" w:fill="auto"/>
            <w:vAlign w:val="center"/>
          </w:tcPr>
          <w:p w14:paraId="6D381C06" w14:textId="77777777" w:rsidR="00013B24" w:rsidRPr="00013B24" w:rsidRDefault="00013B24" w:rsidP="00013B24">
            <w:pPr>
              <w:spacing w:after="160"/>
              <w:jc w:val="center"/>
              <w:rPr>
                <w:rFonts w:ascii="Times New Roman" w:eastAsia="Calibri" w:hAnsi="Times New Roman" w:cs="Times New Roman"/>
                <w:b/>
                <w:bCs/>
                <w:sz w:val="24"/>
                <w:szCs w:val="24"/>
                <w:lang w:val="en-US" w:eastAsia="en-US"/>
              </w:rPr>
            </w:pPr>
          </w:p>
        </w:tc>
        <w:tc>
          <w:tcPr>
            <w:tcW w:w="3260" w:type="dxa"/>
            <w:tcBorders>
              <w:top w:val="single" w:sz="4" w:space="0" w:color="auto"/>
              <w:left w:val="nil"/>
              <w:bottom w:val="single" w:sz="4" w:space="0" w:color="auto"/>
              <w:right w:val="nil"/>
            </w:tcBorders>
            <w:shd w:val="clear" w:color="auto" w:fill="auto"/>
            <w:vAlign w:val="center"/>
          </w:tcPr>
          <w:p w14:paraId="1C97F46A" w14:textId="5B530143" w:rsidR="00013B24" w:rsidRPr="00013B24" w:rsidRDefault="00A41699"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Agriculture</w:t>
            </w:r>
          </w:p>
        </w:tc>
        <w:tc>
          <w:tcPr>
            <w:tcW w:w="4536" w:type="dxa"/>
            <w:tcBorders>
              <w:top w:val="single" w:sz="4" w:space="0" w:color="auto"/>
              <w:left w:val="nil"/>
              <w:bottom w:val="single" w:sz="4" w:space="0" w:color="auto"/>
              <w:right w:val="nil"/>
            </w:tcBorders>
            <w:shd w:val="clear" w:color="auto" w:fill="auto"/>
            <w:vAlign w:val="center"/>
          </w:tcPr>
          <w:p w14:paraId="0C883F15"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r w:rsidRPr="00013B24">
              <w:rPr>
                <w:rFonts w:ascii="Times New Roman" w:eastAsia="Calibri" w:hAnsi="Times New Roman" w:cs="Times New Roman"/>
                <w:sz w:val="24"/>
                <w:szCs w:val="24"/>
                <w:lang w:val="en-US" w:eastAsia="en-US"/>
              </w:rPr>
              <w:t xml:space="preserve">Saran et al. (2018), Niu et al. </w:t>
            </w:r>
            <w:r w:rsidRPr="00013B24">
              <w:rPr>
                <w:rFonts w:ascii="Times New Roman" w:eastAsia="Calibri" w:hAnsi="Times New Roman" w:cs="Times New Roman"/>
                <w:sz w:val="24"/>
                <w:szCs w:val="24"/>
                <w:lang w:val="pt-BR" w:eastAsia="en-US"/>
              </w:rPr>
              <w:t xml:space="preserve">(2020), Zhuang et al. (2019), Ustaoğlua e Islam (2020), Mao et al. (2020), Li; Chen; Teng (2020), Yuan et al. (2019), Zhang et al. (2018), Liu; Zhang; Zhang (2017), Amini e Qishlaqi (2020), Xia et al. (2020), Yuan et al. (2019), Amini e Qishlaqi (2020), Sheykhi et al. (2017), Castro; Rendina; Orgeira </w:t>
            </w:r>
            <w:r w:rsidRPr="00013B24">
              <w:rPr>
                <w:rFonts w:ascii="Times New Roman" w:eastAsia="Calibri" w:hAnsi="Times New Roman" w:cs="Times New Roman"/>
                <w:sz w:val="24"/>
                <w:szCs w:val="24"/>
                <w:lang w:val="pt-BR" w:eastAsia="en-US"/>
              </w:rPr>
              <w:lastRenderedPageBreak/>
              <w:t>(2018), Marzola et al. (2019), Rupakheti et al. (2017)</w:t>
            </w:r>
          </w:p>
        </w:tc>
      </w:tr>
      <w:tr w:rsidR="00013B24" w:rsidRPr="00013B24" w14:paraId="22807904" w14:textId="77777777" w:rsidTr="00013B24">
        <w:trPr>
          <w:gridAfter w:val="2"/>
          <w:wAfter w:w="10227" w:type="dxa"/>
        </w:trPr>
        <w:tc>
          <w:tcPr>
            <w:tcW w:w="1276" w:type="dxa"/>
            <w:vMerge/>
            <w:tcBorders>
              <w:left w:val="nil"/>
              <w:right w:val="nil"/>
            </w:tcBorders>
            <w:shd w:val="clear" w:color="auto" w:fill="auto"/>
          </w:tcPr>
          <w:p w14:paraId="3951404D"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p>
        </w:tc>
        <w:tc>
          <w:tcPr>
            <w:tcW w:w="3260" w:type="dxa"/>
            <w:tcBorders>
              <w:top w:val="single" w:sz="4" w:space="0" w:color="auto"/>
              <w:left w:val="nil"/>
              <w:bottom w:val="single" w:sz="4" w:space="0" w:color="auto"/>
              <w:right w:val="nil"/>
            </w:tcBorders>
            <w:shd w:val="clear" w:color="auto" w:fill="auto"/>
            <w:vAlign w:val="center"/>
          </w:tcPr>
          <w:p w14:paraId="7D1C8B4F" w14:textId="4737F793" w:rsidR="00013B24" w:rsidRPr="00013B24" w:rsidRDefault="00A41699"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Mining</w:t>
            </w:r>
          </w:p>
        </w:tc>
        <w:tc>
          <w:tcPr>
            <w:tcW w:w="4536" w:type="dxa"/>
            <w:tcBorders>
              <w:top w:val="single" w:sz="4" w:space="0" w:color="auto"/>
              <w:left w:val="nil"/>
              <w:bottom w:val="single" w:sz="4" w:space="0" w:color="auto"/>
              <w:right w:val="nil"/>
            </w:tcBorders>
            <w:shd w:val="clear" w:color="auto" w:fill="auto"/>
            <w:vAlign w:val="center"/>
          </w:tcPr>
          <w:p w14:paraId="4B193E86"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r w:rsidRPr="00013B24">
              <w:rPr>
                <w:rFonts w:ascii="Times New Roman" w:eastAsia="Calibri" w:hAnsi="Times New Roman" w:cs="Times New Roman"/>
                <w:sz w:val="24"/>
                <w:szCs w:val="24"/>
                <w:lang w:val="en-US" w:eastAsia="en-US"/>
              </w:rPr>
              <w:t>Sun; Hu; Cheng (2020), El Azhari et al. (2017), Sarmiento et al. (2011), Li; Chen; Teng (2020), O'Neill et al. (2015), Appleton et al. (2000), Hadjipanagiotou et al. (2020), Custodio et al. (2020), Wang et al. (2018), Kovács et al. (2012), Munk; Faure (2004), Marzola et al. (2019), Wang et al. (2018), Shakeri et al. (2020), Modabberi; Moore (2004), Chaparro et al. (2020)</w:t>
            </w:r>
          </w:p>
        </w:tc>
      </w:tr>
      <w:tr w:rsidR="00013B24" w:rsidRPr="00013B24" w14:paraId="52E76C6B" w14:textId="77777777" w:rsidTr="00013B24">
        <w:trPr>
          <w:gridAfter w:val="2"/>
          <w:wAfter w:w="10227" w:type="dxa"/>
        </w:trPr>
        <w:tc>
          <w:tcPr>
            <w:tcW w:w="1276" w:type="dxa"/>
            <w:vMerge/>
            <w:tcBorders>
              <w:left w:val="nil"/>
              <w:right w:val="nil"/>
            </w:tcBorders>
            <w:shd w:val="clear" w:color="auto" w:fill="auto"/>
          </w:tcPr>
          <w:p w14:paraId="35AF5C3B"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p>
        </w:tc>
        <w:tc>
          <w:tcPr>
            <w:tcW w:w="3260" w:type="dxa"/>
            <w:tcBorders>
              <w:top w:val="single" w:sz="4" w:space="0" w:color="auto"/>
              <w:left w:val="nil"/>
              <w:bottom w:val="single" w:sz="4" w:space="0" w:color="auto"/>
              <w:right w:val="nil"/>
            </w:tcBorders>
            <w:shd w:val="clear" w:color="auto" w:fill="auto"/>
            <w:vAlign w:val="center"/>
          </w:tcPr>
          <w:p w14:paraId="23720BBE" w14:textId="70B62188" w:rsidR="00013B24" w:rsidRPr="00013B24" w:rsidRDefault="00A41699"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Domestic effluents</w:t>
            </w:r>
          </w:p>
        </w:tc>
        <w:tc>
          <w:tcPr>
            <w:tcW w:w="4536" w:type="dxa"/>
            <w:tcBorders>
              <w:top w:val="single" w:sz="4" w:space="0" w:color="auto"/>
              <w:left w:val="nil"/>
              <w:bottom w:val="single" w:sz="4" w:space="0" w:color="auto"/>
              <w:right w:val="nil"/>
            </w:tcBorders>
            <w:shd w:val="clear" w:color="auto" w:fill="auto"/>
            <w:vAlign w:val="center"/>
          </w:tcPr>
          <w:p w14:paraId="6939365D"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r w:rsidRPr="00013B24">
              <w:rPr>
                <w:rFonts w:ascii="Times New Roman" w:eastAsia="Calibri" w:hAnsi="Times New Roman" w:cs="Times New Roman"/>
                <w:sz w:val="24"/>
                <w:szCs w:val="24"/>
                <w:lang w:val="en-US" w:eastAsia="en-US"/>
              </w:rPr>
              <w:t xml:space="preserve">Lafitte et al. (2020), Amini e Qishlaqi (2020), Sheykhi et al. </w:t>
            </w:r>
            <w:r w:rsidRPr="00013B24">
              <w:rPr>
                <w:rFonts w:ascii="Times New Roman" w:eastAsia="Calibri" w:hAnsi="Times New Roman" w:cs="Times New Roman"/>
                <w:sz w:val="24"/>
                <w:szCs w:val="24"/>
                <w:lang w:val="pt-BR" w:eastAsia="en-US"/>
              </w:rPr>
              <w:t xml:space="preserve">(2017), dos Santos et al. (2020), Marcussen; Dalsgaard; Holm (2008), da Silva Júnior et al. </w:t>
            </w:r>
            <w:r w:rsidRPr="00013B24">
              <w:rPr>
                <w:rFonts w:ascii="Times New Roman" w:eastAsia="Calibri" w:hAnsi="Times New Roman" w:cs="Times New Roman"/>
                <w:sz w:val="24"/>
                <w:szCs w:val="24"/>
                <w:lang w:val="en-US" w:eastAsia="en-US"/>
              </w:rPr>
              <w:t>(2020), Wang et al. (2018),  Pratap; Mani; Prasad (2020), Barhoumi et al. (2019), Vystavna et al. (2012), Sheykhi; Moore (2013), Rupakheti et al. (2017), Wang et al. (2020c)</w:t>
            </w:r>
          </w:p>
        </w:tc>
      </w:tr>
      <w:tr w:rsidR="00013B24" w:rsidRPr="00013B24" w14:paraId="56271FF0" w14:textId="77777777" w:rsidTr="00013B24">
        <w:trPr>
          <w:gridAfter w:val="2"/>
          <w:wAfter w:w="10227" w:type="dxa"/>
        </w:trPr>
        <w:tc>
          <w:tcPr>
            <w:tcW w:w="1276" w:type="dxa"/>
            <w:vMerge/>
            <w:tcBorders>
              <w:left w:val="nil"/>
              <w:right w:val="nil"/>
            </w:tcBorders>
            <w:shd w:val="clear" w:color="auto" w:fill="auto"/>
          </w:tcPr>
          <w:p w14:paraId="13372E86"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p>
        </w:tc>
        <w:tc>
          <w:tcPr>
            <w:tcW w:w="3260" w:type="dxa"/>
            <w:tcBorders>
              <w:top w:val="single" w:sz="4" w:space="0" w:color="auto"/>
              <w:left w:val="nil"/>
              <w:bottom w:val="single" w:sz="4" w:space="0" w:color="auto"/>
              <w:right w:val="nil"/>
            </w:tcBorders>
            <w:shd w:val="clear" w:color="auto" w:fill="auto"/>
            <w:vAlign w:val="center"/>
          </w:tcPr>
          <w:p w14:paraId="47008280" w14:textId="3ACAEB65" w:rsidR="00013B24" w:rsidRPr="00013B24" w:rsidRDefault="00A41699"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Industrial effluents</w:t>
            </w:r>
          </w:p>
        </w:tc>
        <w:tc>
          <w:tcPr>
            <w:tcW w:w="4536" w:type="dxa"/>
            <w:tcBorders>
              <w:top w:val="single" w:sz="4" w:space="0" w:color="auto"/>
              <w:left w:val="nil"/>
              <w:bottom w:val="single" w:sz="4" w:space="0" w:color="auto"/>
              <w:right w:val="nil"/>
            </w:tcBorders>
            <w:shd w:val="clear" w:color="auto" w:fill="auto"/>
            <w:vAlign w:val="center"/>
          </w:tcPr>
          <w:p w14:paraId="799B4EB3"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r w:rsidRPr="00013B24">
              <w:rPr>
                <w:rFonts w:ascii="Times New Roman" w:eastAsia="Calibri" w:hAnsi="Times New Roman" w:cs="Times New Roman"/>
                <w:sz w:val="24"/>
                <w:szCs w:val="24"/>
                <w:lang w:val="en-US" w:eastAsia="en-US"/>
              </w:rPr>
              <w:t>Marcussen; Dalsgaard; Holm (2008), da Silva Júnior et al. (2020), Wang et al. (2018), Zhuang et al. (2019), Barhoumi et al. (2019), Wang et al. (2018), Rupakheti et al. (2017)</w:t>
            </w:r>
          </w:p>
        </w:tc>
      </w:tr>
      <w:tr w:rsidR="00013B24" w:rsidRPr="00013B24" w14:paraId="5227B350" w14:textId="77777777" w:rsidTr="00013B24">
        <w:trPr>
          <w:gridAfter w:val="2"/>
          <w:wAfter w:w="10227" w:type="dxa"/>
        </w:trPr>
        <w:tc>
          <w:tcPr>
            <w:tcW w:w="1276" w:type="dxa"/>
            <w:vMerge/>
            <w:tcBorders>
              <w:left w:val="nil"/>
              <w:right w:val="nil"/>
            </w:tcBorders>
            <w:shd w:val="clear" w:color="auto" w:fill="auto"/>
          </w:tcPr>
          <w:p w14:paraId="36011E38"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p>
        </w:tc>
        <w:tc>
          <w:tcPr>
            <w:tcW w:w="3260" w:type="dxa"/>
            <w:tcBorders>
              <w:top w:val="single" w:sz="4" w:space="0" w:color="auto"/>
              <w:left w:val="nil"/>
              <w:bottom w:val="single" w:sz="4" w:space="0" w:color="auto"/>
              <w:right w:val="nil"/>
            </w:tcBorders>
            <w:shd w:val="clear" w:color="auto" w:fill="auto"/>
            <w:vAlign w:val="center"/>
          </w:tcPr>
          <w:p w14:paraId="63F110A0" w14:textId="5BF92495" w:rsidR="00013B24" w:rsidRPr="00013B24" w:rsidRDefault="00A41699"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Traffic</w:t>
            </w:r>
            <w:r w:rsidR="00013B24" w:rsidRPr="00013B24">
              <w:rPr>
                <w:rFonts w:ascii="Times New Roman" w:eastAsia="Calibri" w:hAnsi="Times New Roman" w:cs="Times New Roman"/>
                <w:sz w:val="24"/>
                <w:szCs w:val="24"/>
                <w:lang w:val="pt-BR" w:eastAsia="en-US"/>
              </w:rPr>
              <w:t xml:space="preserve"> </w:t>
            </w:r>
          </w:p>
        </w:tc>
        <w:tc>
          <w:tcPr>
            <w:tcW w:w="4536" w:type="dxa"/>
            <w:tcBorders>
              <w:top w:val="single" w:sz="4" w:space="0" w:color="auto"/>
              <w:left w:val="nil"/>
              <w:bottom w:val="single" w:sz="4" w:space="0" w:color="auto"/>
              <w:right w:val="nil"/>
            </w:tcBorders>
            <w:shd w:val="clear" w:color="auto" w:fill="auto"/>
            <w:vAlign w:val="center"/>
          </w:tcPr>
          <w:p w14:paraId="3217B280"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r w:rsidRPr="00013B24">
              <w:rPr>
                <w:rFonts w:ascii="Times New Roman" w:eastAsia="Calibri" w:hAnsi="Times New Roman" w:cs="Times New Roman"/>
                <w:sz w:val="24"/>
                <w:szCs w:val="24"/>
                <w:lang w:val="en-US" w:eastAsia="en-US"/>
              </w:rPr>
              <w:t xml:space="preserve">Barhoumi et al. (2019), Wang et al. </w:t>
            </w:r>
            <w:r w:rsidRPr="00013B24">
              <w:rPr>
                <w:rFonts w:ascii="Times New Roman" w:eastAsia="Calibri" w:hAnsi="Times New Roman" w:cs="Times New Roman"/>
                <w:sz w:val="24"/>
                <w:szCs w:val="24"/>
                <w:lang w:val="pt-BR" w:eastAsia="en-US"/>
              </w:rPr>
              <w:t xml:space="preserve">(2020b), dos Santos et al. </w:t>
            </w:r>
            <w:r w:rsidRPr="00013B24">
              <w:rPr>
                <w:rFonts w:ascii="Times New Roman" w:eastAsia="Calibri" w:hAnsi="Times New Roman" w:cs="Times New Roman"/>
                <w:sz w:val="24"/>
                <w:szCs w:val="24"/>
                <w:lang w:val="en-US" w:eastAsia="en-US"/>
              </w:rPr>
              <w:t>(2020), Niu et al. (2020), Sebastiao; Wagner; Goldsmith (2017), Munksgaard; Lottermoser (2010)</w:t>
            </w:r>
          </w:p>
        </w:tc>
      </w:tr>
      <w:tr w:rsidR="00013B24" w:rsidRPr="00013B24" w14:paraId="2008D887" w14:textId="77777777" w:rsidTr="00013B24">
        <w:trPr>
          <w:gridAfter w:val="2"/>
          <w:wAfter w:w="10227" w:type="dxa"/>
        </w:trPr>
        <w:tc>
          <w:tcPr>
            <w:tcW w:w="1276" w:type="dxa"/>
            <w:vMerge/>
            <w:tcBorders>
              <w:left w:val="nil"/>
              <w:right w:val="nil"/>
            </w:tcBorders>
            <w:shd w:val="clear" w:color="auto" w:fill="auto"/>
          </w:tcPr>
          <w:p w14:paraId="5816E398"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p>
        </w:tc>
        <w:tc>
          <w:tcPr>
            <w:tcW w:w="3260" w:type="dxa"/>
            <w:tcBorders>
              <w:top w:val="single" w:sz="4" w:space="0" w:color="auto"/>
              <w:left w:val="nil"/>
              <w:bottom w:val="single" w:sz="4" w:space="0" w:color="auto"/>
              <w:right w:val="nil"/>
            </w:tcBorders>
            <w:shd w:val="clear" w:color="auto" w:fill="auto"/>
            <w:vAlign w:val="center"/>
          </w:tcPr>
          <w:p w14:paraId="01262EC4" w14:textId="212F55D0" w:rsidR="00013B24" w:rsidRPr="00013B24" w:rsidRDefault="00717035"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Atmospheric deposition from polluted areas</w:t>
            </w:r>
            <w:r w:rsidR="00013B24" w:rsidRPr="00013B24">
              <w:rPr>
                <w:rFonts w:ascii="Times New Roman" w:eastAsia="Calibri" w:hAnsi="Times New Roman" w:cs="Times New Roman"/>
                <w:sz w:val="24"/>
                <w:szCs w:val="24"/>
                <w:lang w:val="pt-BR" w:eastAsia="en-US"/>
              </w:rPr>
              <w:t xml:space="preserve"> </w:t>
            </w:r>
          </w:p>
        </w:tc>
        <w:tc>
          <w:tcPr>
            <w:tcW w:w="4536" w:type="dxa"/>
            <w:tcBorders>
              <w:top w:val="single" w:sz="4" w:space="0" w:color="auto"/>
              <w:left w:val="nil"/>
              <w:bottom w:val="single" w:sz="4" w:space="0" w:color="auto"/>
              <w:right w:val="nil"/>
            </w:tcBorders>
            <w:shd w:val="clear" w:color="auto" w:fill="auto"/>
            <w:vAlign w:val="center"/>
          </w:tcPr>
          <w:p w14:paraId="30DCC1F0"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r w:rsidRPr="00013B24">
              <w:rPr>
                <w:rFonts w:ascii="Times New Roman" w:eastAsia="Calibri" w:hAnsi="Times New Roman" w:cs="Times New Roman"/>
                <w:sz w:val="24"/>
                <w:szCs w:val="24"/>
                <w:lang w:val="en-US" w:eastAsia="en-US"/>
              </w:rPr>
              <w:t>Yuan et al. (2019), Rupakheti et al. (2017)</w:t>
            </w:r>
          </w:p>
        </w:tc>
      </w:tr>
      <w:tr w:rsidR="00013B24" w:rsidRPr="00013B24" w14:paraId="17B417A3" w14:textId="77777777" w:rsidTr="00013B24">
        <w:trPr>
          <w:gridAfter w:val="2"/>
          <w:wAfter w:w="10227" w:type="dxa"/>
        </w:trPr>
        <w:tc>
          <w:tcPr>
            <w:tcW w:w="1276" w:type="dxa"/>
            <w:vMerge/>
            <w:tcBorders>
              <w:left w:val="nil"/>
              <w:right w:val="nil"/>
            </w:tcBorders>
            <w:shd w:val="clear" w:color="auto" w:fill="auto"/>
          </w:tcPr>
          <w:p w14:paraId="0E6764D6"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p>
        </w:tc>
        <w:tc>
          <w:tcPr>
            <w:tcW w:w="3260" w:type="dxa"/>
            <w:tcBorders>
              <w:top w:val="single" w:sz="4" w:space="0" w:color="auto"/>
              <w:left w:val="nil"/>
              <w:bottom w:val="single" w:sz="4" w:space="0" w:color="auto"/>
              <w:right w:val="nil"/>
            </w:tcBorders>
            <w:shd w:val="clear" w:color="auto" w:fill="auto"/>
            <w:vAlign w:val="center"/>
          </w:tcPr>
          <w:p w14:paraId="2F9420E6" w14:textId="5E65DD96" w:rsidR="00013B24" w:rsidRPr="00013B24" w:rsidRDefault="00717035"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Hospital</w:t>
            </w:r>
            <w:r w:rsidR="00A41699">
              <w:rPr>
                <w:rFonts w:ascii="Times New Roman" w:eastAsia="Calibri" w:hAnsi="Times New Roman" w:cs="Times New Roman"/>
                <w:sz w:val="24"/>
                <w:szCs w:val="24"/>
                <w:lang w:val="pt-BR" w:eastAsia="en-US"/>
              </w:rPr>
              <w:t xml:space="preserve"> effluents</w:t>
            </w:r>
          </w:p>
        </w:tc>
        <w:tc>
          <w:tcPr>
            <w:tcW w:w="4536" w:type="dxa"/>
            <w:tcBorders>
              <w:top w:val="single" w:sz="4" w:space="0" w:color="auto"/>
              <w:left w:val="nil"/>
              <w:bottom w:val="single" w:sz="4" w:space="0" w:color="auto"/>
              <w:right w:val="nil"/>
            </w:tcBorders>
            <w:shd w:val="clear" w:color="auto" w:fill="auto"/>
            <w:vAlign w:val="center"/>
          </w:tcPr>
          <w:p w14:paraId="60BEEDC2" w14:textId="77777777" w:rsidR="00013B24" w:rsidRPr="00013B24" w:rsidRDefault="00013B24" w:rsidP="00013B24">
            <w:pPr>
              <w:spacing w:after="160"/>
              <w:jc w:val="both"/>
              <w:rPr>
                <w:rFonts w:ascii="Times New Roman" w:eastAsia="Calibri" w:hAnsi="Times New Roman" w:cs="Times New Roman"/>
                <w:sz w:val="24"/>
                <w:szCs w:val="24"/>
                <w:lang w:val="pt-BR" w:eastAsia="en-US"/>
              </w:rPr>
            </w:pPr>
            <w:r w:rsidRPr="00013B24">
              <w:rPr>
                <w:rFonts w:ascii="Times New Roman" w:eastAsia="Calibri" w:hAnsi="Times New Roman" w:cs="Times New Roman"/>
                <w:sz w:val="24"/>
                <w:szCs w:val="24"/>
                <w:lang w:val="en-US" w:eastAsia="en-US"/>
              </w:rPr>
              <w:t xml:space="preserve">Mubedi et al. (2013), Lafitte et al. </w:t>
            </w:r>
            <w:r w:rsidRPr="00013B24">
              <w:rPr>
                <w:rFonts w:ascii="Times New Roman" w:eastAsia="Calibri" w:hAnsi="Times New Roman" w:cs="Times New Roman"/>
                <w:sz w:val="24"/>
                <w:szCs w:val="24"/>
                <w:lang w:val="pt-BR" w:eastAsia="en-US"/>
              </w:rPr>
              <w:t>(2020)</w:t>
            </w:r>
          </w:p>
        </w:tc>
      </w:tr>
      <w:tr w:rsidR="00013B24" w:rsidRPr="00013B24" w14:paraId="660AA650" w14:textId="77777777" w:rsidTr="00013B24">
        <w:trPr>
          <w:gridAfter w:val="2"/>
          <w:wAfter w:w="10227" w:type="dxa"/>
        </w:trPr>
        <w:tc>
          <w:tcPr>
            <w:tcW w:w="1276" w:type="dxa"/>
            <w:vMerge/>
            <w:tcBorders>
              <w:left w:val="nil"/>
              <w:bottom w:val="single" w:sz="12" w:space="0" w:color="auto"/>
              <w:right w:val="nil"/>
            </w:tcBorders>
            <w:shd w:val="clear" w:color="auto" w:fill="auto"/>
          </w:tcPr>
          <w:p w14:paraId="72FB9670"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p>
        </w:tc>
        <w:tc>
          <w:tcPr>
            <w:tcW w:w="3260" w:type="dxa"/>
            <w:tcBorders>
              <w:top w:val="single" w:sz="4" w:space="0" w:color="auto"/>
              <w:left w:val="nil"/>
              <w:bottom w:val="single" w:sz="12" w:space="0" w:color="auto"/>
              <w:right w:val="nil"/>
            </w:tcBorders>
            <w:shd w:val="clear" w:color="auto" w:fill="auto"/>
            <w:vAlign w:val="center"/>
          </w:tcPr>
          <w:p w14:paraId="38C738CE" w14:textId="19EB61C2" w:rsidR="00013B24" w:rsidRPr="00013B24" w:rsidRDefault="00717035" w:rsidP="00013B24">
            <w:pPr>
              <w:spacing w:after="160"/>
              <w:rPr>
                <w:rFonts w:ascii="Times New Roman" w:eastAsia="Calibri" w:hAnsi="Times New Roman" w:cs="Times New Roman"/>
                <w:sz w:val="24"/>
                <w:szCs w:val="24"/>
                <w:lang w:val="pt-BR" w:eastAsia="en-US"/>
              </w:rPr>
            </w:pPr>
            <w:r>
              <w:rPr>
                <w:rFonts w:ascii="Times New Roman" w:eastAsia="Calibri" w:hAnsi="Times New Roman" w:cs="Times New Roman"/>
                <w:sz w:val="24"/>
                <w:szCs w:val="24"/>
                <w:lang w:val="pt-BR" w:eastAsia="en-US"/>
              </w:rPr>
              <w:t>Waterway transport</w:t>
            </w:r>
            <w:r w:rsidR="00013B24" w:rsidRPr="00013B24">
              <w:rPr>
                <w:rFonts w:ascii="Times New Roman" w:eastAsia="Calibri" w:hAnsi="Times New Roman" w:cs="Times New Roman"/>
                <w:sz w:val="24"/>
                <w:szCs w:val="24"/>
                <w:lang w:val="pt-BR" w:eastAsia="en-US"/>
              </w:rPr>
              <w:t xml:space="preserve"> </w:t>
            </w:r>
          </w:p>
        </w:tc>
        <w:tc>
          <w:tcPr>
            <w:tcW w:w="4536" w:type="dxa"/>
            <w:tcBorders>
              <w:top w:val="single" w:sz="4" w:space="0" w:color="auto"/>
              <w:left w:val="nil"/>
              <w:bottom w:val="single" w:sz="12" w:space="0" w:color="auto"/>
              <w:right w:val="nil"/>
            </w:tcBorders>
            <w:shd w:val="clear" w:color="auto" w:fill="auto"/>
            <w:vAlign w:val="center"/>
          </w:tcPr>
          <w:p w14:paraId="4DDB02E3" w14:textId="77777777" w:rsidR="00013B24" w:rsidRPr="00013B24" w:rsidRDefault="00013B24" w:rsidP="00013B24">
            <w:pPr>
              <w:spacing w:after="160"/>
              <w:jc w:val="both"/>
              <w:rPr>
                <w:rFonts w:ascii="Times New Roman" w:eastAsia="Calibri" w:hAnsi="Times New Roman" w:cs="Times New Roman"/>
                <w:sz w:val="24"/>
                <w:szCs w:val="24"/>
                <w:lang w:val="en-US" w:eastAsia="en-US"/>
              </w:rPr>
            </w:pPr>
            <w:r w:rsidRPr="00013B24">
              <w:rPr>
                <w:rFonts w:ascii="Times New Roman" w:eastAsia="Calibri" w:hAnsi="Times New Roman" w:cs="Times New Roman"/>
                <w:sz w:val="24"/>
                <w:szCs w:val="24"/>
                <w:lang w:val="en-US" w:eastAsia="en-US"/>
              </w:rPr>
              <w:t>Zhuang et al. (2019)</w:t>
            </w:r>
          </w:p>
        </w:tc>
      </w:tr>
    </w:tbl>
    <w:p w14:paraId="4944B92F" w14:textId="77777777" w:rsidR="00013B24" w:rsidRPr="00013B24" w:rsidRDefault="00013B24" w:rsidP="00914FC4">
      <w:pPr>
        <w:autoSpaceDE w:val="0"/>
        <w:autoSpaceDN w:val="0"/>
        <w:adjustRightInd w:val="0"/>
        <w:spacing w:after="0" w:line="360" w:lineRule="auto"/>
        <w:rPr>
          <w:rFonts w:ascii="Times New Roman" w:hAnsi="Times New Roman" w:cs="Times New Roman"/>
          <w:b/>
          <w:bCs/>
          <w:sz w:val="20"/>
          <w:szCs w:val="20"/>
          <w:lang w:val="en-GB"/>
        </w:rPr>
      </w:pPr>
    </w:p>
    <w:p w14:paraId="148B3526" w14:textId="77777777" w:rsidR="00013B24" w:rsidRDefault="00013B24" w:rsidP="00914FC4">
      <w:pPr>
        <w:autoSpaceDE w:val="0"/>
        <w:autoSpaceDN w:val="0"/>
        <w:adjustRightInd w:val="0"/>
        <w:spacing w:after="0" w:line="360" w:lineRule="auto"/>
        <w:rPr>
          <w:rFonts w:ascii="Times New Roman" w:hAnsi="Times New Roman" w:cs="Times New Roman"/>
          <w:b/>
          <w:bCs/>
          <w:sz w:val="20"/>
          <w:szCs w:val="20"/>
          <w:lang w:val="en-US"/>
        </w:rPr>
      </w:pPr>
    </w:p>
    <w:p w14:paraId="1F70FB7A" w14:textId="77777777" w:rsidR="00013B24" w:rsidRDefault="00013B24" w:rsidP="00914FC4">
      <w:pPr>
        <w:autoSpaceDE w:val="0"/>
        <w:autoSpaceDN w:val="0"/>
        <w:adjustRightInd w:val="0"/>
        <w:spacing w:after="0" w:line="360" w:lineRule="auto"/>
        <w:rPr>
          <w:rFonts w:ascii="Times New Roman" w:hAnsi="Times New Roman" w:cs="Times New Roman"/>
          <w:b/>
          <w:bCs/>
          <w:sz w:val="20"/>
          <w:szCs w:val="20"/>
          <w:lang w:val="en-US"/>
        </w:rPr>
      </w:pPr>
    </w:p>
    <w:p w14:paraId="6D118183" w14:textId="77777777" w:rsidR="00013B24" w:rsidRDefault="00013B24" w:rsidP="00914FC4">
      <w:pPr>
        <w:autoSpaceDE w:val="0"/>
        <w:autoSpaceDN w:val="0"/>
        <w:adjustRightInd w:val="0"/>
        <w:spacing w:after="0" w:line="360" w:lineRule="auto"/>
        <w:rPr>
          <w:rFonts w:ascii="Times New Roman" w:hAnsi="Times New Roman" w:cs="Times New Roman"/>
          <w:b/>
          <w:bCs/>
          <w:sz w:val="20"/>
          <w:szCs w:val="20"/>
          <w:lang w:val="en-US"/>
        </w:rPr>
      </w:pPr>
    </w:p>
    <w:p w14:paraId="18B3C86E" w14:textId="77777777" w:rsidR="00013B24" w:rsidRDefault="00013B24" w:rsidP="00914FC4">
      <w:pPr>
        <w:autoSpaceDE w:val="0"/>
        <w:autoSpaceDN w:val="0"/>
        <w:adjustRightInd w:val="0"/>
        <w:spacing w:after="0" w:line="360" w:lineRule="auto"/>
        <w:rPr>
          <w:rFonts w:ascii="Times New Roman" w:hAnsi="Times New Roman" w:cs="Times New Roman"/>
          <w:b/>
          <w:bCs/>
          <w:sz w:val="20"/>
          <w:szCs w:val="20"/>
          <w:lang w:val="en-US"/>
        </w:rPr>
      </w:pPr>
    </w:p>
    <w:p w14:paraId="2150D78F" w14:textId="3E8439DA" w:rsidR="00013B24" w:rsidRDefault="00013B24" w:rsidP="00914FC4">
      <w:pPr>
        <w:autoSpaceDE w:val="0"/>
        <w:autoSpaceDN w:val="0"/>
        <w:adjustRightInd w:val="0"/>
        <w:spacing w:after="0" w:line="360" w:lineRule="auto"/>
        <w:rPr>
          <w:rFonts w:ascii="Times New Roman" w:hAnsi="Times New Roman" w:cs="Times New Roman"/>
          <w:b/>
          <w:bCs/>
          <w:sz w:val="20"/>
          <w:szCs w:val="20"/>
          <w:lang w:val="en-US"/>
        </w:rPr>
      </w:pPr>
    </w:p>
    <w:p w14:paraId="4C4B9D57" w14:textId="77777777" w:rsidR="00013B24" w:rsidRDefault="00013B24" w:rsidP="00914FC4">
      <w:pPr>
        <w:autoSpaceDE w:val="0"/>
        <w:autoSpaceDN w:val="0"/>
        <w:adjustRightInd w:val="0"/>
        <w:spacing w:after="0" w:line="360" w:lineRule="auto"/>
        <w:rPr>
          <w:rFonts w:ascii="Times New Roman" w:hAnsi="Times New Roman" w:cs="Times New Roman"/>
          <w:b/>
          <w:bCs/>
          <w:sz w:val="20"/>
          <w:szCs w:val="20"/>
          <w:lang w:val="en-US"/>
        </w:rPr>
      </w:pPr>
    </w:p>
    <w:p w14:paraId="0CFE1D09" w14:textId="6A33BBDB" w:rsidR="00BA2C16" w:rsidRPr="00B82AA5" w:rsidRDefault="00B82AA5" w:rsidP="00914FC4">
      <w:pPr>
        <w:autoSpaceDE w:val="0"/>
        <w:autoSpaceDN w:val="0"/>
        <w:adjustRightInd w:val="0"/>
        <w:spacing w:after="0" w:line="360" w:lineRule="auto"/>
        <w:rPr>
          <w:rFonts w:ascii="Times New Roman" w:hAnsi="Times New Roman" w:cs="Times New Roman"/>
          <w:sz w:val="20"/>
          <w:szCs w:val="20"/>
          <w:lang w:val="en-US"/>
        </w:rPr>
      </w:pPr>
      <w:r w:rsidRPr="00B82AA5">
        <w:rPr>
          <w:rFonts w:ascii="Times New Roman" w:hAnsi="Times New Roman" w:cs="Times New Roman"/>
          <w:b/>
          <w:bCs/>
          <w:sz w:val="20"/>
          <w:szCs w:val="20"/>
          <w:lang w:val="en-US"/>
        </w:rPr>
        <w:lastRenderedPageBreak/>
        <w:t xml:space="preserve">Fig. S9 </w:t>
      </w:r>
      <w:r w:rsidRPr="00B82AA5">
        <w:rPr>
          <w:rFonts w:ascii="Times New Roman" w:hAnsi="Times New Roman" w:cs="Times New Roman"/>
          <w:sz w:val="20"/>
          <w:szCs w:val="20"/>
          <w:lang w:val="en-US"/>
        </w:rPr>
        <w:t>PTE associated with mining</w:t>
      </w:r>
    </w:p>
    <w:p w14:paraId="590824D6" w14:textId="77777777" w:rsidR="00BA2C16" w:rsidRDefault="00BA2C16" w:rsidP="00914FC4">
      <w:pPr>
        <w:autoSpaceDE w:val="0"/>
        <w:autoSpaceDN w:val="0"/>
        <w:adjustRightInd w:val="0"/>
        <w:spacing w:line="360" w:lineRule="auto"/>
        <w:rPr>
          <w:rFonts w:ascii="Times New Roman" w:hAnsi="Times New Roman" w:cs="Times New Roman"/>
          <w:sz w:val="24"/>
          <w:szCs w:val="24"/>
          <w:lang w:val="en-US"/>
        </w:rPr>
      </w:pPr>
      <w:r w:rsidRPr="005E11C4">
        <w:rPr>
          <w:noProof/>
          <w:lang w:val="pt-BR" w:eastAsia="pt-BR"/>
        </w:rPr>
        <w:drawing>
          <wp:inline distT="0" distB="0" distL="0" distR="0" wp14:anchorId="6CC477FC" wp14:editId="483BFFA6">
            <wp:extent cx="5400040" cy="3181350"/>
            <wp:effectExtent l="0" t="0" r="0" b="0"/>
            <wp:docPr id="1" name="Gráfico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FC263B0-228F-4E8D-B275-041C2AB069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FCA2DC1" w14:textId="23B7BF77" w:rsidR="00BA2C16" w:rsidRDefault="00BA2C16" w:rsidP="00914FC4">
      <w:pPr>
        <w:spacing w:after="0" w:line="360" w:lineRule="auto"/>
        <w:rPr>
          <w:lang w:val="en-US"/>
        </w:rPr>
      </w:pPr>
    </w:p>
    <w:p w14:paraId="5B38F765" w14:textId="77777777" w:rsidR="00914FC4" w:rsidRDefault="00914FC4" w:rsidP="00914FC4">
      <w:pPr>
        <w:spacing w:after="0" w:line="360" w:lineRule="auto"/>
        <w:rPr>
          <w:lang w:val="en-US"/>
        </w:rPr>
      </w:pPr>
    </w:p>
    <w:p w14:paraId="6C530022" w14:textId="08677AE4" w:rsidR="00BA2C16" w:rsidRPr="00B82AA5" w:rsidRDefault="00B82AA5" w:rsidP="00914FC4">
      <w:pPr>
        <w:autoSpaceDE w:val="0"/>
        <w:autoSpaceDN w:val="0"/>
        <w:adjustRightInd w:val="0"/>
        <w:spacing w:after="0" w:line="360" w:lineRule="auto"/>
        <w:rPr>
          <w:sz w:val="18"/>
          <w:szCs w:val="18"/>
          <w:lang w:val="en-US"/>
        </w:rPr>
      </w:pPr>
      <w:r w:rsidRPr="00B82AA5">
        <w:rPr>
          <w:rFonts w:ascii="Times New Roman" w:eastAsia="WarnockPro-Regular" w:hAnsi="Times New Roman" w:cs="Times New Roman"/>
          <w:b/>
          <w:bCs/>
          <w:sz w:val="20"/>
          <w:szCs w:val="20"/>
          <w:lang w:val="en-US"/>
        </w:rPr>
        <w:t>Fig. S10</w:t>
      </w:r>
      <w:r w:rsidRPr="00B82AA5">
        <w:rPr>
          <w:rFonts w:ascii="Times New Roman" w:eastAsia="WarnockPro-Regular" w:hAnsi="Times New Roman" w:cs="Times New Roman"/>
          <w:sz w:val="20"/>
          <w:szCs w:val="20"/>
          <w:lang w:val="en-US"/>
        </w:rPr>
        <w:t xml:space="preserve"> PTE associated with agriculture</w:t>
      </w:r>
    </w:p>
    <w:p w14:paraId="2F53FE93" w14:textId="77777777" w:rsidR="00BA2C16" w:rsidRDefault="00BA2C16" w:rsidP="00914FC4">
      <w:pPr>
        <w:autoSpaceDE w:val="0"/>
        <w:autoSpaceDN w:val="0"/>
        <w:adjustRightInd w:val="0"/>
        <w:spacing w:line="360" w:lineRule="auto"/>
        <w:rPr>
          <w:rFonts w:ascii="Times New Roman" w:eastAsia="WarnockPro-Regular" w:hAnsi="Times New Roman" w:cs="Times New Roman"/>
          <w:sz w:val="24"/>
          <w:szCs w:val="24"/>
          <w:lang w:val="en-US"/>
        </w:rPr>
      </w:pPr>
      <w:r>
        <w:rPr>
          <w:noProof/>
          <w:lang w:val="pt-BR" w:eastAsia="pt-BR"/>
        </w:rPr>
        <w:drawing>
          <wp:inline distT="0" distB="0" distL="0" distR="0" wp14:anchorId="4F58C173" wp14:editId="1B022AC0">
            <wp:extent cx="5400040" cy="3057525"/>
            <wp:effectExtent l="0" t="0" r="0" b="0"/>
            <wp:docPr id="30" name="Gráfico 3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56351AB-321E-4F4E-9DAD-0FF51D9E4B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0BD8975" w14:textId="77777777" w:rsidR="00BA2C16" w:rsidRDefault="00BA2C16" w:rsidP="00914FC4">
      <w:pPr>
        <w:spacing w:line="360" w:lineRule="auto"/>
        <w:rPr>
          <w:lang w:val="en-US"/>
        </w:rPr>
      </w:pPr>
    </w:p>
    <w:p w14:paraId="01F5A906" w14:textId="7A720E14" w:rsidR="00BA2C16" w:rsidRDefault="00BA2C16" w:rsidP="00914FC4">
      <w:pPr>
        <w:spacing w:line="360" w:lineRule="auto"/>
        <w:rPr>
          <w:lang w:val="en-US"/>
        </w:rPr>
      </w:pPr>
    </w:p>
    <w:p w14:paraId="0D4C2DC3" w14:textId="77777777" w:rsidR="00381B55" w:rsidRDefault="00381B55" w:rsidP="00914FC4">
      <w:pPr>
        <w:spacing w:line="360" w:lineRule="auto"/>
        <w:rPr>
          <w:lang w:val="en-US"/>
        </w:rPr>
      </w:pPr>
    </w:p>
    <w:p w14:paraId="664EAC85" w14:textId="6C30970F" w:rsidR="00BA2C16" w:rsidRPr="00B82AA5" w:rsidRDefault="00B82AA5" w:rsidP="00914FC4">
      <w:pPr>
        <w:autoSpaceDE w:val="0"/>
        <w:autoSpaceDN w:val="0"/>
        <w:adjustRightInd w:val="0"/>
        <w:spacing w:after="0" w:line="360" w:lineRule="auto"/>
        <w:jc w:val="both"/>
        <w:rPr>
          <w:rFonts w:ascii="Times New Roman" w:hAnsi="Times New Roman" w:cs="Times New Roman"/>
          <w:sz w:val="20"/>
          <w:szCs w:val="20"/>
          <w:lang w:val="en-US"/>
        </w:rPr>
      </w:pPr>
      <w:r w:rsidRPr="00B82AA5">
        <w:rPr>
          <w:rFonts w:ascii="Times New Roman" w:hAnsi="Times New Roman" w:cs="Times New Roman"/>
          <w:b/>
          <w:bCs/>
          <w:sz w:val="20"/>
          <w:szCs w:val="20"/>
          <w:lang w:val="en-US"/>
        </w:rPr>
        <w:lastRenderedPageBreak/>
        <w:t>Fig. S11</w:t>
      </w:r>
      <w:r w:rsidRPr="00B82AA5">
        <w:rPr>
          <w:rFonts w:ascii="Times New Roman" w:hAnsi="Times New Roman" w:cs="Times New Roman"/>
          <w:sz w:val="20"/>
          <w:szCs w:val="20"/>
          <w:lang w:val="en-US"/>
        </w:rPr>
        <w:t xml:space="preserve"> PTE associated with industries</w:t>
      </w:r>
    </w:p>
    <w:p w14:paraId="733D5B3B" w14:textId="77777777" w:rsidR="00BA2C16" w:rsidRDefault="00BA2C16" w:rsidP="00914FC4">
      <w:pPr>
        <w:autoSpaceDE w:val="0"/>
        <w:autoSpaceDN w:val="0"/>
        <w:adjustRightInd w:val="0"/>
        <w:spacing w:line="360" w:lineRule="auto"/>
        <w:jc w:val="both"/>
        <w:rPr>
          <w:rFonts w:ascii="Times New Roman" w:hAnsi="Times New Roman" w:cs="Times New Roman"/>
          <w:sz w:val="24"/>
          <w:szCs w:val="24"/>
        </w:rPr>
      </w:pPr>
      <w:r>
        <w:rPr>
          <w:noProof/>
          <w:lang w:val="pt-BR" w:eastAsia="pt-BR"/>
        </w:rPr>
        <w:drawing>
          <wp:inline distT="0" distB="0" distL="0" distR="0" wp14:anchorId="5ACFFEC1" wp14:editId="786D0E92">
            <wp:extent cx="5400040" cy="2800350"/>
            <wp:effectExtent l="0" t="0" r="0" b="0"/>
            <wp:docPr id="31" name="Gráfico 3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A9E35D5-9132-4874-93AC-49FB7F72D6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86A9001" w14:textId="3377BC41" w:rsidR="00BA2C16" w:rsidRDefault="00BA2C16" w:rsidP="00914FC4">
      <w:pPr>
        <w:spacing w:after="0" w:line="360" w:lineRule="auto"/>
        <w:rPr>
          <w:lang w:val="en-US"/>
        </w:rPr>
      </w:pPr>
    </w:p>
    <w:p w14:paraId="137DC5EF" w14:textId="77777777" w:rsidR="00914FC4" w:rsidRDefault="00914FC4" w:rsidP="00914FC4">
      <w:pPr>
        <w:spacing w:after="0" w:line="360" w:lineRule="auto"/>
        <w:rPr>
          <w:lang w:val="en-US"/>
        </w:rPr>
      </w:pPr>
    </w:p>
    <w:p w14:paraId="17C28BE0" w14:textId="29333DE3" w:rsidR="00CA16C7" w:rsidRPr="00B82AA5" w:rsidRDefault="00B82AA5" w:rsidP="00914FC4">
      <w:pPr>
        <w:spacing w:after="0" w:line="360" w:lineRule="auto"/>
        <w:rPr>
          <w:sz w:val="18"/>
          <w:szCs w:val="18"/>
          <w:lang w:val="en-US"/>
        </w:rPr>
      </w:pPr>
      <w:r w:rsidRPr="00B82AA5">
        <w:rPr>
          <w:rFonts w:ascii="Times New Roman" w:hAnsi="Times New Roman" w:cs="Times New Roman"/>
          <w:b/>
          <w:bCs/>
          <w:sz w:val="20"/>
          <w:szCs w:val="20"/>
          <w:lang w:val="en-US"/>
        </w:rPr>
        <w:t xml:space="preserve">Fig. S12 </w:t>
      </w:r>
      <w:r w:rsidRPr="00B82AA5">
        <w:rPr>
          <w:rFonts w:ascii="Times New Roman" w:hAnsi="Times New Roman" w:cs="Times New Roman"/>
          <w:sz w:val="20"/>
          <w:szCs w:val="20"/>
          <w:lang w:val="en-US"/>
        </w:rPr>
        <w:t>PTE associated with domestic effluents</w:t>
      </w:r>
    </w:p>
    <w:p w14:paraId="1D7CDA68" w14:textId="77777777" w:rsidR="00CA16C7" w:rsidRDefault="00CA16C7" w:rsidP="004F0B58">
      <w:pPr>
        <w:spacing w:line="360" w:lineRule="auto"/>
        <w:rPr>
          <w:rFonts w:ascii="Times New Roman" w:hAnsi="Times New Roman" w:cs="Times New Roman"/>
          <w:sz w:val="24"/>
          <w:szCs w:val="24"/>
          <w:lang w:val="en-US"/>
        </w:rPr>
      </w:pPr>
      <w:r>
        <w:rPr>
          <w:noProof/>
          <w:lang w:val="pt-BR" w:eastAsia="pt-BR"/>
        </w:rPr>
        <w:drawing>
          <wp:inline distT="0" distB="0" distL="0" distR="0" wp14:anchorId="60C611AC" wp14:editId="29A0D139">
            <wp:extent cx="5400040" cy="3044190"/>
            <wp:effectExtent l="0" t="0" r="0" b="3810"/>
            <wp:docPr id="12" name="Gráfico 1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0E655DD-6C50-4B81-82F1-A74243C9DF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9D38CF0" w14:textId="377BD104" w:rsidR="00CA16C7" w:rsidRDefault="00CA16C7" w:rsidP="00914FC4">
      <w:pPr>
        <w:spacing w:after="0" w:line="360" w:lineRule="auto"/>
        <w:rPr>
          <w:rFonts w:ascii="Times New Roman" w:hAnsi="Times New Roman" w:cs="Times New Roman"/>
          <w:sz w:val="24"/>
          <w:szCs w:val="24"/>
          <w:lang w:val="en-US"/>
        </w:rPr>
      </w:pPr>
    </w:p>
    <w:p w14:paraId="23D2C621" w14:textId="57E12328" w:rsidR="00CA16C7" w:rsidRDefault="00CA16C7" w:rsidP="00914FC4">
      <w:pPr>
        <w:spacing w:line="360" w:lineRule="auto"/>
        <w:rPr>
          <w:rFonts w:ascii="Times New Roman" w:hAnsi="Times New Roman" w:cs="Times New Roman"/>
          <w:sz w:val="24"/>
          <w:szCs w:val="24"/>
          <w:lang w:val="en-US"/>
        </w:rPr>
      </w:pPr>
    </w:p>
    <w:p w14:paraId="730EA193" w14:textId="135981C3" w:rsidR="00B82AA5" w:rsidRDefault="00B82AA5" w:rsidP="00914FC4">
      <w:pPr>
        <w:spacing w:line="360" w:lineRule="auto"/>
        <w:rPr>
          <w:rFonts w:ascii="Times New Roman" w:hAnsi="Times New Roman" w:cs="Times New Roman"/>
          <w:sz w:val="24"/>
          <w:szCs w:val="24"/>
          <w:lang w:val="en-US"/>
        </w:rPr>
      </w:pPr>
    </w:p>
    <w:p w14:paraId="6BD3C4F8" w14:textId="36384199" w:rsidR="00B82AA5" w:rsidRDefault="00B82AA5" w:rsidP="00914FC4">
      <w:pPr>
        <w:spacing w:line="360" w:lineRule="auto"/>
        <w:rPr>
          <w:rFonts w:ascii="Times New Roman" w:hAnsi="Times New Roman" w:cs="Times New Roman"/>
          <w:sz w:val="24"/>
          <w:szCs w:val="24"/>
          <w:lang w:val="en-US"/>
        </w:rPr>
      </w:pPr>
    </w:p>
    <w:p w14:paraId="0774F833" w14:textId="2D628283" w:rsidR="00B82AA5" w:rsidRDefault="00B82AA5" w:rsidP="00914FC4">
      <w:pPr>
        <w:spacing w:line="360" w:lineRule="auto"/>
        <w:rPr>
          <w:rFonts w:ascii="Times New Roman" w:hAnsi="Times New Roman" w:cs="Times New Roman"/>
          <w:sz w:val="24"/>
          <w:szCs w:val="24"/>
          <w:lang w:val="en-US"/>
        </w:rPr>
      </w:pPr>
    </w:p>
    <w:p w14:paraId="3735A818" w14:textId="1FE6F20E" w:rsidR="00B82AA5" w:rsidRPr="00B82AA5" w:rsidRDefault="00B82AA5" w:rsidP="00914FC4">
      <w:pPr>
        <w:autoSpaceDE w:val="0"/>
        <w:autoSpaceDN w:val="0"/>
        <w:adjustRightInd w:val="0"/>
        <w:spacing w:after="0" w:line="360" w:lineRule="auto"/>
        <w:jc w:val="both"/>
        <w:rPr>
          <w:rFonts w:ascii="Times New Roman" w:hAnsi="Times New Roman" w:cs="Times New Roman"/>
          <w:b/>
          <w:bCs/>
          <w:sz w:val="20"/>
          <w:szCs w:val="20"/>
          <w:lang w:val="en-US"/>
        </w:rPr>
      </w:pPr>
      <w:r w:rsidRPr="00B82AA5">
        <w:rPr>
          <w:rFonts w:ascii="Times New Roman" w:hAnsi="Times New Roman" w:cs="Times New Roman"/>
          <w:b/>
          <w:bCs/>
          <w:sz w:val="20"/>
          <w:szCs w:val="20"/>
          <w:lang w:val="en-US"/>
        </w:rPr>
        <w:lastRenderedPageBreak/>
        <w:t xml:space="preserve">Fig. S13 </w:t>
      </w:r>
      <w:r w:rsidRPr="00B82AA5">
        <w:rPr>
          <w:rFonts w:ascii="Times New Roman" w:hAnsi="Times New Roman" w:cs="Times New Roman"/>
          <w:sz w:val="20"/>
          <w:szCs w:val="20"/>
          <w:lang w:val="en-US"/>
        </w:rPr>
        <w:t>PTE associated with industrial effluents</w:t>
      </w:r>
    </w:p>
    <w:p w14:paraId="6807ABE3" w14:textId="77777777" w:rsidR="00CA16C7" w:rsidRDefault="00CA16C7" w:rsidP="004F0B58">
      <w:pPr>
        <w:autoSpaceDE w:val="0"/>
        <w:autoSpaceDN w:val="0"/>
        <w:adjustRightInd w:val="0"/>
        <w:spacing w:line="360" w:lineRule="auto"/>
        <w:rPr>
          <w:rFonts w:ascii="Times New Roman" w:hAnsi="Times New Roman" w:cs="Times New Roman"/>
          <w:sz w:val="24"/>
          <w:szCs w:val="24"/>
          <w:lang w:val="en-US"/>
        </w:rPr>
      </w:pPr>
      <w:r>
        <w:rPr>
          <w:noProof/>
          <w:lang w:val="pt-BR" w:eastAsia="pt-BR"/>
        </w:rPr>
        <w:drawing>
          <wp:inline distT="0" distB="0" distL="0" distR="0" wp14:anchorId="1987341A" wp14:editId="72E68C5A">
            <wp:extent cx="5400040" cy="3068955"/>
            <wp:effectExtent l="0" t="0" r="0" b="0"/>
            <wp:docPr id="32" name="Gráfico 3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F072CD3-332E-4DB5-A100-BCADD89631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21A08A9" w14:textId="5B1F1DC4" w:rsidR="00CA16C7" w:rsidRDefault="00CA16C7" w:rsidP="00914FC4">
      <w:pPr>
        <w:autoSpaceDE w:val="0"/>
        <w:autoSpaceDN w:val="0"/>
        <w:adjustRightInd w:val="0"/>
        <w:spacing w:after="0" w:line="360" w:lineRule="auto"/>
        <w:jc w:val="both"/>
        <w:rPr>
          <w:rFonts w:ascii="Times New Roman" w:hAnsi="Times New Roman" w:cs="Times New Roman"/>
          <w:b/>
          <w:bCs/>
          <w:sz w:val="24"/>
          <w:szCs w:val="24"/>
          <w:lang w:val="en-US"/>
        </w:rPr>
      </w:pPr>
    </w:p>
    <w:p w14:paraId="53C5CE08" w14:textId="77777777" w:rsidR="00914FC4" w:rsidRPr="000B74C6" w:rsidRDefault="00914FC4" w:rsidP="00914FC4">
      <w:pPr>
        <w:autoSpaceDE w:val="0"/>
        <w:autoSpaceDN w:val="0"/>
        <w:adjustRightInd w:val="0"/>
        <w:spacing w:after="0" w:line="360" w:lineRule="auto"/>
        <w:jc w:val="both"/>
        <w:rPr>
          <w:rFonts w:ascii="Times New Roman" w:hAnsi="Times New Roman" w:cs="Times New Roman"/>
          <w:b/>
          <w:bCs/>
          <w:sz w:val="24"/>
          <w:szCs w:val="24"/>
          <w:lang w:val="en-US"/>
        </w:rPr>
      </w:pPr>
    </w:p>
    <w:p w14:paraId="1BCB3707" w14:textId="3DCE1837" w:rsidR="00CA16C7" w:rsidRPr="00BE6098" w:rsidRDefault="00BE6098" w:rsidP="00914FC4">
      <w:pPr>
        <w:autoSpaceDE w:val="0"/>
        <w:autoSpaceDN w:val="0"/>
        <w:adjustRightInd w:val="0"/>
        <w:spacing w:after="0" w:line="360" w:lineRule="auto"/>
        <w:rPr>
          <w:rFonts w:ascii="Times New Roman" w:hAnsi="Times New Roman" w:cs="Times New Roman"/>
          <w:sz w:val="20"/>
          <w:szCs w:val="20"/>
          <w:lang w:val="en-US"/>
        </w:rPr>
      </w:pPr>
      <w:r w:rsidRPr="00BE6098">
        <w:rPr>
          <w:rFonts w:ascii="Times New Roman" w:hAnsi="Times New Roman" w:cs="Times New Roman"/>
          <w:b/>
          <w:bCs/>
          <w:sz w:val="20"/>
          <w:szCs w:val="20"/>
          <w:lang w:val="en-US"/>
        </w:rPr>
        <w:t xml:space="preserve">Fig. S14 </w:t>
      </w:r>
      <w:r w:rsidRPr="00BE6098">
        <w:rPr>
          <w:rFonts w:ascii="Times New Roman" w:hAnsi="Times New Roman" w:cs="Times New Roman"/>
          <w:sz w:val="20"/>
          <w:szCs w:val="20"/>
          <w:lang w:val="en-US"/>
        </w:rPr>
        <w:t>PTE associated with hospital effluents</w:t>
      </w:r>
    </w:p>
    <w:p w14:paraId="48D2D3A1" w14:textId="77777777" w:rsidR="00CA16C7" w:rsidRDefault="00CA16C7" w:rsidP="00914FC4">
      <w:pPr>
        <w:autoSpaceDE w:val="0"/>
        <w:autoSpaceDN w:val="0"/>
        <w:adjustRightInd w:val="0"/>
        <w:spacing w:after="0" w:line="360" w:lineRule="auto"/>
        <w:rPr>
          <w:rFonts w:ascii="Times New Roman" w:hAnsi="Times New Roman" w:cs="Times New Roman"/>
          <w:b/>
          <w:bCs/>
          <w:sz w:val="24"/>
          <w:szCs w:val="24"/>
          <w:lang w:val="en-US"/>
        </w:rPr>
      </w:pPr>
      <w:r>
        <w:rPr>
          <w:noProof/>
          <w:lang w:val="pt-BR" w:eastAsia="pt-BR"/>
        </w:rPr>
        <w:drawing>
          <wp:inline distT="0" distB="0" distL="0" distR="0" wp14:anchorId="11A360C5" wp14:editId="43C413A6">
            <wp:extent cx="5400040" cy="2257425"/>
            <wp:effectExtent l="0" t="0" r="0" b="0"/>
            <wp:docPr id="13" name="Gráfico 1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C8B3236-EAE4-48F0-8EC0-B0B085728D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765865">
        <w:rPr>
          <w:rFonts w:ascii="Times New Roman" w:hAnsi="Times New Roman" w:cs="Times New Roman"/>
          <w:b/>
          <w:bCs/>
          <w:sz w:val="24"/>
          <w:szCs w:val="24"/>
          <w:lang w:val="en-US"/>
        </w:rPr>
        <w:t xml:space="preserve"> </w:t>
      </w:r>
    </w:p>
    <w:p w14:paraId="00EDF8E9" w14:textId="77777777" w:rsidR="00BA2C16" w:rsidRDefault="00BA2C16" w:rsidP="00914FC4">
      <w:pPr>
        <w:spacing w:line="360" w:lineRule="auto"/>
        <w:rPr>
          <w:lang w:val="en-US"/>
        </w:rPr>
      </w:pPr>
    </w:p>
    <w:p w14:paraId="0637A927" w14:textId="574B7B7D" w:rsidR="00CA16C7" w:rsidRDefault="00CA16C7" w:rsidP="00914FC4">
      <w:pPr>
        <w:spacing w:line="360" w:lineRule="auto"/>
        <w:rPr>
          <w:lang w:val="en-US"/>
        </w:rPr>
      </w:pPr>
    </w:p>
    <w:p w14:paraId="05CD5509" w14:textId="3143FFF4" w:rsidR="00BE6098" w:rsidRDefault="00BE6098" w:rsidP="00914FC4">
      <w:pPr>
        <w:spacing w:line="360" w:lineRule="auto"/>
        <w:rPr>
          <w:lang w:val="en-US"/>
        </w:rPr>
      </w:pPr>
    </w:p>
    <w:p w14:paraId="18BF0AA3" w14:textId="7407BE44" w:rsidR="00BE6098" w:rsidRDefault="00BE6098" w:rsidP="00914FC4">
      <w:pPr>
        <w:spacing w:line="360" w:lineRule="auto"/>
        <w:rPr>
          <w:lang w:val="en-US"/>
        </w:rPr>
      </w:pPr>
    </w:p>
    <w:p w14:paraId="681B399A" w14:textId="777DAF5F" w:rsidR="00BE6098" w:rsidRDefault="00BE6098" w:rsidP="00914FC4">
      <w:pPr>
        <w:spacing w:line="360" w:lineRule="auto"/>
        <w:rPr>
          <w:lang w:val="en-US"/>
        </w:rPr>
      </w:pPr>
    </w:p>
    <w:p w14:paraId="2BBDB4F7" w14:textId="27D43F79" w:rsidR="00BE6098" w:rsidRDefault="00BE6098" w:rsidP="00914FC4">
      <w:pPr>
        <w:spacing w:line="360" w:lineRule="auto"/>
        <w:rPr>
          <w:lang w:val="en-US"/>
        </w:rPr>
      </w:pPr>
    </w:p>
    <w:p w14:paraId="55108FDD" w14:textId="2B04AEBD" w:rsidR="00BE6098" w:rsidRPr="00BE6098" w:rsidRDefault="00BE6098" w:rsidP="00914FC4">
      <w:pPr>
        <w:autoSpaceDE w:val="0"/>
        <w:autoSpaceDN w:val="0"/>
        <w:adjustRightInd w:val="0"/>
        <w:spacing w:after="0" w:line="360" w:lineRule="auto"/>
        <w:rPr>
          <w:rFonts w:ascii="Times New Roman" w:hAnsi="Times New Roman" w:cs="Times New Roman"/>
          <w:sz w:val="20"/>
          <w:szCs w:val="20"/>
          <w:lang w:val="en-US"/>
        </w:rPr>
      </w:pPr>
      <w:r w:rsidRPr="00BE6098">
        <w:rPr>
          <w:rFonts w:ascii="Times New Roman" w:hAnsi="Times New Roman" w:cs="Times New Roman"/>
          <w:b/>
          <w:bCs/>
          <w:sz w:val="20"/>
          <w:szCs w:val="20"/>
          <w:lang w:val="en-US"/>
        </w:rPr>
        <w:lastRenderedPageBreak/>
        <w:t>Fig. S15</w:t>
      </w:r>
      <w:r w:rsidRPr="00BE6098">
        <w:rPr>
          <w:rFonts w:ascii="Times New Roman" w:hAnsi="Times New Roman" w:cs="Times New Roman"/>
          <w:sz w:val="20"/>
          <w:szCs w:val="20"/>
          <w:lang w:val="en-US"/>
        </w:rPr>
        <w:t xml:space="preserve"> PTE associated with traffic</w:t>
      </w:r>
    </w:p>
    <w:p w14:paraId="108DA8D2" w14:textId="77777777" w:rsidR="00CA16C7" w:rsidRDefault="00CA16C7" w:rsidP="004F0B58">
      <w:pPr>
        <w:autoSpaceDE w:val="0"/>
        <w:autoSpaceDN w:val="0"/>
        <w:adjustRightInd w:val="0"/>
        <w:spacing w:line="360" w:lineRule="auto"/>
        <w:rPr>
          <w:rFonts w:ascii="Times New Roman" w:hAnsi="Times New Roman" w:cs="Times New Roman"/>
          <w:b/>
          <w:bCs/>
          <w:sz w:val="24"/>
          <w:szCs w:val="24"/>
          <w:lang w:val="en-US"/>
        </w:rPr>
      </w:pPr>
      <w:r>
        <w:rPr>
          <w:noProof/>
          <w:lang w:val="pt-BR" w:eastAsia="pt-BR"/>
        </w:rPr>
        <w:drawing>
          <wp:inline distT="0" distB="0" distL="0" distR="0" wp14:anchorId="1FF169E9" wp14:editId="0B78DC00">
            <wp:extent cx="5400040" cy="2739390"/>
            <wp:effectExtent l="0" t="0" r="0" b="3810"/>
            <wp:docPr id="15" name="Gráfico 1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9A8097F-1369-4B45-8E4C-3DC563B056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399F4B5" w14:textId="7B65BE41" w:rsidR="00CA16C7" w:rsidRDefault="00CA16C7" w:rsidP="004F0B58">
      <w:pPr>
        <w:autoSpaceDE w:val="0"/>
        <w:autoSpaceDN w:val="0"/>
        <w:adjustRightInd w:val="0"/>
        <w:spacing w:after="0" w:line="360" w:lineRule="auto"/>
        <w:rPr>
          <w:rFonts w:ascii="Times New Roman" w:hAnsi="Times New Roman" w:cs="Times New Roman"/>
          <w:sz w:val="24"/>
          <w:szCs w:val="24"/>
          <w:lang w:val="en-US"/>
        </w:rPr>
      </w:pPr>
    </w:p>
    <w:p w14:paraId="0940C1B9" w14:textId="77777777" w:rsidR="00914FC4" w:rsidRDefault="00914FC4" w:rsidP="004F0B58">
      <w:pPr>
        <w:autoSpaceDE w:val="0"/>
        <w:autoSpaceDN w:val="0"/>
        <w:adjustRightInd w:val="0"/>
        <w:spacing w:after="0" w:line="360" w:lineRule="auto"/>
        <w:rPr>
          <w:rFonts w:ascii="Times New Roman" w:hAnsi="Times New Roman" w:cs="Times New Roman"/>
          <w:sz w:val="24"/>
          <w:szCs w:val="24"/>
          <w:lang w:val="en-US"/>
        </w:rPr>
      </w:pPr>
    </w:p>
    <w:p w14:paraId="26BB3A56" w14:textId="1DFCD102" w:rsidR="00BE6098" w:rsidRPr="00BE6098" w:rsidRDefault="00BE6098" w:rsidP="00914FC4">
      <w:pPr>
        <w:autoSpaceDE w:val="0"/>
        <w:autoSpaceDN w:val="0"/>
        <w:adjustRightInd w:val="0"/>
        <w:spacing w:after="0" w:line="360" w:lineRule="auto"/>
        <w:rPr>
          <w:rFonts w:ascii="Times New Roman" w:hAnsi="Times New Roman" w:cs="Times New Roman"/>
          <w:sz w:val="20"/>
          <w:szCs w:val="20"/>
          <w:lang w:val="en-US"/>
        </w:rPr>
      </w:pPr>
      <w:r w:rsidRPr="00BE6098">
        <w:rPr>
          <w:rFonts w:ascii="Times New Roman" w:hAnsi="Times New Roman" w:cs="Times New Roman"/>
          <w:b/>
          <w:bCs/>
          <w:sz w:val="20"/>
          <w:szCs w:val="20"/>
          <w:lang w:val="en-US"/>
        </w:rPr>
        <w:t xml:space="preserve">Fig. S16 </w:t>
      </w:r>
      <w:r w:rsidRPr="00BE6098">
        <w:rPr>
          <w:rFonts w:ascii="Times New Roman" w:hAnsi="Times New Roman" w:cs="Times New Roman"/>
          <w:sz w:val="20"/>
          <w:szCs w:val="20"/>
          <w:lang w:val="en-US"/>
        </w:rPr>
        <w:t>PTE associated with atmospheric deposition from polluted areas</w:t>
      </w:r>
    </w:p>
    <w:p w14:paraId="777F305B" w14:textId="77777777" w:rsidR="00CA16C7" w:rsidRDefault="00CA16C7" w:rsidP="004F0B58">
      <w:pPr>
        <w:autoSpaceDE w:val="0"/>
        <w:autoSpaceDN w:val="0"/>
        <w:adjustRightInd w:val="0"/>
        <w:spacing w:line="360" w:lineRule="auto"/>
        <w:rPr>
          <w:rFonts w:ascii="Times New Roman" w:hAnsi="Times New Roman" w:cs="Times New Roman"/>
          <w:b/>
          <w:bCs/>
          <w:sz w:val="24"/>
          <w:szCs w:val="24"/>
          <w:lang w:val="en-US"/>
        </w:rPr>
      </w:pPr>
      <w:r w:rsidRPr="0081168A">
        <w:rPr>
          <w:noProof/>
          <w:lang w:val="pt-BR" w:eastAsia="pt-BR"/>
        </w:rPr>
        <w:drawing>
          <wp:inline distT="0" distB="0" distL="0" distR="0" wp14:anchorId="369CA300" wp14:editId="3225F6EA">
            <wp:extent cx="5400040" cy="2781935"/>
            <wp:effectExtent l="0" t="0" r="0" b="0"/>
            <wp:docPr id="24" name="Gráfico 2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FFF859A-5E4C-4C68-A94C-5719A606DD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Pr="00765865">
        <w:rPr>
          <w:rFonts w:ascii="Times New Roman" w:hAnsi="Times New Roman" w:cs="Times New Roman"/>
          <w:b/>
          <w:bCs/>
          <w:sz w:val="24"/>
          <w:szCs w:val="24"/>
          <w:lang w:val="en-US"/>
        </w:rPr>
        <w:t xml:space="preserve"> </w:t>
      </w:r>
    </w:p>
    <w:p w14:paraId="6DD04AB6" w14:textId="77777777" w:rsidR="00CA16C7" w:rsidRDefault="00CA16C7" w:rsidP="00914FC4">
      <w:pPr>
        <w:spacing w:line="360" w:lineRule="auto"/>
        <w:rPr>
          <w:lang w:val="en-US"/>
        </w:rPr>
      </w:pPr>
    </w:p>
    <w:p w14:paraId="2819C5D0" w14:textId="77777777" w:rsidR="00CA16C7" w:rsidRDefault="00CA16C7" w:rsidP="00914FC4">
      <w:pPr>
        <w:spacing w:line="360" w:lineRule="auto"/>
        <w:rPr>
          <w:lang w:val="en-US"/>
        </w:rPr>
      </w:pPr>
    </w:p>
    <w:sectPr w:rsidR="00CA16C7" w:rsidSect="00FA1820">
      <w:footerReference w:type="firs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2CAAFE" w14:textId="77777777" w:rsidR="00674713" w:rsidRDefault="00674713" w:rsidP="00333849">
      <w:pPr>
        <w:spacing w:after="0" w:line="240" w:lineRule="auto"/>
      </w:pPr>
      <w:r>
        <w:separator/>
      </w:r>
    </w:p>
  </w:endnote>
  <w:endnote w:type="continuationSeparator" w:id="0">
    <w:p w14:paraId="18FE6B3D" w14:textId="77777777" w:rsidR="00674713" w:rsidRDefault="00674713" w:rsidP="003338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WarnockPro-Regular">
    <w:altName w:val="Yu Gothic"/>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DF7C25" w14:textId="30319365" w:rsidR="00FA1820" w:rsidRPr="00FA1820" w:rsidRDefault="00FA1820">
    <w:pPr>
      <w:pStyle w:val="Rodap"/>
      <w:rPr>
        <w:lang w:val="pt-BR"/>
      </w:rPr>
    </w:pPr>
    <w:r>
      <w:rPr>
        <w:lang w:val="pt-BR"/>
      </w:rPr>
      <w:t>S1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430C80" w14:textId="77777777" w:rsidR="00674713" w:rsidRDefault="00674713" w:rsidP="00333849">
      <w:pPr>
        <w:spacing w:after="0" w:line="240" w:lineRule="auto"/>
      </w:pPr>
      <w:r>
        <w:separator/>
      </w:r>
    </w:p>
  </w:footnote>
  <w:footnote w:type="continuationSeparator" w:id="0">
    <w:p w14:paraId="0C108561" w14:textId="77777777" w:rsidR="00674713" w:rsidRDefault="00674713" w:rsidP="0033384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2D42"/>
    <w:rsid w:val="0000090D"/>
    <w:rsid w:val="00001100"/>
    <w:rsid w:val="00001303"/>
    <w:rsid w:val="00001A01"/>
    <w:rsid w:val="00002E70"/>
    <w:rsid w:val="00004A47"/>
    <w:rsid w:val="00006B03"/>
    <w:rsid w:val="00006C39"/>
    <w:rsid w:val="00006F2D"/>
    <w:rsid w:val="0000779E"/>
    <w:rsid w:val="000112ED"/>
    <w:rsid w:val="0001353E"/>
    <w:rsid w:val="00013B24"/>
    <w:rsid w:val="00013E2F"/>
    <w:rsid w:val="00017295"/>
    <w:rsid w:val="00020F5A"/>
    <w:rsid w:val="0002304F"/>
    <w:rsid w:val="000258A5"/>
    <w:rsid w:val="00025BF8"/>
    <w:rsid w:val="000262C6"/>
    <w:rsid w:val="000277B1"/>
    <w:rsid w:val="000303C9"/>
    <w:rsid w:val="00031741"/>
    <w:rsid w:val="000345B7"/>
    <w:rsid w:val="00034B15"/>
    <w:rsid w:val="00035384"/>
    <w:rsid w:val="0003784E"/>
    <w:rsid w:val="000378B6"/>
    <w:rsid w:val="00042BC1"/>
    <w:rsid w:val="00042DC7"/>
    <w:rsid w:val="00043EBA"/>
    <w:rsid w:val="00047324"/>
    <w:rsid w:val="00047DA0"/>
    <w:rsid w:val="0005339E"/>
    <w:rsid w:val="00054B81"/>
    <w:rsid w:val="00055F88"/>
    <w:rsid w:val="00056A9F"/>
    <w:rsid w:val="00063D3F"/>
    <w:rsid w:val="000648A1"/>
    <w:rsid w:val="0007168B"/>
    <w:rsid w:val="000740A4"/>
    <w:rsid w:val="00075214"/>
    <w:rsid w:val="00077F83"/>
    <w:rsid w:val="00080CE7"/>
    <w:rsid w:val="00082312"/>
    <w:rsid w:val="00082A9C"/>
    <w:rsid w:val="00084D5E"/>
    <w:rsid w:val="00086CBA"/>
    <w:rsid w:val="000922B4"/>
    <w:rsid w:val="00092DD4"/>
    <w:rsid w:val="000941DD"/>
    <w:rsid w:val="0009585C"/>
    <w:rsid w:val="000974E1"/>
    <w:rsid w:val="00097B48"/>
    <w:rsid w:val="000A2050"/>
    <w:rsid w:val="000A3534"/>
    <w:rsid w:val="000A5715"/>
    <w:rsid w:val="000A64E0"/>
    <w:rsid w:val="000B031B"/>
    <w:rsid w:val="000B1963"/>
    <w:rsid w:val="000B3B4B"/>
    <w:rsid w:val="000B44D1"/>
    <w:rsid w:val="000B5388"/>
    <w:rsid w:val="000C0ACA"/>
    <w:rsid w:val="000C1EDC"/>
    <w:rsid w:val="000C302E"/>
    <w:rsid w:val="000C7386"/>
    <w:rsid w:val="000D4C5F"/>
    <w:rsid w:val="000D7B98"/>
    <w:rsid w:val="000E19D2"/>
    <w:rsid w:val="000E434D"/>
    <w:rsid w:val="000E55FE"/>
    <w:rsid w:val="000E5C69"/>
    <w:rsid w:val="000E647E"/>
    <w:rsid w:val="000E7B41"/>
    <w:rsid w:val="000F00C4"/>
    <w:rsid w:val="000F12C9"/>
    <w:rsid w:val="000F134A"/>
    <w:rsid w:val="000F4D06"/>
    <w:rsid w:val="000F6EC9"/>
    <w:rsid w:val="000F6F68"/>
    <w:rsid w:val="001060BE"/>
    <w:rsid w:val="001111E9"/>
    <w:rsid w:val="001122A4"/>
    <w:rsid w:val="00112E8D"/>
    <w:rsid w:val="0011318E"/>
    <w:rsid w:val="001139E9"/>
    <w:rsid w:val="00116B35"/>
    <w:rsid w:val="00120079"/>
    <w:rsid w:val="00120B42"/>
    <w:rsid w:val="0012126B"/>
    <w:rsid w:val="001219FD"/>
    <w:rsid w:val="0012337F"/>
    <w:rsid w:val="001243D9"/>
    <w:rsid w:val="001256AA"/>
    <w:rsid w:val="00130840"/>
    <w:rsid w:val="001321C2"/>
    <w:rsid w:val="00135573"/>
    <w:rsid w:val="0013729F"/>
    <w:rsid w:val="00137766"/>
    <w:rsid w:val="00140D85"/>
    <w:rsid w:val="001414DF"/>
    <w:rsid w:val="00142B61"/>
    <w:rsid w:val="00143D25"/>
    <w:rsid w:val="00147F46"/>
    <w:rsid w:val="00150501"/>
    <w:rsid w:val="00154065"/>
    <w:rsid w:val="00154076"/>
    <w:rsid w:val="00154908"/>
    <w:rsid w:val="00160DCE"/>
    <w:rsid w:val="0016418F"/>
    <w:rsid w:val="001647E0"/>
    <w:rsid w:val="00165684"/>
    <w:rsid w:val="00165D59"/>
    <w:rsid w:val="00165F57"/>
    <w:rsid w:val="00166AF0"/>
    <w:rsid w:val="00166F0E"/>
    <w:rsid w:val="00167E49"/>
    <w:rsid w:val="00172034"/>
    <w:rsid w:val="00175505"/>
    <w:rsid w:val="00183835"/>
    <w:rsid w:val="00183C99"/>
    <w:rsid w:val="00184770"/>
    <w:rsid w:val="00186C3C"/>
    <w:rsid w:val="001876E8"/>
    <w:rsid w:val="00193A30"/>
    <w:rsid w:val="00193AA9"/>
    <w:rsid w:val="00194AB9"/>
    <w:rsid w:val="001968DC"/>
    <w:rsid w:val="001A6A18"/>
    <w:rsid w:val="001B0D7C"/>
    <w:rsid w:val="001B3CF6"/>
    <w:rsid w:val="001B4173"/>
    <w:rsid w:val="001B42FB"/>
    <w:rsid w:val="001B6520"/>
    <w:rsid w:val="001B7ED6"/>
    <w:rsid w:val="001C158D"/>
    <w:rsid w:val="001C1779"/>
    <w:rsid w:val="001C3942"/>
    <w:rsid w:val="001C5CA6"/>
    <w:rsid w:val="001C669A"/>
    <w:rsid w:val="001C6FBC"/>
    <w:rsid w:val="001D2674"/>
    <w:rsid w:val="001D2923"/>
    <w:rsid w:val="001D7649"/>
    <w:rsid w:val="001E45B4"/>
    <w:rsid w:val="001E6B81"/>
    <w:rsid w:val="001F1F3D"/>
    <w:rsid w:val="001F252C"/>
    <w:rsid w:val="001F4A91"/>
    <w:rsid w:val="001F64F2"/>
    <w:rsid w:val="00201545"/>
    <w:rsid w:val="00201644"/>
    <w:rsid w:val="002022D3"/>
    <w:rsid w:val="00203BF5"/>
    <w:rsid w:val="00206DCE"/>
    <w:rsid w:val="00207533"/>
    <w:rsid w:val="00207E44"/>
    <w:rsid w:val="00210226"/>
    <w:rsid w:val="002133A2"/>
    <w:rsid w:val="002173D2"/>
    <w:rsid w:val="00217518"/>
    <w:rsid w:val="00217A29"/>
    <w:rsid w:val="002203FB"/>
    <w:rsid w:val="002208D0"/>
    <w:rsid w:val="00225AEB"/>
    <w:rsid w:val="00227EA6"/>
    <w:rsid w:val="00230AED"/>
    <w:rsid w:val="002331EC"/>
    <w:rsid w:val="00233C2B"/>
    <w:rsid w:val="00234FAF"/>
    <w:rsid w:val="00243CEE"/>
    <w:rsid w:val="00246341"/>
    <w:rsid w:val="002514B0"/>
    <w:rsid w:val="002529A0"/>
    <w:rsid w:val="00253597"/>
    <w:rsid w:val="002564E8"/>
    <w:rsid w:val="00256BFE"/>
    <w:rsid w:val="00262D2F"/>
    <w:rsid w:val="0026494D"/>
    <w:rsid w:val="002672C1"/>
    <w:rsid w:val="00272195"/>
    <w:rsid w:val="00272961"/>
    <w:rsid w:val="002733F2"/>
    <w:rsid w:val="0027366F"/>
    <w:rsid w:val="00274622"/>
    <w:rsid w:val="00276495"/>
    <w:rsid w:val="00277F3A"/>
    <w:rsid w:val="00281816"/>
    <w:rsid w:val="0028251B"/>
    <w:rsid w:val="002829A6"/>
    <w:rsid w:val="00282C76"/>
    <w:rsid w:val="00284D33"/>
    <w:rsid w:val="00285662"/>
    <w:rsid w:val="002932DF"/>
    <w:rsid w:val="002A2B0C"/>
    <w:rsid w:val="002A7FF0"/>
    <w:rsid w:val="002B0486"/>
    <w:rsid w:val="002B2CC3"/>
    <w:rsid w:val="002B5010"/>
    <w:rsid w:val="002B5BC9"/>
    <w:rsid w:val="002B6D3E"/>
    <w:rsid w:val="002B7543"/>
    <w:rsid w:val="002C0D7B"/>
    <w:rsid w:val="002C103B"/>
    <w:rsid w:val="002C2040"/>
    <w:rsid w:val="002C69B4"/>
    <w:rsid w:val="002C6C0E"/>
    <w:rsid w:val="002C78EA"/>
    <w:rsid w:val="002D2D32"/>
    <w:rsid w:val="002D4DE9"/>
    <w:rsid w:val="002D503F"/>
    <w:rsid w:val="002D7F94"/>
    <w:rsid w:val="002E032E"/>
    <w:rsid w:val="002E3DB3"/>
    <w:rsid w:val="002E5B1E"/>
    <w:rsid w:val="002E636F"/>
    <w:rsid w:val="002F17D7"/>
    <w:rsid w:val="002F3B06"/>
    <w:rsid w:val="002F3B37"/>
    <w:rsid w:val="002F3E0E"/>
    <w:rsid w:val="002F4B74"/>
    <w:rsid w:val="0030117E"/>
    <w:rsid w:val="003020D8"/>
    <w:rsid w:val="003042C5"/>
    <w:rsid w:val="003060DC"/>
    <w:rsid w:val="003120E2"/>
    <w:rsid w:val="003235BE"/>
    <w:rsid w:val="00326BE4"/>
    <w:rsid w:val="00331299"/>
    <w:rsid w:val="00333849"/>
    <w:rsid w:val="00333AA1"/>
    <w:rsid w:val="00334A63"/>
    <w:rsid w:val="00336D1C"/>
    <w:rsid w:val="00336E5E"/>
    <w:rsid w:val="003468D3"/>
    <w:rsid w:val="00347307"/>
    <w:rsid w:val="00352DA3"/>
    <w:rsid w:val="00352E60"/>
    <w:rsid w:val="00356FC4"/>
    <w:rsid w:val="003609D2"/>
    <w:rsid w:val="00361F57"/>
    <w:rsid w:val="00362C9C"/>
    <w:rsid w:val="00363A5E"/>
    <w:rsid w:val="0036512F"/>
    <w:rsid w:val="00366043"/>
    <w:rsid w:val="0036649E"/>
    <w:rsid w:val="00367C36"/>
    <w:rsid w:val="00371BC6"/>
    <w:rsid w:val="00373BA4"/>
    <w:rsid w:val="0037602D"/>
    <w:rsid w:val="003763CB"/>
    <w:rsid w:val="00376536"/>
    <w:rsid w:val="003774C7"/>
    <w:rsid w:val="00380B40"/>
    <w:rsid w:val="00381B55"/>
    <w:rsid w:val="003837B7"/>
    <w:rsid w:val="00385491"/>
    <w:rsid w:val="00387BBB"/>
    <w:rsid w:val="00391FC1"/>
    <w:rsid w:val="0039522A"/>
    <w:rsid w:val="00397C27"/>
    <w:rsid w:val="003A005D"/>
    <w:rsid w:val="003A0221"/>
    <w:rsid w:val="003A35B8"/>
    <w:rsid w:val="003A360E"/>
    <w:rsid w:val="003A405D"/>
    <w:rsid w:val="003A49BB"/>
    <w:rsid w:val="003A5FAC"/>
    <w:rsid w:val="003A6AF2"/>
    <w:rsid w:val="003B0940"/>
    <w:rsid w:val="003B19E1"/>
    <w:rsid w:val="003B4456"/>
    <w:rsid w:val="003B48EA"/>
    <w:rsid w:val="003B61FD"/>
    <w:rsid w:val="003B6ABF"/>
    <w:rsid w:val="003B6F08"/>
    <w:rsid w:val="003C094C"/>
    <w:rsid w:val="003C3C9D"/>
    <w:rsid w:val="003C6102"/>
    <w:rsid w:val="003C73D5"/>
    <w:rsid w:val="003D23C9"/>
    <w:rsid w:val="003D2786"/>
    <w:rsid w:val="003D2E6F"/>
    <w:rsid w:val="003D3575"/>
    <w:rsid w:val="003D6B58"/>
    <w:rsid w:val="003E3C57"/>
    <w:rsid w:val="003E47F0"/>
    <w:rsid w:val="003E5709"/>
    <w:rsid w:val="003E5DC3"/>
    <w:rsid w:val="003E6512"/>
    <w:rsid w:val="003E679E"/>
    <w:rsid w:val="003E79A7"/>
    <w:rsid w:val="003F27F9"/>
    <w:rsid w:val="003F2C04"/>
    <w:rsid w:val="003F2DCC"/>
    <w:rsid w:val="003F5702"/>
    <w:rsid w:val="003F6BC0"/>
    <w:rsid w:val="003F7E55"/>
    <w:rsid w:val="004007CD"/>
    <w:rsid w:val="004047A6"/>
    <w:rsid w:val="004075D1"/>
    <w:rsid w:val="004076F6"/>
    <w:rsid w:val="004123DB"/>
    <w:rsid w:val="004129A6"/>
    <w:rsid w:val="00415079"/>
    <w:rsid w:val="00415145"/>
    <w:rsid w:val="00416561"/>
    <w:rsid w:val="004170F2"/>
    <w:rsid w:val="004209FC"/>
    <w:rsid w:val="00420DDA"/>
    <w:rsid w:val="00422AB3"/>
    <w:rsid w:val="00424026"/>
    <w:rsid w:val="0042521D"/>
    <w:rsid w:val="00427F6E"/>
    <w:rsid w:val="004331F7"/>
    <w:rsid w:val="00436191"/>
    <w:rsid w:val="004450CC"/>
    <w:rsid w:val="00445DC2"/>
    <w:rsid w:val="004462D8"/>
    <w:rsid w:val="00446C86"/>
    <w:rsid w:val="004504A4"/>
    <w:rsid w:val="00453394"/>
    <w:rsid w:val="00455D9C"/>
    <w:rsid w:val="0045724E"/>
    <w:rsid w:val="00457A61"/>
    <w:rsid w:val="00460DD0"/>
    <w:rsid w:val="00461824"/>
    <w:rsid w:val="00462052"/>
    <w:rsid w:val="00462BBA"/>
    <w:rsid w:val="00465830"/>
    <w:rsid w:val="00472EEE"/>
    <w:rsid w:val="004737D2"/>
    <w:rsid w:val="004743F5"/>
    <w:rsid w:val="004764B0"/>
    <w:rsid w:val="0047732E"/>
    <w:rsid w:val="00477BD8"/>
    <w:rsid w:val="00482B36"/>
    <w:rsid w:val="00483133"/>
    <w:rsid w:val="004840D4"/>
    <w:rsid w:val="004858B4"/>
    <w:rsid w:val="00485AF9"/>
    <w:rsid w:val="00486ECE"/>
    <w:rsid w:val="004872A5"/>
    <w:rsid w:val="00487799"/>
    <w:rsid w:val="00493311"/>
    <w:rsid w:val="004A0AB3"/>
    <w:rsid w:val="004A303A"/>
    <w:rsid w:val="004A740F"/>
    <w:rsid w:val="004A7ED9"/>
    <w:rsid w:val="004B0266"/>
    <w:rsid w:val="004B154D"/>
    <w:rsid w:val="004B3917"/>
    <w:rsid w:val="004B52F1"/>
    <w:rsid w:val="004B6216"/>
    <w:rsid w:val="004B63E6"/>
    <w:rsid w:val="004C747E"/>
    <w:rsid w:val="004D19F6"/>
    <w:rsid w:val="004D31F6"/>
    <w:rsid w:val="004D3D2C"/>
    <w:rsid w:val="004D463C"/>
    <w:rsid w:val="004D54EE"/>
    <w:rsid w:val="004D5577"/>
    <w:rsid w:val="004D7A2F"/>
    <w:rsid w:val="004E398F"/>
    <w:rsid w:val="004E3F7C"/>
    <w:rsid w:val="004E57AB"/>
    <w:rsid w:val="004E6C1F"/>
    <w:rsid w:val="004E724E"/>
    <w:rsid w:val="004E7420"/>
    <w:rsid w:val="004E7A25"/>
    <w:rsid w:val="004F0B58"/>
    <w:rsid w:val="004F1DCF"/>
    <w:rsid w:val="004F2D42"/>
    <w:rsid w:val="004F3C4D"/>
    <w:rsid w:val="004F47A1"/>
    <w:rsid w:val="004F6078"/>
    <w:rsid w:val="004F7BED"/>
    <w:rsid w:val="005068EF"/>
    <w:rsid w:val="00506FA7"/>
    <w:rsid w:val="005071AB"/>
    <w:rsid w:val="00514DFD"/>
    <w:rsid w:val="005153B3"/>
    <w:rsid w:val="00520C6E"/>
    <w:rsid w:val="005214F7"/>
    <w:rsid w:val="0052477F"/>
    <w:rsid w:val="00526AA6"/>
    <w:rsid w:val="00532AE9"/>
    <w:rsid w:val="0053331A"/>
    <w:rsid w:val="00541879"/>
    <w:rsid w:val="00545649"/>
    <w:rsid w:val="00545A9B"/>
    <w:rsid w:val="005517A3"/>
    <w:rsid w:val="00552E28"/>
    <w:rsid w:val="00554B80"/>
    <w:rsid w:val="005553C0"/>
    <w:rsid w:val="0055577E"/>
    <w:rsid w:val="00556F2B"/>
    <w:rsid w:val="005575D7"/>
    <w:rsid w:val="00562DF0"/>
    <w:rsid w:val="00563817"/>
    <w:rsid w:val="00570E4F"/>
    <w:rsid w:val="00580CF8"/>
    <w:rsid w:val="00581327"/>
    <w:rsid w:val="00581480"/>
    <w:rsid w:val="0058191D"/>
    <w:rsid w:val="00581F1F"/>
    <w:rsid w:val="00583CD6"/>
    <w:rsid w:val="00584D41"/>
    <w:rsid w:val="005851DB"/>
    <w:rsid w:val="00585DF6"/>
    <w:rsid w:val="005872FC"/>
    <w:rsid w:val="00587548"/>
    <w:rsid w:val="005A01FB"/>
    <w:rsid w:val="005A130B"/>
    <w:rsid w:val="005A4B70"/>
    <w:rsid w:val="005B4FAA"/>
    <w:rsid w:val="005B5EBF"/>
    <w:rsid w:val="005B772F"/>
    <w:rsid w:val="005C201F"/>
    <w:rsid w:val="005C3B6B"/>
    <w:rsid w:val="005C5293"/>
    <w:rsid w:val="005D1AC0"/>
    <w:rsid w:val="005D1B90"/>
    <w:rsid w:val="005D4DC4"/>
    <w:rsid w:val="005D5F3B"/>
    <w:rsid w:val="005D73E9"/>
    <w:rsid w:val="005D7B7B"/>
    <w:rsid w:val="005E1C95"/>
    <w:rsid w:val="005E1FAD"/>
    <w:rsid w:val="005E4BE0"/>
    <w:rsid w:val="005E73FE"/>
    <w:rsid w:val="005F4C42"/>
    <w:rsid w:val="005F5B10"/>
    <w:rsid w:val="005F5B7E"/>
    <w:rsid w:val="005F706D"/>
    <w:rsid w:val="005F74A2"/>
    <w:rsid w:val="00600568"/>
    <w:rsid w:val="006027E3"/>
    <w:rsid w:val="00605998"/>
    <w:rsid w:val="00606947"/>
    <w:rsid w:val="00607B27"/>
    <w:rsid w:val="0061198F"/>
    <w:rsid w:val="00612957"/>
    <w:rsid w:val="00615402"/>
    <w:rsid w:val="006171AB"/>
    <w:rsid w:val="0062360F"/>
    <w:rsid w:val="0062722A"/>
    <w:rsid w:val="006316EC"/>
    <w:rsid w:val="006356B0"/>
    <w:rsid w:val="00635FCC"/>
    <w:rsid w:val="00636380"/>
    <w:rsid w:val="00642029"/>
    <w:rsid w:val="00642BF9"/>
    <w:rsid w:val="006443D7"/>
    <w:rsid w:val="00647101"/>
    <w:rsid w:val="00647726"/>
    <w:rsid w:val="006518AC"/>
    <w:rsid w:val="00651FE1"/>
    <w:rsid w:val="00652B20"/>
    <w:rsid w:val="00652D6A"/>
    <w:rsid w:val="00654124"/>
    <w:rsid w:val="006573D3"/>
    <w:rsid w:val="0065768F"/>
    <w:rsid w:val="006612E0"/>
    <w:rsid w:val="006640D5"/>
    <w:rsid w:val="006644FC"/>
    <w:rsid w:val="00665365"/>
    <w:rsid w:val="0066646F"/>
    <w:rsid w:val="00671BBA"/>
    <w:rsid w:val="00673FAC"/>
    <w:rsid w:val="00674382"/>
    <w:rsid w:val="00674713"/>
    <w:rsid w:val="00674916"/>
    <w:rsid w:val="00675397"/>
    <w:rsid w:val="006824D7"/>
    <w:rsid w:val="00684012"/>
    <w:rsid w:val="00684799"/>
    <w:rsid w:val="00690C3B"/>
    <w:rsid w:val="006915E4"/>
    <w:rsid w:val="00693C90"/>
    <w:rsid w:val="006964EE"/>
    <w:rsid w:val="006A4523"/>
    <w:rsid w:val="006A5453"/>
    <w:rsid w:val="006A6E77"/>
    <w:rsid w:val="006A7D15"/>
    <w:rsid w:val="006B0C17"/>
    <w:rsid w:val="006B37E5"/>
    <w:rsid w:val="006C1460"/>
    <w:rsid w:val="006C2CCF"/>
    <w:rsid w:val="006C4641"/>
    <w:rsid w:val="006C50A2"/>
    <w:rsid w:val="006C5E41"/>
    <w:rsid w:val="006C7364"/>
    <w:rsid w:val="006C7474"/>
    <w:rsid w:val="006C7870"/>
    <w:rsid w:val="006D0186"/>
    <w:rsid w:val="006D1E26"/>
    <w:rsid w:val="006D2057"/>
    <w:rsid w:val="006D4253"/>
    <w:rsid w:val="006D4421"/>
    <w:rsid w:val="006D7B2E"/>
    <w:rsid w:val="006D7BBB"/>
    <w:rsid w:val="006E3873"/>
    <w:rsid w:val="006E5612"/>
    <w:rsid w:val="006F0BE7"/>
    <w:rsid w:val="006F32C6"/>
    <w:rsid w:val="006F4212"/>
    <w:rsid w:val="00700194"/>
    <w:rsid w:val="00705EDB"/>
    <w:rsid w:val="00706B40"/>
    <w:rsid w:val="007132D1"/>
    <w:rsid w:val="0071383B"/>
    <w:rsid w:val="00714074"/>
    <w:rsid w:val="007158D5"/>
    <w:rsid w:val="00716CA9"/>
    <w:rsid w:val="00717035"/>
    <w:rsid w:val="00725AE7"/>
    <w:rsid w:val="0072617C"/>
    <w:rsid w:val="00735D55"/>
    <w:rsid w:val="007429A0"/>
    <w:rsid w:val="00745CAA"/>
    <w:rsid w:val="00747F5E"/>
    <w:rsid w:val="0075013A"/>
    <w:rsid w:val="0075076F"/>
    <w:rsid w:val="00751320"/>
    <w:rsid w:val="007529B0"/>
    <w:rsid w:val="0075426D"/>
    <w:rsid w:val="0075704D"/>
    <w:rsid w:val="0075732F"/>
    <w:rsid w:val="00760D2F"/>
    <w:rsid w:val="007625B0"/>
    <w:rsid w:val="00762F45"/>
    <w:rsid w:val="00764291"/>
    <w:rsid w:val="00764616"/>
    <w:rsid w:val="007664FA"/>
    <w:rsid w:val="0077485C"/>
    <w:rsid w:val="00775C44"/>
    <w:rsid w:val="00781740"/>
    <w:rsid w:val="0078355B"/>
    <w:rsid w:val="007865AB"/>
    <w:rsid w:val="007867D7"/>
    <w:rsid w:val="00786FFF"/>
    <w:rsid w:val="00793327"/>
    <w:rsid w:val="00793622"/>
    <w:rsid w:val="00794E7F"/>
    <w:rsid w:val="00796243"/>
    <w:rsid w:val="007A02A5"/>
    <w:rsid w:val="007A1A0F"/>
    <w:rsid w:val="007A3757"/>
    <w:rsid w:val="007A49EB"/>
    <w:rsid w:val="007A52D5"/>
    <w:rsid w:val="007A5650"/>
    <w:rsid w:val="007A5A79"/>
    <w:rsid w:val="007A766E"/>
    <w:rsid w:val="007B278A"/>
    <w:rsid w:val="007B55BB"/>
    <w:rsid w:val="007B63CF"/>
    <w:rsid w:val="007B68F9"/>
    <w:rsid w:val="007B792F"/>
    <w:rsid w:val="007C2AC6"/>
    <w:rsid w:val="007C37A7"/>
    <w:rsid w:val="007C3D1D"/>
    <w:rsid w:val="007C411F"/>
    <w:rsid w:val="007D09A3"/>
    <w:rsid w:val="007D3958"/>
    <w:rsid w:val="007D41CC"/>
    <w:rsid w:val="007D5629"/>
    <w:rsid w:val="007D5E2A"/>
    <w:rsid w:val="007D623E"/>
    <w:rsid w:val="007D655D"/>
    <w:rsid w:val="007D6AFA"/>
    <w:rsid w:val="007D76A5"/>
    <w:rsid w:val="007E3D65"/>
    <w:rsid w:val="007E5270"/>
    <w:rsid w:val="007F0072"/>
    <w:rsid w:val="007F16CB"/>
    <w:rsid w:val="007F3E5F"/>
    <w:rsid w:val="007F6C3E"/>
    <w:rsid w:val="008014D2"/>
    <w:rsid w:val="0080186D"/>
    <w:rsid w:val="00803966"/>
    <w:rsid w:val="00807B9C"/>
    <w:rsid w:val="00810750"/>
    <w:rsid w:val="00812E4E"/>
    <w:rsid w:val="00814261"/>
    <w:rsid w:val="008142DA"/>
    <w:rsid w:val="008156F9"/>
    <w:rsid w:val="00817457"/>
    <w:rsid w:val="00820499"/>
    <w:rsid w:val="0082298A"/>
    <w:rsid w:val="00823E8A"/>
    <w:rsid w:val="00827089"/>
    <w:rsid w:val="00832F84"/>
    <w:rsid w:val="008340A4"/>
    <w:rsid w:val="0083493C"/>
    <w:rsid w:val="0083522B"/>
    <w:rsid w:val="00835715"/>
    <w:rsid w:val="008365CC"/>
    <w:rsid w:val="00837C5B"/>
    <w:rsid w:val="008403E3"/>
    <w:rsid w:val="00840BBB"/>
    <w:rsid w:val="0084179C"/>
    <w:rsid w:val="00841958"/>
    <w:rsid w:val="00844B21"/>
    <w:rsid w:val="00845C46"/>
    <w:rsid w:val="00847B65"/>
    <w:rsid w:val="00852F84"/>
    <w:rsid w:val="00857493"/>
    <w:rsid w:val="008608AB"/>
    <w:rsid w:val="0086197D"/>
    <w:rsid w:val="00861A48"/>
    <w:rsid w:val="00864AA8"/>
    <w:rsid w:val="00865B50"/>
    <w:rsid w:val="00865E25"/>
    <w:rsid w:val="00867CAA"/>
    <w:rsid w:val="008705BD"/>
    <w:rsid w:val="0087104A"/>
    <w:rsid w:val="00871700"/>
    <w:rsid w:val="00871F78"/>
    <w:rsid w:val="00872AB1"/>
    <w:rsid w:val="008743A3"/>
    <w:rsid w:val="00881EF6"/>
    <w:rsid w:val="00883BEF"/>
    <w:rsid w:val="00883FBB"/>
    <w:rsid w:val="008862C1"/>
    <w:rsid w:val="008866FE"/>
    <w:rsid w:val="00891DDC"/>
    <w:rsid w:val="00895D4D"/>
    <w:rsid w:val="00895E15"/>
    <w:rsid w:val="00896DB1"/>
    <w:rsid w:val="008A0C19"/>
    <w:rsid w:val="008A292D"/>
    <w:rsid w:val="008A3752"/>
    <w:rsid w:val="008A75B9"/>
    <w:rsid w:val="008B6272"/>
    <w:rsid w:val="008B7B7C"/>
    <w:rsid w:val="008C194B"/>
    <w:rsid w:val="008C633D"/>
    <w:rsid w:val="008C6825"/>
    <w:rsid w:val="008D2CD1"/>
    <w:rsid w:val="008D2F03"/>
    <w:rsid w:val="008E0CA1"/>
    <w:rsid w:val="008E1305"/>
    <w:rsid w:val="008E24B8"/>
    <w:rsid w:val="008E2A52"/>
    <w:rsid w:val="008F139B"/>
    <w:rsid w:val="008F1B57"/>
    <w:rsid w:val="008F2369"/>
    <w:rsid w:val="008F3832"/>
    <w:rsid w:val="008F3ABE"/>
    <w:rsid w:val="008F772A"/>
    <w:rsid w:val="00902C4E"/>
    <w:rsid w:val="00907E22"/>
    <w:rsid w:val="009103E9"/>
    <w:rsid w:val="00912BBB"/>
    <w:rsid w:val="00914FC4"/>
    <w:rsid w:val="0092044F"/>
    <w:rsid w:val="009224D8"/>
    <w:rsid w:val="00924181"/>
    <w:rsid w:val="00925010"/>
    <w:rsid w:val="00926B87"/>
    <w:rsid w:val="0092766E"/>
    <w:rsid w:val="0093117B"/>
    <w:rsid w:val="00931A1B"/>
    <w:rsid w:val="009361FE"/>
    <w:rsid w:val="00936349"/>
    <w:rsid w:val="00944B65"/>
    <w:rsid w:val="009507D3"/>
    <w:rsid w:val="00953D9B"/>
    <w:rsid w:val="00954AB0"/>
    <w:rsid w:val="00955C5A"/>
    <w:rsid w:val="009607A1"/>
    <w:rsid w:val="009624D3"/>
    <w:rsid w:val="00962A11"/>
    <w:rsid w:val="00963230"/>
    <w:rsid w:val="00965EFD"/>
    <w:rsid w:val="00966BA7"/>
    <w:rsid w:val="009678D5"/>
    <w:rsid w:val="00972643"/>
    <w:rsid w:val="009728BA"/>
    <w:rsid w:val="00974598"/>
    <w:rsid w:val="00975057"/>
    <w:rsid w:val="0097525B"/>
    <w:rsid w:val="0097653F"/>
    <w:rsid w:val="00977230"/>
    <w:rsid w:val="009802AB"/>
    <w:rsid w:val="00980782"/>
    <w:rsid w:val="00980CB3"/>
    <w:rsid w:val="00981707"/>
    <w:rsid w:val="0098241E"/>
    <w:rsid w:val="009872D2"/>
    <w:rsid w:val="00990FBB"/>
    <w:rsid w:val="00992738"/>
    <w:rsid w:val="00995134"/>
    <w:rsid w:val="00995E0A"/>
    <w:rsid w:val="009A2807"/>
    <w:rsid w:val="009A281E"/>
    <w:rsid w:val="009A44BE"/>
    <w:rsid w:val="009A6BF3"/>
    <w:rsid w:val="009A7145"/>
    <w:rsid w:val="009B1BEA"/>
    <w:rsid w:val="009B1F0A"/>
    <w:rsid w:val="009B67CC"/>
    <w:rsid w:val="009C2AF2"/>
    <w:rsid w:val="009C2D90"/>
    <w:rsid w:val="009C368E"/>
    <w:rsid w:val="009C635A"/>
    <w:rsid w:val="009D5F05"/>
    <w:rsid w:val="009E051D"/>
    <w:rsid w:val="009E0C4E"/>
    <w:rsid w:val="009E0D62"/>
    <w:rsid w:val="009E1CF2"/>
    <w:rsid w:val="009F5CAC"/>
    <w:rsid w:val="009F6285"/>
    <w:rsid w:val="00A00A1E"/>
    <w:rsid w:val="00A00DDE"/>
    <w:rsid w:val="00A02F30"/>
    <w:rsid w:val="00A0424A"/>
    <w:rsid w:val="00A043A1"/>
    <w:rsid w:val="00A04C6F"/>
    <w:rsid w:val="00A05A5F"/>
    <w:rsid w:val="00A05CE7"/>
    <w:rsid w:val="00A07D20"/>
    <w:rsid w:val="00A137E0"/>
    <w:rsid w:val="00A14529"/>
    <w:rsid w:val="00A17D18"/>
    <w:rsid w:val="00A20A1F"/>
    <w:rsid w:val="00A21912"/>
    <w:rsid w:val="00A22417"/>
    <w:rsid w:val="00A22D61"/>
    <w:rsid w:val="00A256FA"/>
    <w:rsid w:val="00A31692"/>
    <w:rsid w:val="00A344A8"/>
    <w:rsid w:val="00A345A0"/>
    <w:rsid w:val="00A34ADB"/>
    <w:rsid w:val="00A41699"/>
    <w:rsid w:val="00A41CF0"/>
    <w:rsid w:val="00A42489"/>
    <w:rsid w:val="00A451BD"/>
    <w:rsid w:val="00A45F97"/>
    <w:rsid w:val="00A5446E"/>
    <w:rsid w:val="00A63180"/>
    <w:rsid w:val="00A743BA"/>
    <w:rsid w:val="00A755A3"/>
    <w:rsid w:val="00A76B0B"/>
    <w:rsid w:val="00A77203"/>
    <w:rsid w:val="00A77A0B"/>
    <w:rsid w:val="00A806CD"/>
    <w:rsid w:val="00A84C71"/>
    <w:rsid w:val="00A85BDA"/>
    <w:rsid w:val="00A867A0"/>
    <w:rsid w:val="00A931D2"/>
    <w:rsid w:val="00A939DA"/>
    <w:rsid w:val="00A93D29"/>
    <w:rsid w:val="00A961F1"/>
    <w:rsid w:val="00A968D0"/>
    <w:rsid w:val="00AA60AA"/>
    <w:rsid w:val="00AA7A3E"/>
    <w:rsid w:val="00AB0D00"/>
    <w:rsid w:val="00AB1ECC"/>
    <w:rsid w:val="00AB287C"/>
    <w:rsid w:val="00AC11E5"/>
    <w:rsid w:val="00AC33AE"/>
    <w:rsid w:val="00AC4D01"/>
    <w:rsid w:val="00AC62BC"/>
    <w:rsid w:val="00AC788B"/>
    <w:rsid w:val="00AD246D"/>
    <w:rsid w:val="00AD2914"/>
    <w:rsid w:val="00AD2B7E"/>
    <w:rsid w:val="00AD448D"/>
    <w:rsid w:val="00AD5069"/>
    <w:rsid w:val="00AD600A"/>
    <w:rsid w:val="00AE2DE2"/>
    <w:rsid w:val="00AE5CF3"/>
    <w:rsid w:val="00AE5E10"/>
    <w:rsid w:val="00AF48B4"/>
    <w:rsid w:val="00AF4C32"/>
    <w:rsid w:val="00AF54B2"/>
    <w:rsid w:val="00AF6385"/>
    <w:rsid w:val="00B055C4"/>
    <w:rsid w:val="00B06338"/>
    <w:rsid w:val="00B0766A"/>
    <w:rsid w:val="00B12AC9"/>
    <w:rsid w:val="00B17595"/>
    <w:rsid w:val="00B20ACE"/>
    <w:rsid w:val="00B22DD1"/>
    <w:rsid w:val="00B33CB0"/>
    <w:rsid w:val="00B3400B"/>
    <w:rsid w:val="00B35999"/>
    <w:rsid w:val="00B364DF"/>
    <w:rsid w:val="00B41D6C"/>
    <w:rsid w:val="00B42877"/>
    <w:rsid w:val="00B4287E"/>
    <w:rsid w:val="00B42972"/>
    <w:rsid w:val="00B43A00"/>
    <w:rsid w:val="00B54DA4"/>
    <w:rsid w:val="00B55141"/>
    <w:rsid w:val="00B555A6"/>
    <w:rsid w:val="00B55DDC"/>
    <w:rsid w:val="00B56D40"/>
    <w:rsid w:val="00B57463"/>
    <w:rsid w:val="00B57C4A"/>
    <w:rsid w:val="00B62DDB"/>
    <w:rsid w:val="00B6446D"/>
    <w:rsid w:val="00B66C8C"/>
    <w:rsid w:val="00B7162C"/>
    <w:rsid w:val="00B74B9E"/>
    <w:rsid w:val="00B8042D"/>
    <w:rsid w:val="00B807C8"/>
    <w:rsid w:val="00B80FE7"/>
    <w:rsid w:val="00B823DA"/>
    <w:rsid w:val="00B82AA5"/>
    <w:rsid w:val="00B82F1E"/>
    <w:rsid w:val="00B836F3"/>
    <w:rsid w:val="00B8486E"/>
    <w:rsid w:val="00B8510F"/>
    <w:rsid w:val="00B87FD0"/>
    <w:rsid w:val="00B91F28"/>
    <w:rsid w:val="00B9246D"/>
    <w:rsid w:val="00B956FF"/>
    <w:rsid w:val="00B97984"/>
    <w:rsid w:val="00B97A4A"/>
    <w:rsid w:val="00BA1B03"/>
    <w:rsid w:val="00BA1DFC"/>
    <w:rsid w:val="00BA1E00"/>
    <w:rsid w:val="00BA249D"/>
    <w:rsid w:val="00BA2C16"/>
    <w:rsid w:val="00BA2F2D"/>
    <w:rsid w:val="00BA6159"/>
    <w:rsid w:val="00BB2648"/>
    <w:rsid w:val="00BB4554"/>
    <w:rsid w:val="00BB45EA"/>
    <w:rsid w:val="00BB4E25"/>
    <w:rsid w:val="00BB4FAA"/>
    <w:rsid w:val="00BB7499"/>
    <w:rsid w:val="00BC1DCC"/>
    <w:rsid w:val="00BC3540"/>
    <w:rsid w:val="00BC6065"/>
    <w:rsid w:val="00BC6576"/>
    <w:rsid w:val="00BC6F42"/>
    <w:rsid w:val="00BD005E"/>
    <w:rsid w:val="00BD05BA"/>
    <w:rsid w:val="00BD520D"/>
    <w:rsid w:val="00BE000F"/>
    <w:rsid w:val="00BE13B1"/>
    <w:rsid w:val="00BE19DE"/>
    <w:rsid w:val="00BE21BE"/>
    <w:rsid w:val="00BE3A8F"/>
    <w:rsid w:val="00BE5C59"/>
    <w:rsid w:val="00BE5DC1"/>
    <w:rsid w:val="00BE6098"/>
    <w:rsid w:val="00BE6FDC"/>
    <w:rsid w:val="00BF195D"/>
    <w:rsid w:val="00BF229D"/>
    <w:rsid w:val="00BF2478"/>
    <w:rsid w:val="00BF34FE"/>
    <w:rsid w:val="00BF4215"/>
    <w:rsid w:val="00C002B4"/>
    <w:rsid w:val="00C014F3"/>
    <w:rsid w:val="00C0227F"/>
    <w:rsid w:val="00C05D90"/>
    <w:rsid w:val="00C07E2E"/>
    <w:rsid w:val="00C1160F"/>
    <w:rsid w:val="00C14787"/>
    <w:rsid w:val="00C17F46"/>
    <w:rsid w:val="00C2070C"/>
    <w:rsid w:val="00C2163D"/>
    <w:rsid w:val="00C23A61"/>
    <w:rsid w:val="00C24AC4"/>
    <w:rsid w:val="00C31607"/>
    <w:rsid w:val="00C35E24"/>
    <w:rsid w:val="00C3642E"/>
    <w:rsid w:val="00C36559"/>
    <w:rsid w:val="00C372FB"/>
    <w:rsid w:val="00C37E05"/>
    <w:rsid w:val="00C40C7D"/>
    <w:rsid w:val="00C41370"/>
    <w:rsid w:val="00C45FF9"/>
    <w:rsid w:val="00C47D2B"/>
    <w:rsid w:val="00C5112D"/>
    <w:rsid w:val="00C53B4E"/>
    <w:rsid w:val="00C55EC3"/>
    <w:rsid w:val="00C56203"/>
    <w:rsid w:val="00C57347"/>
    <w:rsid w:val="00C63CED"/>
    <w:rsid w:val="00C6445C"/>
    <w:rsid w:val="00C66068"/>
    <w:rsid w:val="00C715F4"/>
    <w:rsid w:val="00C71F6E"/>
    <w:rsid w:val="00C76CA6"/>
    <w:rsid w:val="00C76D63"/>
    <w:rsid w:val="00C80177"/>
    <w:rsid w:val="00C81FB4"/>
    <w:rsid w:val="00C82D14"/>
    <w:rsid w:val="00C9085A"/>
    <w:rsid w:val="00C92DA2"/>
    <w:rsid w:val="00C930EF"/>
    <w:rsid w:val="00C93C2A"/>
    <w:rsid w:val="00C96CAC"/>
    <w:rsid w:val="00CA0F6F"/>
    <w:rsid w:val="00CA16C7"/>
    <w:rsid w:val="00CA3688"/>
    <w:rsid w:val="00CA5EB6"/>
    <w:rsid w:val="00CA79DE"/>
    <w:rsid w:val="00CB0803"/>
    <w:rsid w:val="00CB08BD"/>
    <w:rsid w:val="00CB15D5"/>
    <w:rsid w:val="00CB44A7"/>
    <w:rsid w:val="00CB4EBA"/>
    <w:rsid w:val="00CB616F"/>
    <w:rsid w:val="00CC2218"/>
    <w:rsid w:val="00CC56F7"/>
    <w:rsid w:val="00CC5CE3"/>
    <w:rsid w:val="00CC5FDC"/>
    <w:rsid w:val="00CC6267"/>
    <w:rsid w:val="00CD1279"/>
    <w:rsid w:val="00CD423A"/>
    <w:rsid w:val="00CD4809"/>
    <w:rsid w:val="00CD6625"/>
    <w:rsid w:val="00CD7DEF"/>
    <w:rsid w:val="00CE3664"/>
    <w:rsid w:val="00CE47D6"/>
    <w:rsid w:val="00CE5B55"/>
    <w:rsid w:val="00CF0010"/>
    <w:rsid w:val="00CF54CE"/>
    <w:rsid w:val="00D04FF5"/>
    <w:rsid w:val="00D055BD"/>
    <w:rsid w:val="00D07F98"/>
    <w:rsid w:val="00D12CA2"/>
    <w:rsid w:val="00D13AF5"/>
    <w:rsid w:val="00D14566"/>
    <w:rsid w:val="00D15332"/>
    <w:rsid w:val="00D16881"/>
    <w:rsid w:val="00D171D2"/>
    <w:rsid w:val="00D2022C"/>
    <w:rsid w:val="00D267A3"/>
    <w:rsid w:val="00D2742B"/>
    <w:rsid w:val="00D30119"/>
    <w:rsid w:val="00D31CC2"/>
    <w:rsid w:val="00D32620"/>
    <w:rsid w:val="00D34F3A"/>
    <w:rsid w:val="00D35A6B"/>
    <w:rsid w:val="00D37AED"/>
    <w:rsid w:val="00D42E44"/>
    <w:rsid w:val="00D50109"/>
    <w:rsid w:val="00D50260"/>
    <w:rsid w:val="00D50C1F"/>
    <w:rsid w:val="00D577EA"/>
    <w:rsid w:val="00D57EEF"/>
    <w:rsid w:val="00D604F2"/>
    <w:rsid w:val="00D639E5"/>
    <w:rsid w:val="00D6453D"/>
    <w:rsid w:val="00D650C2"/>
    <w:rsid w:val="00D66F9F"/>
    <w:rsid w:val="00D711BE"/>
    <w:rsid w:val="00D711D0"/>
    <w:rsid w:val="00D71A3F"/>
    <w:rsid w:val="00D80A94"/>
    <w:rsid w:val="00D86EE8"/>
    <w:rsid w:val="00D90952"/>
    <w:rsid w:val="00D909CD"/>
    <w:rsid w:val="00D92763"/>
    <w:rsid w:val="00D941D6"/>
    <w:rsid w:val="00D97195"/>
    <w:rsid w:val="00DA0FA5"/>
    <w:rsid w:val="00DA278C"/>
    <w:rsid w:val="00DA308C"/>
    <w:rsid w:val="00DA45EC"/>
    <w:rsid w:val="00DA5717"/>
    <w:rsid w:val="00DA62D5"/>
    <w:rsid w:val="00DA712F"/>
    <w:rsid w:val="00DB2AA4"/>
    <w:rsid w:val="00DB47DD"/>
    <w:rsid w:val="00DB51E5"/>
    <w:rsid w:val="00DC3E14"/>
    <w:rsid w:val="00DC52DF"/>
    <w:rsid w:val="00DC6504"/>
    <w:rsid w:val="00DD18CE"/>
    <w:rsid w:val="00DE0206"/>
    <w:rsid w:val="00DE5962"/>
    <w:rsid w:val="00DE5EC1"/>
    <w:rsid w:val="00DE7252"/>
    <w:rsid w:val="00DF0110"/>
    <w:rsid w:val="00DF0B09"/>
    <w:rsid w:val="00DF231A"/>
    <w:rsid w:val="00DF2CE4"/>
    <w:rsid w:val="00DF3963"/>
    <w:rsid w:val="00DF406A"/>
    <w:rsid w:val="00DF7386"/>
    <w:rsid w:val="00E01B24"/>
    <w:rsid w:val="00E04F30"/>
    <w:rsid w:val="00E10112"/>
    <w:rsid w:val="00E1227F"/>
    <w:rsid w:val="00E138D1"/>
    <w:rsid w:val="00E150E4"/>
    <w:rsid w:val="00E2116A"/>
    <w:rsid w:val="00E220C1"/>
    <w:rsid w:val="00E23295"/>
    <w:rsid w:val="00E24550"/>
    <w:rsid w:val="00E27009"/>
    <w:rsid w:val="00E30E5B"/>
    <w:rsid w:val="00E3337A"/>
    <w:rsid w:val="00E33761"/>
    <w:rsid w:val="00E33AAC"/>
    <w:rsid w:val="00E35D25"/>
    <w:rsid w:val="00E35F87"/>
    <w:rsid w:val="00E37178"/>
    <w:rsid w:val="00E43F23"/>
    <w:rsid w:val="00E446FC"/>
    <w:rsid w:val="00E44F99"/>
    <w:rsid w:val="00E46701"/>
    <w:rsid w:val="00E5341C"/>
    <w:rsid w:val="00E547E6"/>
    <w:rsid w:val="00E57FA8"/>
    <w:rsid w:val="00E6334F"/>
    <w:rsid w:val="00E65B82"/>
    <w:rsid w:val="00E66BA3"/>
    <w:rsid w:val="00E6745B"/>
    <w:rsid w:val="00E71849"/>
    <w:rsid w:val="00E71BE7"/>
    <w:rsid w:val="00E724E0"/>
    <w:rsid w:val="00E73C5B"/>
    <w:rsid w:val="00E8087A"/>
    <w:rsid w:val="00E87830"/>
    <w:rsid w:val="00E878F9"/>
    <w:rsid w:val="00E91958"/>
    <w:rsid w:val="00E92C66"/>
    <w:rsid w:val="00E9439C"/>
    <w:rsid w:val="00E95FE4"/>
    <w:rsid w:val="00EA0F61"/>
    <w:rsid w:val="00EA199B"/>
    <w:rsid w:val="00EA4A51"/>
    <w:rsid w:val="00EA74C9"/>
    <w:rsid w:val="00EB13C8"/>
    <w:rsid w:val="00EB1AC7"/>
    <w:rsid w:val="00EB2254"/>
    <w:rsid w:val="00EB6B66"/>
    <w:rsid w:val="00EB6B67"/>
    <w:rsid w:val="00EB6EBA"/>
    <w:rsid w:val="00EC0B67"/>
    <w:rsid w:val="00EC4D8E"/>
    <w:rsid w:val="00EC4DF6"/>
    <w:rsid w:val="00ED269B"/>
    <w:rsid w:val="00ED26CA"/>
    <w:rsid w:val="00ED49E7"/>
    <w:rsid w:val="00ED60EA"/>
    <w:rsid w:val="00EE1933"/>
    <w:rsid w:val="00EE1FC7"/>
    <w:rsid w:val="00EE40EA"/>
    <w:rsid w:val="00EE4A05"/>
    <w:rsid w:val="00EE687A"/>
    <w:rsid w:val="00EE79E9"/>
    <w:rsid w:val="00EF0C96"/>
    <w:rsid w:val="00EF137F"/>
    <w:rsid w:val="00EF1FFF"/>
    <w:rsid w:val="00EF3F68"/>
    <w:rsid w:val="00EF4616"/>
    <w:rsid w:val="00EF49DD"/>
    <w:rsid w:val="00EF544C"/>
    <w:rsid w:val="00EF6242"/>
    <w:rsid w:val="00EF73B3"/>
    <w:rsid w:val="00EF7739"/>
    <w:rsid w:val="00F04656"/>
    <w:rsid w:val="00F04813"/>
    <w:rsid w:val="00F0498A"/>
    <w:rsid w:val="00F0715E"/>
    <w:rsid w:val="00F07820"/>
    <w:rsid w:val="00F1011A"/>
    <w:rsid w:val="00F111BC"/>
    <w:rsid w:val="00F1253E"/>
    <w:rsid w:val="00F15F75"/>
    <w:rsid w:val="00F168CD"/>
    <w:rsid w:val="00F17AB1"/>
    <w:rsid w:val="00F20778"/>
    <w:rsid w:val="00F208CB"/>
    <w:rsid w:val="00F22B2E"/>
    <w:rsid w:val="00F24C66"/>
    <w:rsid w:val="00F2786F"/>
    <w:rsid w:val="00F30A8E"/>
    <w:rsid w:val="00F3431F"/>
    <w:rsid w:val="00F34C6B"/>
    <w:rsid w:val="00F34E75"/>
    <w:rsid w:val="00F34FF3"/>
    <w:rsid w:val="00F366B1"/>
    <w:rsid w:val="00F37BDA"/>
    <w:rsid w:val="00F41B49"/>
    <w:rsid w:val="00F420C4"/>
    <w:rsid w:val="00F441F9"/>
    <w:rsid w:val="00F474AD"/>
    <w:rsid w:val="00F51492"/>
    <w:rsid w:val="00F51522"/>
    <w:rsid w:val="00F51D7B"/>
    <w:rsid w:val="00F52BA1"/>
    <w:rsid w:val="00F54804"/>
    <w:rsid w:val="00F56F32"/>
    <w:rsid w:val="00F56F40"/>
    <w:rsid w:val="00F62C7E"/>
    <w:rsid w:val="00F64F87"/>
    <w:rsid w:val="00F65235"/>
    <w:rsid w:val="00F71127"/>
    <w:rsid w:val="00F72C19"/>
    <w:rsid w:val="00F80A73"/>
    <w:rsid w:val="00F82BA7"/>
    <w:rsid w:val="00F830BE"/>
    <w:rsid w:val="00F831AA"/>
    <w:rsid w:val="00F863FF"/>
    <w:rsid w:val="00F869ED"/>
    <w:rsid w:val="00F92AEF"/>
    <w:rsid w:val="00F92E6C"/>
    <w:rsid w:val="00F94085"/>
    <w:rsid w:val="00F96993"/>
    <w:rsid w:val="00F9768B"/>
    <w:rsid w:val="00FA1820"/>
    <w:rsid w:val="00FA2AC6"/>
    <w:rsid w:val="00FA3878"/>
    <w:rsid w:val="00FA3B11"/>
    <w:rsid w:val="00FA4368"/>
    <w:rsid w:val="00FB03C3"/>
    <w:rsid w:val="00FC0112"/>
    <w:rsid w:val="00FC28EE"/>
    <w:rsid w:val="00FC37BC"/>
    <w:rsid w:val="00FD0734"/>
    <w:rsid w:val="00FD6121"/>
    <w:rsid w:val="00FE0837"/>
    <w:rsid w:val="00FE1CEB"/>
    <w:rsid w:val="00FE1DE6"/>
    <w:rsid w:val="00FE5549"/>
    <w:rsid w:val="00FE6B10"/>
    <w:rsid w:val="00FE77BD"/>
    <w:rsid w:val="00FE7C73"/>
    <w:rsid w:val="00FF23A2"/>
    <w:rsid w:val="00FF6AB5"/>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DFF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8365C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33849"/>
    <w:pPr>
      <w:tabs>
        <w:tab w:val="center" w:pos="4536"/>
        <w:tab w:val="right" w:pos="9072"/>
      </w:tabs>
      <w:spacing w:after="0" w:line="240" w:lineRule="auto"/>
    </w:pPr>
  </w:style>
  <w:style w:type="character" w:customStyle="1" w:styleId="CabealhoChar">
    <w:name w:val="Cabeçalho Char"/>
    <w:basedOn w:val="Fontepargpadro"/>
    <w:link w:val="Cabealho"/>
    <w:uiPriority w:val="99"/>
    <w:rsid w:val="00333849"/>
  </w:style>
  <w:style w:type="paragraph" w:styleId="Rodap">
    <w:name w:val="footer"/>
    <w:basedOn w:val="Normal"/>
    <w:link w:val="RodapChar"/>
    <w:uiPriority w:val="99"/>
    <w:unhideWhenUsed/>
    <w:rsid w:val="00333849"/>
    <w:pPr>
      <w:tabs>
        <w:tab w:val="center" w:pos="4536"/>
        <w:tab w:val="right" w:pos="9072"/>
      </w:tabs>
      <w:spacing w:after="0" w:line="240" w:lineRule="auto"/>
    </w:pPr>
  </w:style>
  <w:style w:type="character" w:customStyle="1" w:styleId="RodapChar">
    <w:name w:val="Rodapé Char"/>
    <w:basedOn w:val="Fontepargpadro"/>
    <w:link w:val="Rodap"/>
    <w:uiPriority w:val="99"/>
    <w:rsid w:val="00333849"/>
  </w:style>
  <w:style w:type="table" w:styleId="Tabelacomgrade">
    <w:name w:val="Table Grid"/>
    <w:basedOn w:val="Tabelanormal"/>
    <w:uiPriority w:val="59"/>
    <w:rsid w:val="002C103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Grilledutableau1">
    <w:name w:val="Grille du tableau1"/>
    <w:basedOn w:val="Tabelanormal"/>
    <w:next w:val="Tabelacomgrade"/>
    <w:uiPriority w:val="59"/>
    <w:rsid w:val="00025B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horttext">
    <w:name w:val="short_text"/>
    <w:basedOn w:val="Fontepargpadro"/>
    <w:rsid w:val="0075013A"/>
  </w:style>
  <w:style w:type="paragraph" w:styleId="Textodebalo">
    <w:name w:val="Balloon Text"/>
    <w:basedOn w:val="Normal"/>
    <w:link w:val="TextodebaloChar"/>
    <w:uiPriority w:val="99"/>
    <w:semiHidden/>
    <w:unhideWhenUsed/>
    <w:rsid w:val="00747F5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47F5E"/>
    <w:rPr>
      <w:rFonts w:ascii="Tahoma" w:hAnsi="Tahoma" w:cs="Tahoma"/>
      <w:sz w:val="16"/>
      <w:szCs w:val="16"/>
    </w:rPr>
  </w:style>
  <w:style w:type="character" w:styleId="Refdecomentrio">
    <w:name w:val="annotation reference"/>
    <w:basedOn w:val="Fontepargpadro"/>
    <w:uiPriority w:val="99"/>
    <w:semiHidden/>
    <w:unhideWhenUsed/>
    <w:rsid w:val="00E35D25"/>
    <w:rPr>
      <w:sz w:val="16"/>
      <w:szCs w:val="16"/>
    </w:rPr>
  </w:style>
  <w:style w:type="paragraph" w:styleId="Textodecomentrio">
    <w:name w:val="annotation text"/>
    <w:basedOn w:val="Normal"/>
    <w:link w:val="TextodecomentrioChar"/>
    <w:uiPriority w:val="99"/>
    <w:semiHidden/>
    <w:unhideWhenUsed/>
    <w:rsid w:val="00E35D2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35D25"/>
    <w:rPr>
      <w:sz w:val="20"/>
      <w:szCs w:val="20"/>
    </w:rPr>
  </w:style>
  <w:style w:type="paragraph" w:styleId="Assuntodocomentrio">
    <w:name w:val="annotation subject"/>
    <w:basedOn w:val="Textodecomentrio"/>
    <w:next w:val="Textodecomentrio"/>
    <w:link w:val="AssuntodocomentrioChar"/>
    <w:uiPriority w:val="99"/>
    <w:semiHidden/>
    <w:unhideWhenUsed/>
    <w:rsid w:val="00E35D25"/>
    <w:rPr>
      <w:b/>
      <w:bCs/>
    </w:rPr>
  </w:style>
  <w:style w:type="character" w:customStyle="1" w:styleId="AssuntodocomentrioChar">
    <w:name w:val="Assunto do comentário Char"/>
    <w:basedOn w:val="TextodecomentrioChar"/>
    <w:link w:val="Assuntodocomentrio"/>
    <w:uiPriority w:val="99"/>
    <w:semiHidden/>
    <w:rsid w:val="00E35D25"/>
    <w:rPr>
      <w:b/>
      <w:bCs/>
      <w:sz w:val="20"/>
      <w:szCs w:val="20"/>
    </w:rPr>
  </w:style>
  <w:style w:type="character" w:styleId="Hyperlink">
    <w:name w:val="Hyperlink"/>
    <w:basedOn w:val="Fontepargpadro"/>
    <w:uiPriority w:val="99"/>
    <w:unhideWhenUsed/>
    <w:rsid w:val="004D3D2C"/>
    <w:rPr>
      <w:color w:val="0000FF"/>
      <w:u w:val="single"/>
    </w:rPr>
  </w:style>
  <w:style w:type="character" w:styleId="Nmerodelinha">
    <w:name w:val="line number"/>
    <w:basedOn w:val="Fontepargpadro"/>
    <w:uiPriority w:val="99"/>
    <w:semiHidden/>
    <w:unhideWhenUsed/>
    <w:rsid w:val="00AA7A3E"/>
  </w:style>
  <w:style w:type="paragraph" w:styleId="PargrafodaLista">
    <w:name w:val="List Paragraph"/>
    <w:basedOn w:val="Normal"/>
    <w:uiPriority w:val="34"/>
    <w:qFormat/>
    <w:rsid w:val="00B3400B"/>
    <w:pPr>
      <w:ind w:left="720"/>
      <w:contextualSpacing/>
    </w:pPr>
  </w:style>
  <w:style w:type="character" w:customStyle="1" w:styleId="Ttulo1Char">
    <w:name w:val="Título 1 Char"/>
    <w:basedOn w:val="Fontepargpadro"/>
    <w:link w:val="Ttulo1"/>
    <w:uiPriority w:val="9"/>
    <w:rsid w:val="008365CC"/>
    <w:rPr>
      <w:rFonts w:asciiTheme="majorHAnsi" w:eastAsiaTheme="majorEastAsia" w:hAnsiTheme="majorHAnsi" w:cstheme="majorBidi"/>
      <w:b/>
      <w:bCs/>
      <w:color w:val="365F91" w:themeColor="accent1" w:themeShade="BF"/>
      <w:sz w:val="28"/>
      <w:szCs w:val="28"/>
    </w:rPr>
  </w:style>
  <w:style w:type="table" w:customStyle="1" w:styleId="Grilledutableau2">
    <w:name w:val="Grille du tableau2"/>
    <w:basedOn w:val="Tabelanormal"/>
    <w:next w:val="Tabelacomgrade"/>
    <w:uiPriority w:val="59"/>
    <w:rsid w:val="008B6272"/>
    <w:pPr>
      <w:spacing w:after="0" w:line="240" w:lineRule="auto"/>
    </w:pPr>
    <w:rPr>
      <w:kern w:val="2"/>
      <w:sz w:val="21"/>
      <w:lang w:val="en-US"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
    <w:name w:val="Grille du tableau3"/>
    <w:basedOn w:val="Tabelanormal"/>
    <w:next w:val="Tabelacomgrade"/>
    <w:uiPriority w:val="59"/>
    <w:rsid w:val="005C5293"/>
    <w:pPr>
      <w:spacing w:after="0" w:line="240" w:lineRule="auto"/>
    </w:pPr>
    <w:rPr>
      <w:kern w:val="2"/>
      <w:sz w:val="21"/>
      <w:lang w:val="en-US"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4">
    <w:name w:val="Grille du tableau4"/>
    <w:basedOn w:val="Tabelanormal"/>
    <w:next w:val="Tabelacomgrade"/>
    <w:uiPriority w:val="59"/>
    <w:rsid w:val="003A35B8"/>
    <w:pPr>
      <w:spacing w:after="0" w:line="240" w:lineRule="auto"/>
    </w:pPr>
    <w:rPr>
      <w:kern w:val="2"/>
      <w:sz w:val="21"/>
      <w:lang w:val="en-US"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Fontepargpadro"/>
    <w:uiPriority w:val="99"/>
    <w:semiHidden/>
    <w:unhideWhenUsed/>
    <w:rsid w:val="00C930E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8365C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33849"/>
    <w:pPr>
      <w:tabs>
        <w:tab w:val="center" w:pos="4536"/>
        <w:tab w:val="right" w:pos="9072"/>
      </w:tabs>
      <w:spacing w:after="0" w:line="240" w:lineRule="auto"/>
    </w:pPr>
  </w:style>
  <w:style w:type="character" w:customStyle="1" w:styleId="CabealhoChar">
    <w:name w:val="Cabeçalho Char"/>
    <w:basedOn w:val="Fontepargpadro"/>
    <w:link w:val="Cabealho"/>
    <w:uiPriority w:val="99"/>
    <w:rsid w:val="00333849"/>
  </w:style>
  <w:style w:type="paragraph" w:styleId="Rodap">
    <w:name w:val="footer"/>
    <w:basedOn w:val="Normal"/>
    <w:link w:val="RodapChar"/>
    <w:uiPriority w:val="99"/>
    <w:unhideWhenUsed/>
    <w:rsid w:val="00333849"/>
    <w:pPr>
      <w:tabs>
        <w:tab w:val="center" w:pos="4536"/>
        <w:tab w:val="right" w:pos="9072"/>
      </w:tabs>
      <w:spacing w:after="0" w:line="240" w:lineRule="auto"/>
    </w:pPr>
  </w:style>
  <w:style w:type="character" w:customStyle="1" w:styleId="RodapChar">
    <w:name w:val="Rodapé Char"/>
    <w:basedOn w:val="Fontepargpadro"/>
    <w:link w:val="Rodap"/>
    <w:uiPriority w:val="99"/>
    <w:rsid w:val="00333849"/>
  </w:style>
  <w:style w:type="table" w:styleId="Tabelacomgrade">
    <w:name w:val="Table Grid"/>
    <w:basedOn w:val="Tabelanormal"/>
    <w:uiPriority w:val="59"/>
    <w:rsid w:val="002C103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Grilledutableau1">
    <w:name w:val="Grille du tableau1"/>
    <w:basedOn w:val="Tabelanormal"/>
    <w:next w:val="Tabelacomgrade"/>
    <w:uiPriority w:val="59"/>
    <w:rsid w:val="00025B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horttext">
    <w:name w:val="short_text"/>
    <w:basedOn w:val="Fontepargpadro"/>
    <w:rsid w:val="0075013A"/>
  </w:style>
  <w:style w:type="paragraph" w:styleId="Textodebalo">
    <w:name w:val="Balloon Text"/>
    <w:basedOn w:val="Normal"/>
    <w:link w:val="TextodebaloChar"/>
    <w:uiPriority w:val="99"/>
    <w:semiHidden/>
    <w:unhideWhenUsed/>
    <w:rsid w:val="00747F5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47F5E"/>
    <w:rPr>
      <w:rFonts w:ascii="Tahoma" w:hAnsi="Tahoma" w:cs="Tahoma"/>
      <w:sz w:val="16"/>
      <w:szCs w:val="16"/>
    </w:rPr>
  </w:style>
  <w:style w:type="character" w:styleId="Refdecomentrio">
    <w:name w:val="annotation reference"/>
    <w:basedOn w:val="Fontepargpadro"/>
    <w:uiPriority w:val="99"/>
    <w:semiHidden/>
    <w:unhideWhenUsed/>
    <w:rsid w:val="00E35D25"/>
    <w:rPr>
      <w:sz w:val="16"/>
      <w:szCs w:val="16"/>
    </w:rPr>
  </w:style>
  <w:style w:type="paragraph" w:styleId="Textodecomentrio">
    <w:name w:val="annotation text"/>
    <w:basedOn w:val="Normal"/>
    <w:link w:val="TextodecomentrioChar"/>
    <w:uiPriority w:val="99"/>
    <w:semiHidden/>
    <w:unhideWhenUsed/>
    <w:rsid w:val="00E35D2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35D25"/>
    <w:rPr>
      <w:sz w:val="20"/>
      <w:szCs w:val="20"/>
    </w:rPr>
  </w:style>
  <w:style w:type="paragraph" w:styleId="Assuntodocomentrio">
    <w:name w:val="annotation subject"/>
    <w:basedOn w:val="Textodecomentrio"/>
    <w:next w:val="Textodecomentrio"/>
    <w:link w:val="AssuntodocomentrioChar"/>
    <w:uiPriority w:val="99"/>
    <w:semiHidden/>
    <w:unhideWhenUsed/>
    <w:rsid w:val="00E35D25"/>
    <w:rPr>
      <w:b/>
      <w:bCs/>
    </w:rPr>
  </w:style>
  <w:style w:type="character" w:customStyle="1" w:styleId="AssuntodocomentrioChar">
    <w:name w:val="Assunto do comentário Char"/>
    <w:basedOn w:val="TextodecomentrioChar"/>
    <w:link w:val="Assuntodocomentrio"/>
    <w:uiPriority w:val="99"/>
    <w:semiHidden/>
    <w:rsid w:val="00E35D25"/>
    <w:rPr>
      <w:b/>
      <w:bCs/>
      <w:sz w:val="20"/>
      <w:szCs w:val="20"/>
    </w:rPr>
  </w:style>
  <w:style w:type="character" w:styleId="Hyperlink">
    <w:name w:val="Hyperlink"/>
    <w:basedOn w:val="Fontepargpadro"/>
    <w:uiPriority w:val="99"/>
    <w:unhideWhenUsed/>
    <w:rsid w:val="004D3D2C"/>
    <w:rPr>
      <w:color w:val="0000FF"/>
      <w:u w:val="single"/>
    </w:rPr>
  </w:style>
  <w:style w:type="character" w:styleId="Nmerodelinha">
    <w:name w:val="line number"/>
    <w:basedOn w:val="Fontepargpadro"/>
    <w:uiPriority w:val="99"/>
    <w:semiHidden/>
    <w:unhideWhenUsed/>
    <w:rsid w:val="00AA7A3E"/>
  </w:style>
  <w:style w:type="paragraph" w:styleId="PargrafodaLista">
    <w:name w:val="List Paragraph"/>
    <w:basedOn w:val="Normal"/>
    <w:uiPriority w:val="34"/>
    <w:qFormat/>
    <w:rsid w:val="00B3400B"/>
    <w:pPr>
      <w:ind w:left="720"/>
      <w:contextualSpacing/>
    </w:pPr>
  </w:style>
  <w:style w:type="character" w:customStyle="1" w:styleId="Ttulo1Char">
    <w:name w:val="Título 1 Char"/>
    <w:basedOn w:val="Fontepargpadro"/>
    <w:link w:val="Ttulo1"/>
    <w:uiPriority w:val="9"/>
    <w:rsid w:val="008365CC"/>
    <w:rPr>
      <w:rFonts w:asciiTheme="majorHAnsi" w:eastAsiaTheme="majorEastAsia" w:hAnsiTheme="majorHAnsi" w:cstheme="majorBidi"/>
      <w:b/>
      <w:bCs/>
      <w:color w:val="365F91" w:themeColor="accent1" w:themeShade="BF"/>
      <w:sz w:val="28"/>
      <w:szCs w:val="28"/>
    </w:rPr>
  </w:style>
  <w:style w:type="table" w:customStyle="1" w:styleId="Grilledutableau2">
    <w:name w:val="Grille du tableau2"/>
    <w:basedOn w:val="Tabelanormal"/>
    <w:next w:val="Tabelacomgrade"/>
    <w:uiPriority w:val="59"/>
    <w:rsid w:val="008B6272"/>
    <w:pPr>
      <w:spacing w:after="0" w:line="240" w:lineRule="auto"/>
    </w:pPr>
    <w:rPr>
      <w:kern w:val="2"/>
      <w:sz w:val="21"/>
      <w:lang w:val="en-US"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
    <w:name w:val="Grille du tableau3"/>
    <w:basedOn w:val="Tabelanormal"/>
    <w:next w:val="Tabelacomgrade"/>
    <w:uiPriority w:val="59"/>
    <w:rsid w:val="005C5293"/>
    <w:pPr>
      <w:spacing w:after="0" w:line="240" w:lineRule="auto"/>
    </w:pPr>
    <w:rPr>
      <w:kern w:val="2"/>
      <w:sz w:val="21"/>
      <w:lang w:val="en-US"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4">
    <w:name w:val="Grille du tableau4"/>
    <w:basedOn w:val="Tabelanormal"/>
    <w:next w:val="Tabelacomgrade"/>
    <w:uiPriority w:val="59"/>
    <w:rsid w:val="003A35B8"/>
    <w:pPr>
      <w:spacing w:after="0" w:line="240" w:lineRule="auto"/>
    </w:pPr>
    <w:rPr>
      <w:kern w:val="2"/>
      <w:sz w:val="21"/>
      <w:lang w:val="en-US"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Fontepargpadro"/>
    <w:uiPriority w:val="99"/>
    <w:semiHidden/>
    <w:unhideWhenUsed/>
    <w:rsid w:val="00C930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801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chart" Target="charts/chart13.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hart" Target="charts/chart8.xml"/><Relationship Id="rId20"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chart" Target="charts/chart15.xml"/><Relationship Id="rId10" Type="http://schemas.openxmlformats.org/officeDocument/2006/relationships/chart" Target="charts/chart2.xml"/><Relationship Id="rId19" Type="http://schemas.openxmlformats.org/officeDocument/2006/relationships/chart" Target="charts/chart1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May\Documents\Mestrado\Artigo%20Fontes%20EPTs\Revis&#227;o%20-%20Base%20de%20dados%20-%20ingl&#234;s.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May\Documents\Mestrado\Artigo%20Fontes%20EPTs\Revis&#227;o%20-%20Base%20de%20dados%20-%20ingl&#234;s.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May\Documents\Mestrado\Artigo%20Fontes%20EPTs\Revis&#227;o%20-%20Base%20de%20dados%20-%20ingl&#234;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May\Documents\Mestrado\Artigo%20Fontes%20EPTs\Revis&#227;o%20-%20Base%20de%20dados%20-%20ingl&#234;s.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May\Documents\Mestrado\Artigo%20Fontes%20EPTs\Revis&#227;o%20-%20Base%20de%20dados%20-%20ingl&#234;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May\Documents\Mestrado\Artigo%20Fontes%20EPTs\Revis&#227;o%20-%20Base%20de%20dados%20-%20ingl&#234;s.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May\Documents\Mestrado\Artigo%20Fontes%20EPTs\Revis&#227;o%20-%20Base%20de%20dados%20-%20ingl&#234;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May\Documents\Mestrado\Artigo%20Fontes%20EPTs\Revis&#227;o%20-%20Base%20de%20dados%20-%20ingl&#234;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May\Documents\Mestrado\Artigo%20Fontes%20EPTs\Revis&#227;o%20-%20Base%20de%20dados%20-%20ingl&#234;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May\Documents\Mestrado\Artigo%20Fontes%20EPTs\Revis&#227;o%20-%20Base%20de%20dados%20-%20ingl&#234;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May\Documents\Mestrado\Artigo%20Fontes%20EPTs\Revis&#227;o%20-%20Base%20de%20dados%20-%20ingl&#234;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May\Documents\Mestrado\Artigo%20Fontes%20EPTs\Revis&#227;o%20-%20Base%20de%20dados%20-%20ingl&#234;s.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May\Documents\Mestrado\Artigo%20Fontes%20EPTs\Revis&#227;o%20-%20Base%20de%20dados%20-%20ingl&#234;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May\Documents\Mestrado\Artigo%20Fontes%20EPTs\Revis&#227;o%20-%20Base%20de%20dados%20-%20ingl&#234;s.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May\Documents\Mestrado\Artigo%20Fontes%20EPTs\Revis&#227;o%20-%20Base%20de%20dados%20-%20ingl&#234;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ScienceDirect!$B$2</c:f>
              <c:strCache>
                <c:ptCount val="1"/>
                <c:pt idx="0">
                  <c:v>potentially toxic metal in surface water</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xVal>
            <c:numRef>
              <c:f>ScienceDirect!$A$3:$A$23</c:f>
              <c:numCache>
                <c:formatCode>General</c:formatCod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numCache>
            </c:numRef>
          </c:xVal>
          <c:yVal>
            <c:numRef>
              <c:f>ScienceDirect!$B$3:$B$23</c:f>
              <c:numCache>
                <c:formatCode>General</c:formatCode>
                <c:ptCount val="21"/>
                <c:pt idx="0">
                  <c:v>435</c:v>
                </c:pt>
                <c:pt idx="1">
                  <c:v>485</c:v>
                </c:pt>
                <c:pt idx="2">
                  <c:v>561</c:v>
                </c:pt>
                <c:pt idx="3">
                  <c:v>701</c:v>
                </c:pt>
                <c:pt idx="4">
                  <c:v>765</c:v>
                </c:pt>
                <c:pt idx="5">
                  <c:v>898</c:v>
                </c:pt>
                <c:pt idx="6">
                  <c:v>1151</c:v>
                </c:pt>
                <c:pt idx="7">
                  <c:v>1304</c:v>
                </c:pt>
                <c:pt idx="8">
                  <c:v>1471</c:v>
                </c:pt>
                <c:pt idx="9">
                  <c:v>1940</c:v>
                </c:pt>
                <c:pt idx="10">
                  <c:v>1760</c:v>
                </c:pt>
                <c:pt idx="11">
                  <c:v>2105</c:v>
                </c:pt>
                <c:pt idx="12">
                  <c:v>2100</c:v>
                </c:pt>
                <c:pt idx="13">
                  <c:v>2310</c:v>
                </c:pt>
                <c:pt idx="14">
                  <c:v>2446</c:v>
                </c:pt>
                <c:pt idx="15">
                  <c:v>2831</c:v>
                </c:pt>
                <c:pt idx="16">
                  <c:v>3565</c:v>
                </c:pt>
                <c:pt idx="17">
                  <c:v>4106</c:v>
                </c:pt>
                <c:pt idx="18">
                  <c:v>5252</c:v>
                </c:pt>
                <c:pt idx="19">
                  <c:v>6081</c:v>
                </c:pt>
                <c:pt idx="20">
                  <c:v>8215</c:v>
                </c:pt>
              </c:numCache>
            </c:numRef>
          </c:yVal>
          <c:smooth val="0"/>
          <c:extLst xmlns:c16r2="http://schemas.microsoft.com/office/drawing/2015/06/chart">
            <c:ext xmlns:c16="http://schemas.microsoft.com/office/drawing/2014/chart" uri="{C3380CC4-5D6E-409C-BE32-E72D297353CC}">
              <c16:uniqueId val="{00000000-69DD-46F3-A29C-C69930EA2C4E}"/>
            </c:ext>
          </c:extLst>
        </c:ser>
        <c:ser>
          <c:idx val="1"/>
          <c:order val="1"/>
          <c:tx>
            <c:strRef>
              <c:f>ScienceDirect!$C$2</c:f>
              <c:strCache>
                <c:ptCount val="1"/>
                <c:pt idx="0">
                  <c:v>potentially toxic metal in sediment</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xVal>
            <c:numRef>
              <c:f>ScienceDirect!$A$3:$A$23</c:f>
              <c:numCache>
                <c:formatCode>General</c:formatCod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numCache>
            </c:numRef>
          </c:xVal>
          <c:yVal>
            <c:numRef>
              <c:f>ScienceDirect!$C$3:$C$23</c:f>
              <c:numCache>
                <c:formatCode>General</c:formatCode>
                <c:ptCount val="21"/>
                <c:pt idx="0">
                  <c:v>237</c:v>
                </c:pt>
                <c:pt idx="1">
                  <c:v>266</c:v>
                </c:pt>
                <c:pt idx="2">
                  <c:v>305</c:v>
                </c:pt>
                <c:pt idx="3">
                  <c:v>382</c:v>
                </c:pt>
                <c:pt idx="4">
                  <c:v>396</c:v>
                </c:pt>
                <c:pt idx="5">
                  <c:v>435</c:v>
                </c:pt>
                <c:pt idx="6">
                  <c:v>527</c:v>
                </c:pt>
                <c:pt idx="7">
                  <c:v>545</c:v>
                </c:pt>
                <c:pt idx="8">
                  <c:v>691</c:v>
                </c:pt>
                <c:pt idx="9">
                  <c:v>757</c:v>
                </c:pt>
                <c:pt idx="10">
                  <c:v>673</c:v>
                </c:pt>
                <c:pt idx="11">
                  <c:v>784</c:v>
                </c:pt>
                <c:pt idx="12">
                  <c:v>853</c:v>
                </c:pt>
                <c:pt idx="13">
                  <c:v>901</c:v>
                </c:pt>
                <c:pt idx="14">
                  <c:v>953</c:v>
                </c:pt>
                <c:pt idx="15">
                  <c:v>1011</c:v>
                </c:pt>
                <c:pt idx="16">
                  <c:v>1380</c:v>
                </c:pt>
                <c:pt idx="17">
                  <c:v>1396</c:v>
                </c:pt>
                <c:pt idx="18">
                  <c:v>1725</c:v>
                </c:pt>
                <c:pt idx="19">
                  <c:v>1992</c:v>
                </c:pt>
                <c:pt idx="20">
                  <c:v>2487</c:v>
                </c:pt>
              </c:numCache>
            </c:numRef>
          </c:yVal>
          <c:smooth val="0"/>
          <c:extLst xmlns:c16r2="http://schemas.microsoft.com/office/drawing/2015/06/chart">
            <c:ext xmlns:c16="http://schemas.microsoft.com/office/drawing/2014/chart" uri="{C3380CC4-5D6E-409C-BE32-E72D297353CC}">
              <c16:uniqueId val="{00000001-69DD-46F3-A29C-C69930EA2C4E}"/>
            </c:ext>
          </c:extLst>
        </c:ser>
        <c:ser>
          <c:idx val="2"/>
          <c:order val="2"/>
          <c:tx>
            <c:strRef>
              <c:f>ScienceDirect!$D$2</c:f>
              <c:strCache>
                <c:ptCount val="1"/>
                <c:pt idx="0">
                  <c:v>sources of potentially toxic metal in aquatic system</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xVal>
            <c:numRef>
              <c:f>ScienceDirect!$A$3:$A$23</c:f>
              <c:numCache>
                <c:formatCode>General</c:formatCod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numCache>
            </c:numRef>
          </c:xVal>
          <c:yVal>
            <c:numRef>
              <c:f>ScienceDirect!$D$3:$D$23</c:f>
              <c:numCache>
                <c:formatCode>General</c:formatCode>
                <c:ptCount val="21"/>
                <c:pt idx="0">
                  <c:v>133</c:v>
                </c:pt>
                <c:pt idx="1">
                  <c:v>137</c:v>
                </c:pt>
                <c:pt idx="2">
                  <c:v>190</c:v>
                </c:pt>
                <c:pt idx="3">
                  <c:v>230</c:v>
                </c:pt>
                <c:pt idx="4">
                  <c:v>231</c:v>
                </c:pt>
                <c:pt idx="5">
                  <c:v>278</c:v>
                </c:pt>
                <c:pt idx="6">
                  <c:v>350</c:v>
                </c:pt>
                <c:pt idx="7">
                  <c:v>351</c:v>
                </c:pt>
                <c:pt idx="8">
                  <c:v>444</c:v>
                </c:pt>
                <c:pt idx="9">
                  <c:v>513</c:v>
                </c:pt>
                <c:pt idx="10">
                  <c:v>473</c:v>
                </c:pt>
                <c:pt idx="11">
                  <c:v>595</c:v>
                </c:pt>
                <c:pt idx="12">
                  <c:v>596</c:v>
                </c:pt>
                <c:pt idx="13">
                  <c:v>704</c:v>
                </c:pt>
                <c:pt idx="14">
                  <c:v>755</c:v>
                </c:pt>
                <c:pt idx="15">
                  <c:v>806</c:v>
                </c:pt>
                <c:pt idx="16">
                  <c:v>1075</c:v>
                </c:pt>
                <c:pt idx="17">
                  <c:v>1262</c:v>
                </c:pt>
                <c:pt idx="18">
                  <c:v>1533</c:v>
                </c:pt>
                <c:pt idx="19">
                  <c:v>1845</c:v>
                </c:pt>
                <c:pt idx="20">
                  <c:v>2365</c:v>
                </c:pt>
              </c:numCache>
            </c:numRef>
          </c:yVal>
          <c:smooth val="0"/>
          <c:extLst xmlns:c16r2="http://schemas.microsoft.com/office/drawing/2015/06/chart">
            <c:ext xmlns:c16="http://schemas.microsoft.com/office/drawing/2014/chart" uri="{C3380CC4-5D6E-409C-BE32-E72D297353CC}">
              <c16:uniqueId val="{00000002-69DD-46F3-A29C-C69930EA2C4E}"/>
            </c:ext>
          </c:extLst>
        </c:ser>
        <c:dLbls>
          <c:showLegendKey val="0"/>
          <c:showVal val="0"/>
          <c:showCatName val="0"/>
          <c:showSerName val="0"/>
          <c:showPercent val="0"/>
          <c:showBubbleSize val="0"/>
        </c:dLbls>
        <c:axId val="75729152"/>
        <c:axId val="119812864"/>
      </c:scatterChart>
      <c:valAx>
        <c:axId val="75729152"/>
        <c:scaling>
          <c:orientation val="minMax"/>
          <c:max val="2020"/>
          <c:min val="2000"/>
        </c:scaling>
        <c:delete val="0"/>
        <c:axPos val="b"/>
        <c:title>
          <c:tx>
            <c:rich>
              <a:bodyPr rot="0" spcFirstLastPara="1" vertOverflow="ellipsis" vert="horz" wrap="square" anchor="ctr" anchorCtr="1"/>
              <a:lstStyle/>
              <a:p>
                <a:pPr>
                  <a:defRPr sz="10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r>
                  <a:rPr lang="pt-BR" cap="none"/>
                  <a:t>Period analyzed (years)</a:t>
                </a:r>
              </a:p>
            </c:rich>
          </c:tx>
          <c:overlay val="0"/>
          <c:spPr>
            <a:noFill/>
            <a:ln>
              <a:noFill/>
            </a:ln>
            <a:effectLst/>
          </c:sp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119812864"/>
        <c:crosses val="autoZero"/>
        <c:crossBetween val="midCat"/>
      </c:valAx>
      <c:valAx>
        <c:axId val="1198128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r>
                  <a:rPr lang="pt-BR" cap="none"/>
                  <a:t>Number of publications</a:t>
                </a:r>
              </a:p>
            </c:rich>
          </c:tx>
          <c:overlay val="0"/>
          <c:spPr>
            <a:noFill/>
            <a:ln>
              <a:noFill/>
            </a:ln>
            <a:effectLst/>
          </c:sp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75729152"/>
        <c:crosses val="autoZero"/>
        <c:crossBetween val="midCat"/>
        <c:majorUnit val="2000"/>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legend>
    <c:plotVisOnly val="1"/>
    <c:dispBlanksAs val="gap"/>
    <c:showDLblsOverMax val="0"/>
  </c:chart>
  <c:spPr>
    <a:solidFill>
      <a:schemeClr val="lt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pt-BR"/>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GráficoFontes!$B$34</c:f>
              <c:strCache>
                <c:ptCount val="1"/>
                <c:pt idx="0">
                  <c:v>Indústrias</c:v>
                </c:pt>
              </c:strCache>
            </c:strRef>
          </c:tx>
          <c:spPr>
            <a:solidFill>
              <a:schemeClr val="accent5">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GráficoFontes!$A$35:$A$44</c:f>
              <c:strCache>
                <c:ptCount val="10"/>
                <c:pt idx="0">
                  <c:v>Zn</c:v>
                </c:pt>
                <c:pt idx="1">
                  <c:v>Pb</c:v>
                </c:pt>
                <c:pt idx="2">
                  <c:v>Cd</c:v>
                </c:pt>
                <c:pt idx="3">
                  <c:v>Cu</c:v>
                </c:pt>
                <c:pt idx="4">
                  <c:v>Ni</c:v>
                </c:pt>
                <c:pt idx="5">
                  <c:v>Cr</c:v>
                </c:pt>
                <c:pt idx="6">
                  <c:v>As</c:v>
                </c:pt>
                <c:pt idx="7">
                  <c:v>Mn</c:v>
                </c:pt>
                <c:pt idx="8">
                  <c:v>Hg</c:v>
                </c:pt>
                <c:pt idx="9">
                  <c:v>Mo</c:v>
                </c:pt>
              </c:strCache>
            </c:strRef>
          </c:cat>
          <c:val>
            <c:numRef>
              <c:f>GráficoFontes!$B$35:$B$44</c:f>
              <c:numCache>
                <c:formatCode>General</c:formatCode>
                <c:ptCount val="10"/>
                <c:pt idx="0">
                  <c:v>18</c:v>
                </c:pt>
                <c:pt idx="1">
                  <c:v>14</c:v>
                </c:pt>
                <c:pt idx="2">
                  <c:v>12</c:v>
                </c:pt>
                <c:pt idx="3">
                  <c:v>11</c:v>
                </c:pt>
                <c:pt idx="4">
                  <c:v>11</c:v>
                </c:pt>
                <c:pt idx="5">
                  <c:v>10</c:v>
                </c:pt>
                <c:pt idx="6">
                  <c:v>6</c:v>
                </c:pt>
                <c:pt idx="7">
                  <c:v>3</c:v>
                </c:pt>
                <c:pt idx="8">
                  <c:v>3</c:v>
                </c:pt>
                <c:pt idx="9">
                  <c:v>2</c:v>
                </c:pt>
              </c:numCache>
            </c:numRef>
          </c:val>
          <c:extLst xmlns:c16r2="http://schemas.microsoft.com/office/drawing/2015/06/chart">
            <c:ext xmlns:c16="http://schemas.microsoft.com/office/drawing/2014/chart" uri="{C3380CC4-5D6E-409C-BE32-E72D297353CC}">
              <c16:uniqueId val="{00000000-1ED4-4A18-A7C0-9A5E5C8605B5}"/>
            </c:ext>
          </c:extLst>
        </c:ser>
        <c:dLbls>
          <c:dLblPos val="outEnd"/>
          <c:showLegendKey val="0"/>
          <c:showVal val="1"/>
          <c:showCatName val="0"/>
          <c:showSerName val="0"/>
          <c:showPercent val="0"/>
          <c:showBubbleSize val="0"/>
        </c:dLbls>
        <c:gapWidth val="182"/>
        <c:axId val="122120064"/>
        <c:axId val="122143488"/>
      </c:barChart>
      <c:catAx>
        <c:axId val="1221200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122143488"/>
        <c:crosses val="autoZero"/>
        <c:auto val="1"/>
        <c:lblAlgn val="ctr"/>
        <c:lblOffset val="100"/>
        <c:noMultiLvlLbl val="0"/>
      </c:catAx>
      <c:valAx>
        <c:axId val="12214348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Number</a:t>
                </a:r>
                <a:r>
                  <a:rPr lang="en-US" baseline="0"/>
                  <a:t> of publications</a:t>
                </a:r>
                <a:endParaRPr lang="en-US"/>
              </a:p>
            </c:rich>
          </c:tx>
          <c:layout>
            <c:manualLayout>
              <c:xMode val="edge"/>
              <c:yMode val="edge"/>
              <c:x val="0.39896391142344384"/>
              <c:y val="0.90595611285266453"/>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12212006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pt-BR"/>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GráficoFontes!$B$63</c:f>
              <c:strCache>
                <c:ptCount val="1"/>
                <c:pt idx="0">
                  <c:v>Efluentes domésticos</c:v>
                </c:pt>
              </c:strCache>
            </c:strRef>
          </c:tx>
          <c:spPr>
            <a:solidFill>
              <a:schemeClr val="accent5">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GráficoFontes!$A$64:$A$77</c:f>
              <c:strCache>
                <c:ptCount val="14"/>
                <c:pt idx="0">
                  <c:v>Cu</c:v>
                </c:pt>
                <c:pt idx="1">
                  <c:v>Zn</c:v>
                </c:pt>
                <c:pt idx="2">
                  <c:v>Pb</c:v>
                </c:pt>
                <c:pt idx="3">
                  <c:v>Cd</c:v>
                </c:pt>
                <c:pt idx="4">
                  <c:v>Cr</c:v>
                </c:pt>
                <c:pt idx="5">
                  <c:v>Ni</c:v>
                </c:pt>
                <c:pt idx="6">
                  <c:v>Hg</c:v>
                </c:pt>
                <c:pt idx="7">
                  <c:v>As</c:v>
                </c:pt>
                <c:pt idx="8">
                  <c:v>V</c:v>
                </c:pt>
                <c:pt idx="9">
                  <c:v>Ba</c:v>
                </c:pt>
                <c:pt idx="10">
                  <c:v>Co</c:v>
                </c:pt>
                <c:pt idx="11">
                  <c:v>Al</c:v>
                </c:pt>
                <c:pt idx="12">
                  <c:v>Fe</c:v>
                </c:pt>
                <c:pt idx="13">
                  <c:v>Sb</c:v>
                </c:pt>
              </c:strCache>
            </c:strRef>
          </c:cat>
          <c:val>
            <c:numRef>
              <c:f>GráficoFontes!$B$64:$B$77</c:f>
              <c:numCache>
                <c:formatCode>General</c:formatCode>
                <c:ptCount val="14"/>
                <c:pt idx="0">
                  <c:v>15</c:v>
                </c:pt>
                <c:pt idx="1">
                  <c:v>13</c:v>
                </c:pt>
                <c:pt idx="2">
                  <c:v>12</c:v>
                </c:pt>
                <c:pt idx="3">
                  <c:v>10</c:v>
                </c:pt>
                <c:pt idx="4">
                  <c:v>10</c:v>
                </c:pt>
                <c:pt idx="5">
                  <c:v>8</c:v>
                </c:pt>
                <c:pt idx="6">
                  <c:v>4</c:v>
                </c:pt>
                <c:pt idx="7">
                  <c:v>3</c:v>
                </c:pt>
                <c:pt idx="8">
                  <c:v>3</c:v>
                </c:pt>
                <c:pt idx="9">
                  <c:v>2</c:v>
                </c:pt>
                <c:pt idx="10">
                  <c:v>2</c:v>
                </c:pt>
                <c:pt idx="11">
                  <c:v>1</c:v>
                </c:pt>
                <c:pt idx="12">
                  <c:v>1</c:v>
                </c:pt>
                <c:pt idx="13">
                  <c:v>1</c:v>
                </c:pt>
              </c:numCache>
            </c:numRef>
          </c:val>
          <c:extLst xmlns:c16r2="http://schemas.microsoft.com/office/drawing/2015/06/chart">
            <c:ext xmlns:c16="http://schemas.microsoft.com/office/drawing/2014/chart" uri="{C3380CC4-5D6E-409C-BE32-E72D297353CC}">
              <c16:uniqueId val="{00000000-038B-4861-964F-EEFB5D4AC3C8}"/>
            </c:ext>
          </c:extLst>
        </c:ser>
        <c:dLbls>
          <c:dLblPos val="outEnd"/>
          <c:showLegendKey val="0"/>
          <c:showVal val="1"/>
          <c:showCatName val="0"/>
          <c:showSerName val="0"/>
          <c:showPercent val="0"/>
          <c:showBubbleSize val="0"/>
        </c:dLbls>
        <c:gapWidth val="182"/>
        <c:axId val="122156160"/>
        <c:axId val="122366976"/>
      </c:barChart>
      <c:catAx>
        <c:axId val="1221561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122366976"/>
        <c:crosses val="autoZero"/>
        <c:auto val="1"/>
        <c:lblAlgn val="ctr"/>
        <c:lblOffset val="100"/>
        <c:noMultiLvlLbl val="0"/>
      </c:catAx>
      <c:valAx>
        <c:axId val="12236697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Number</a:t>
                </a:r>
                <a:r>
                  <a:rPr lang="en-US" baseline="0"/>
                  <a:t> of publications</a:t>
                </a:r>
                <a:endParaRPr lang="en-US"/>
              </a:p>
            </c:rich>
          </c:tx>
          <c:layout>
            <c:manualLayout>
              <c:xMode val="edge"/>
              <c:yMode val="edge"/>
              <c:x val="0.39934481966800245"/>
              <c:y val="0.91960882862107818"/>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12215616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pt-BR"/>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GráficoFontes!$B$47</c:f>
              <c:strCache>
                <c:ptCount val="1"/>
                <c:pt idx="0">
                  <c:v>Efluentes industriais</c:v>
                </c:pt>
              </c:strCache>
            </c:strRef>
          </c:tx>
          <c:spPr>
            <a:solidFill>
              <a:schemeClr val="accent6">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GráficoFontes!$A$48:$A$60</c:f>
              <c:strCache>
                <c:ptCount val="13"/>
                <c:pt idx="0">
                  <c:v>Cd</c:v>
                </c:pt>
                <c:pt idx="1">
                  <c:v>Cu</c:v>
                </c:pt>
                <c:pt idx="2">
                  <c:v>Zn</c:v>
                </c:pt>
                <c:pt idx="3">
                  <c:v>Pb</c:v>
                </c:pt>
                <c:pt idx="4">
                  <c:v>Cr</c:v>
                </c:pt>
                <c:pt idx="5">
                  <c:v>Ni</c:v>
                </c:pt>
                <c:pt idx="6">
                  <c:v>As</c:v>
                </c:pt>
                <c:pt idx="7">
                  <c:v>V</c:v>
                </c:pt>
                <c:pt idx="8">
                  <c:v>Ba</c:v>
                </c:pt>
                <c:pt idx="9">
                  <c:v>Sb</c:v>
                </c:pt>
                <c:pt idx="10">
                  <c:v>Fe</c:v>
                </c:pt>
                <c:pt idx="11">
                  <c:v>Mn</c:v>
                </c:pt>
                <c:pt idx="12">
                  <c:v>Co</c:v>
                </c:pt>
              </c:strCache>
            </c:strRef>
          </c:cat>
          <c:val>
            <c:numRef>
              <c:f>GráficoFontes!$B$48:$B$60</c:f>
              <c:numCache>
                <c:formatCode>General</c:formatCode>
                <c:ptCount val="13"/>
                <c:pt idx="0">
                  <c:v>8</c:v>
                </c:pt>
                <c:pt idx="1">
                  <c:v>7</c:v>
                </c:pt>
                <c:pt idx="2">
                  <c:v>7</c:v>
                </c:pt>
                <c:pt idx="3">
                  <c:v>6</c:v>
                </c:pt>
                <c:pt idx="4">
                  <c:v>6</c:v>
                </c:pt>
                <c:pt idx="5">
                  <c:v>4</c:v>
                </c:pt>
                <c:pt idx="6">
                  <c:v>2</c:v>
                </c:pt>
                <c:pt idx="7">
                  <c:v>2</c:v>
                </c:pt>
                <c:pt idx="8">
                  <c:v>1</c:v>
                </c:pt>
                <c:pt idx="9">
                  <c:v>1</c:v>
                </c:pt>
                <c:pt idx="10">
                  <c:v>1</c:v>
                </c:pt>
                <c:pt idx="11">
                  <c:v>1</c:v>
                </c:pt>
                <c:pt idx="12">
                  <c:v>1</c:v>
                </c:pt>
              </c:numCache>
            </c:numRef>
          </c:val>
          <c:extLst xmlns:c16r2="http://schemas.microsoft.com/office/drawing/2015/06/chart">
            <c:ext xmlns:c16="http://schemas.microsoft.com/office/drawing/2014/chart" uri="{C3380CC4-5D6E-409C-BE32-E72D297353CC}">
              <c16:uniqueId val="{00000000-E542-4F92-9FDB-B12EC9939CEE}"/>
            </c:ext>
          </c:extLst>
        </c:ser>
        <c:dLbls>
          <c:dLblPos val="outEnd"/>
          <c:showLegendKey val="0"/>
          <c:showVal val="1"/>
          <c:showCatName val="0"/>
          <c:showSerName val="0"/>
          <c:showPercent val="0"/>
          <c:showBubbleSize val="0"/>
        </c:dLbls>
        <c:gapWidth val="182"/>
        <c:axId val="122399744"/>
        <c:axId val="122402688"/>
      </c:barChart>
      <c:catAx>
        <c:axId val="1223997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122402688"/>
        <c:crosses val="autoZero"/>
        <c:auto val="1"/>
        <c:lblAlgn val="ctr"/>
        <c:lblOffset val="100"/>
        <c:noMultiLvlLbl val="0"/>
      </c:catAx>
      <c:valAx>
        <c:axId val="12240268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pt-BR"/>
                  <a:t>Number</a:t>
                </a:r>
                <a:r>
                  <a:rPr lang="pt-BR" baseline="0"/>
                  <a:t> of publications</a:t>
                </a:r>
                <a:endParaRPr lang="pt-BR"/>
              </a:p>
            </c:rich>
          </c:tx>
          <c:layout>
            <c:manualLayout>
              <c:xMode val="edge"/>
              <c:yMode val="edge"/>
              <c:x val="0.36698505936993053"/>
              <c:y val="0.91350736651400888"/>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12239974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pt-BR"/>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8210629921259836E-2"/>
          <c:y val="7.407407407407407E-2"/>
          <c:w val="0.8839422572178478"/>
          <c:h val="0.7848873282273896"/>
        </c:manualLayout>
      </c:layout>
      <c:barChart>
        <c:barDir val="bar"/>
        <c:grouping val="clustered"/>
        <c:varyColors val="0"/>
        <c:ser>
          <c:idx val="0"/>
          <c:order val="0"/>
          <c:tx>
            <c:strRef>
              <c:f>GráficoFontes!$B$160</c:f>
              <c:strCache>
                <c:ptCount val="1"/>
                <c:pt idx="0">
                  <c:v>Efluentes hospitalares</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GráficoFontes!$A$161:$A$167</c:f>
              <c:strCache>
                <c:ptCount val="7"/>
                <c:pt idx="0">
                  <c:v>Cu</c:v>
                </c:pt>
                <c:pt idx="1">
                  <c:v>Hg</c:v>
                </c:pt>
                <c:pt idx="2">
                  <c:v>Zn</c:v>
                </c:pt>
                <c:pt idx="3">
                  <c:v>As</c:v>
                </c:pt>
                <c:pt idx="4">
                  <c:v>Cd</c:v>
                </c:pt>
                <c:pt idx="5">
                  <c:v>Cr</c:v>
                </c:pt>
                <c:pt idx="6">
                  <c:v>Pb</c:v>
                </c:pt>
              </c:strCache>
            </c:strRef>
          </c:cat>
          <c:val>
            <c:numRef>
              <c:f>GráficoFontes!$B$161:$B$167</c:f>
              <c:numCache>
                <c:formatCode>General</c:formatCode>
                <c:ptCount val="7"/>
                <c:pt idx="0">
                  <c:v>2</c:v>
                </c:pt>
                <c:pt idx="1">
                  <c:v>2</c:v>
                </c:pt>
                <c:pt idx="2">
                  <c:v>2</c:v>
                </c:pt>
                <c:pt idx="3">
                  <c:v>1</c:v>
                </c:pt>
                <c:pt idx="4">
                  <c:v>1</c:v>
                </c:pt>
                <c:pt idx="5">
                  <c:v>1</c:v>
                </c:pt>
                <c:pt idx="6">
                  <c:v>1</c:v>
                </c:pt>
              </c:numCache>
            </c:numRef>
          </c:val>
          <c:extLst xmlns:c16r2="http://schemas.microsoft.com/office/drawing/2015/06/chart">
            <c:ext xmlns:c16="http://schemas.microsoft.com/office/drawing/2014/chart" uri="{C3380CC4-5D6E-409C-BE32-E72D297353CC}">
              <c16:uniqueId val="{00000000-6B4D-4CB9-9B59-7E656A302CD2}"/>
            </c:ext>
          </c:extLst>
        </c:ser>
        <c:dLbls>
          <c:dLblPos val="outEnd"/>
          <c:showLegendKey val="0"/>
          <c:showVal val="1"/>
          <c:showCatName val="0"/>
          <c:showSerName val="0"/>
          <c:showPercent val="0"/>
          <c:showBubbleSize val="0"/>
        </c:dLbls>
        <c:gapWidth val="182"/>
        <c:axId val="122426880"/>
        <c:axId val="122438016"/>
      </c:barChart>
      <c:catAx>
        <c:axId val="1224268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122438016"/>
        <c:crosses val="autoZero"/>
        <c:auto val="1"/>
        <c:lblAlgn val="ctr"/>
        <c:lblOffset val="100"/>
        <c:noMultiLvlLbl val="0"/>
      </c:catAx>
      <c:valAx>
        <c:axId val="12243801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Number of publications</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12242688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pt-BR"/>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GráficoFontes!$B$123</c:f>
              <c:strCache>
                <c:ptCount val="1"/>
                <c:pt idx="0">
                  <c:v>Tráfego</c:v>
                </c:pt>
              </c:strCache>
            </c:strRef>
          </c:tx>
          <c:spPr>
            <a:solidFill>
              <a:srgbClr val="D17F7D"/>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GráficoFontes!$A$124:$A$133</c:f>
              <c:strCache>
                <c:ptCount val="10"/>
                <c:pt idx="0">
                  <c:v>Pb</c:v>
                </c:pt>
                <c:pt idx="1">
                  <c:v>Zn</c:v>
                </c:pt>
                <c:pt idx="2">
                  <c:v>Cu</c:v>
                </c:pt>
                <c:pt idx="3">
                  <c:v>Ni</c:v>
                </c:pt>
                <c:pt idx="4">
                  <c:v>Cr</c:v>
                </c:pt>
                <c:pt idx="5">
                  <c:v>Cd</c:v>
                </c:pt>
                <c:pt idx="6">
                  <c:v>Hg</c:v>
                </c:pt>
                <c:pt idx="7">
                  <c:v>As</c:v>
                </c:pt>
                <c:pt idx="8">
                  <c:v>Co</c:v>
                </c:pt>
                <c:pt idx="9">
                  <c:v>Mn</c:v>
                </c:pt>
              </c:strCache>
            </c:strRef>
          </c:cat>
          <c:val>
            <c:numRef>
              <c:f>GráficoFontes!$B$124:$B$133</c:f>
              <c:numCache>
                <c:formatCode>General</c:formatCode>
                <c:ptCount val="10"/>
                <c:pt idx="0">
                  <c:v>9</c:v>
                </c:pt>
                <c:pt idx="1">
                  <c:v>6</c:v>
                </c:pt>
                <c:pt idx="2">
                  <c:v>6</c:v>
                </c:pt>
                <c:pt idx="3">
                  <c:v>6</c:v>
                </c:pt>
                <c:pt idx="4">
                  <c:v>3</c:v>
                </c:pt>
                <c:pt idx="5">
                  <c:v>3</c:v>
                </c:pt>
                <c:pt idx="6">
                  <c:v>2</c:v>
                </c:pt>
                <c:pt idx="7">
                  <c:v>1</c:v>
                </c:pt>
                <c:pt idx="8">
                  <c:v>1</c:v>
                </c:pt>
                <c:pt idx="9">
                  <c:v>1</c:v>
                </c:pt>
              </c:numCache>
            </c:numRef>
          </c:val>
          <c:extLst xmlns:c16r2="http://schemas.microsoft.com/office/drawing/2015/06/chart">
            <c:ext xmlns:c16="http://schemas.microsoft.com/office/drawing/2014/chart" uri="{C3380CC4-5D6E-409C-BE32-E72D297353CC}">
              <c16:uniqueId val="{00000000-6D50-43DC-AFA8-AA58E1B1B1F1}"/>
            </c:ext>
          </c:extLst>
        </c:ser>
        <c:dLbls>
          <c:dLblPos val="outEnd"/>
          <c:showLegendKey val="0"/>
          <c:showVal val="1"/>
          <c:showCatName val="0"/>
          <c:showSerName val="0"/>
          <c:showPercent val="0"/>
          <c:showBubbleSize val="0"/>
        </c:dLbls>
        <c:gapWidth val="182"/>
        <c:axId val="122466304"/>
        <c:axId val="122468992"/>
      </c:barChart>
      <c:catAx>
        <c:axId val="1224663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122468992"/>
        <c:crosses val="autoZero"/>
        <c:auto val="1"/>
        <c:lblAlgn val="ctr"/>
        <c:lblOffset val="100"/>
        <c:noMultiLvlLbl val="0"/>
      </c:catAx>
      <c:valAx>
        <c:axId val="12246899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Number of publications</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12246630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pt-BR"/>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GráficoFontes!$B$147</c:f>
              <c:strCache>
                <c:ptCount val="1"/>
                <c:pt idx="0">
                  <c:v>Deposição atmosférica de áreas poluídas</c:v>
                </c:pt>
              </c:strCache>
            </c:strRef>
          </c:tx>
          <c:spPr>
            <a:solidFill>
              <a:srgbClr val="F0344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GráficoFontes!$A$148:$A$157</c:f>
              <c:strCache>
                <c:ptCount val="10"/>
                <c:pt idx="0">
                  <c:v>Pb</c:v>
                </c:pt>
                <c:pt idx="1">
                  <c:v>Cd</c:v>
                </c:pt>
                <c:pt idx="2">
                  <c:v>Cu</c:v>
                </c:pt>
                <c:pt idx="3">
                  <c:v>Zn</c:v>
                </c:pt>
                <c:pt idx="4">
                  <c:v>Hg</c:v>
                </c:pt>
                <c:pt idx="5">
                  <c:v>Co</c:v>
                </c:pt>
                <c:pt idx="6">
                  <c:v>Cr</c:v>
                </c:pt>
                <c:pt idx="7">
                  <c:v>Ni</c:v>
                </c:pt>
                <c:pt idx="8">
                  <c:v>Sb</c:v>
                </c:pt>
                <c:pt idx="9">
                  <c:v>V</c:v>
                </c:pt>
              </c:strCache>
            </c:strRef>
          </c:cat>
          <c:val>
            <c:numRef>
              <c:f>GráficoFontes!$B$148:$B$157</c:f>
              <c:numCache>
                <c:formatCode>General</c:formatCode>
                <c:ptCount val="10"/>
                <c:pt idx="0">
                  <c:v>4</c:v>
                </c:pt>
                <c:pt idx="1">
                  <c:v>3</c:v>
                </c:pt>
                <c:pt idx="2">
                  <c:v>2</c:v>
                </c:pt>
                <c:pt idx="3">
                  <c:v>2</c:v>
                </c:pt>
                <c:pt idx="4">
                  <c:v>1</c:v>
                </c:pt>
                <c:pt idx="5">
                  <c:v>1</c:v>
                </c:pt>
                <c:pt idx="6">
                  <c:v>1</c:v>
                </c:pt>
                <c:pt idx="7">
                  <c:v>1</c:v>
                </c:pt>
                <c:pt idx="8">
                  <c:v>1</c:v>
                </c:pt>
                <c:pt idx="9">
                  <c:v>1</c:v>
                </c:pt>
              </c:numCache>
            </c:numRef>
          </c:val>
          <c:extLst xmlns:c16r2="http://schemas.microsoft.com/office/drawing/2015/06/chart">
            <c:ext xmlns:c16="http://schemas.microsoft.com/office/drawing/2014/chart" uri="{C3380CC4-5D6E-409C-BE32-E72D297353CC}">
              <c16:uniqueId val="{00000000-3B51-45E0-9978-AD9238D1C197}"/>
            </c:ext>
          </c:extLst>
        </c:ser>
        <c:dLbls>
          <c:dLblPos val="outEnd"/>
          <c:showLegendKey val="0"/>
          <c:showVal val="1"/>
          <c:showCatName val="0"/>
          <c:showSerName val="0"/>
          <c:showPercent val="0"/>
          <c:showBubbleSize val="0"/>
        </c:dLbls>
        <c:gapWidth val="182"/>
        <c:axId val="122485376"/>
        <c:axId val="122516224"/>
      </c:barChart>
      <c:catAx>
        <c:axId val="1224853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122516224"/>
        <c:crosses val="autoZero"/>
        <c:auto val="1"/>
        <c:lblAlgn val="ctr"/>
        <c:lblOffset val="100"/>
        <c:noMultiLvlLbl val="0"/>
      </c:catAx>
      <c:valAx>
        <c:axId val="12251622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Number of publications</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12248537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pt-B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Scopus!$B$2</c:f>
              <c:strCache>
                <c:ptCount val="1"/>
                <c:pt idx="0">
                  <c:v>potentially toxic metal in surface water</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xVal>
            <c:numRef>
              <c:f>Scopus!$A$4:$A$24</c:f>
              <c:numCache>
                <c:formatCode>General</c:formatCode>
                <c:ptCount val="21"/>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numCache>
            </c:numRef>
          </c:xVal>
          <c:yVal>
            <c:numRef>
              <c:f>Scopus!$B$4:$B$24</c:f>
              <c:numCache>
                <c:formatCode>General</c:formatCode>
                <c:ptCount val="21"/>
                <c:pt idx="0">
                  <c:v>4</c:v>
                </c:pt>
                <c:pt idx="1">
                  <c:v>5</c:v>
                </c:pt>
                <c:pt idx="2">
                  <c:v>4</c:v>
                </c:pt>
                <c:pt idx="3">
                  <c:v>5</c:v>
                </c:pt>
                <c:pt idx="4">
                  <c:v>3</c:v>
                </c:pt>
                <c:pt idx="5">
                  <c:v>5</c:v>
                </c:pt>
                <c:pt idx="6">
                  <c:v>7</c:v>
                </c:pt>
                <c:pt idx="7">
                  <c:v>5</c:v>
                </c:pt>
                <c:pt idx="8">
                  <c:v>9</c:v>
                </c:pt>
                <c:pt idx="9">
                  <c:v>10</c:v>
                </c:pt>
                <c:pt idx="10">
                  <c:v>11</c:v>
                </c:pt>
                <c:pt idx="11">
                  <c:v>12</c:v>
                </c:pt>
                <c:pt idx="12">
                  <c:v>12</c:v>
                </c:pt>
                <c:pt idx="13">
                  <c:v>6</c:v>
                </c:pt>
                <c:pt idx="14">
                  <c:v>12</c:v>
                </c:pt>
                <c:pt idx="15">
                  <c:v>14</c:v>
                </c:pt>
                <c:pt idx="16">
                  <c:v>15</c:v>
                </c:pt>
                <c:pt idx="17">
                  <c:v>23</c:v>
                </c:pt>
                <c:pt idx="18">
                  <c:v>25</c:v>
                </c:pt>
                <c:pt idx="19">
                  <c:v>47</c:v>
                </c:pt>
              </c:numCache>
            </c:numRef>
          </c:yVal>
          <c:smooth val="0"/>
          <c:extLst xmlns:c16r2="http://schemas.microsoft.com/office/drawing/2015/06/chart">
            <c:ext xmlns:c16="http://schemas.microsoft.com/office/drawing/2014/chart" uri="{C3380CC4-5D6E-409C-BE32-E72D297353CC}">
              <c16:uniqueId val="{00000000-047C-4507-A6C4-1619900B90DD}"/>
            </c:ext>
          </c:extLst>
        </c:ser>
        <c:ser>
          <c:idx val="1"/>
          <c:order val="1"/>
          <c:tx>
            <c:strRef>
              <c:f>Scopus!$C$2</c:f>
              <c:strCache>
                <c:ptCount val="1"/>
                <c:pt idx="0">
                  <c:v>potentially toxic metal in sediment</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xVal>
            <c:numRef>
              <c:f>Scopus!$A$4:$A$24</c:f>
              <c:numCache>
                <c:formatCode>General</c:formatCode>
                <c:ptCount val="21"/>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numCache>
            </c:numRef>
          </c:xVal>
          <c:yVal>
            <c:numRef>
              <c:f>Scopus!$C$4:$C$24</c:f>
              <c:numCache>
                <c:formatCode>General</c:formatCode>
                <c:ptCount val="21"/>
                <c:pt idx="0">
                  <c:v>5</c:v>
                </c:pt>
                <c:pt idx="1">
                  <c:v>5</c:v>
                </c:pt>
                <c:pt idx="2">
                  <c:v>7</c:v>
                </c:pt>
                <c:pt idx="3">
                  <c:v>3</c:v>
                </c:pt>
                <c:pt idx="4">
                  <c:v>7</c:v>
                </c:pt>
                <c:pt idx="5">
                  <c:v>10</c:v>
                </c:pt>
                <c:pt idx="6">
                  <c:v>10</c:v>
                </c:pt>
                <c:pt idx="7">
                  <c:v>10</c:v>
                </c:pt>
                <c:pt idx="8">
                  <c:v>10</c:v>
                </c:pt>
                <c:pt idx="9">
                  <c:v>20</c:v>
                </c:pt>
                <c:pt idx="10">
                  <c:v>19</c:v>
                </c:pt>
                <c:pt idx="11">
                  <c:v>16</c:v>
                </c:pt>
                <c:pt idx="12">
                  <c:v>16</c:v>
                </c:pt>
                <c:pt idx="13">
                  <c:v>25</c:v>
                </c:pt>
                <c:pt idx="14">
                  <c:v>17</c:v>
                </c:pt>
                <c:pt idx="15">
                  <c:v>20</c:v>
                </c:pt>
                <c:pt idx="16">
                  <c:v>24</c:v>
                </c:pt>
                <c:pt idx="17">
                  <c:v>31</c:v>
                </c:pt>
                <c:pt idx="18">
                  <c:v>37</c:v>
                </c:pt>
                <c:pt idx="19">
                  <c:v>48</c:v>
                </c:pt>
              </c:numCache>
            </c:numRef>
          </c:yVal>
          <c:smooth val="0"/>
          <c:extLst xmlns:c16r2="http://schemas.microsoft.com/office/drawing/2015/06/chart">
            <c:ext xmlns:c16="http://schemas.microsoft.com/office/drawing/2014/chart" uri="{C3380CC4-5D6E-409C-BE32-E72D297353CC}">
              <c16:uniqueId val="{00000001-047C-4507-A6C4-1619900B90DD}"/>
            </c:ext>
          </c:extLst>
        </c:ser>
        <c:ser>
          <c:idx val="2"/>
          <c:order val="2"/>
          <c:tx>
            <c:strRef>
              <c:f>Scopus!$D$2</c:f>
              <c:strCache>
                <c:ptCount val="1"/>
                <c:pt idx="0">
                  <c:v>sources of potentially toxic metal in aquatic system</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xVal>
            <c:numRef>
              <c:f>Scopus!$A$4:$A$24</c:f>
              <c:numCache>
                <c:formatCode>General</c:formatCode>
                <c:ptCount val="21"/>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numCache>
            </c:numRef>
          </c:xVal>
          <c:yVal>
            <c:numRef>
              <c:f>Scopus!$D$4:$D$24</c:f>
              <c:numCache>
                <c:formatCode>General</c:formatCode>
                <c:ptCount val="21"/>
                <c:pt idx="0">
                  <c:v>1</c:v>
                </c:pt>
                <c:pt idx="1">
                  <c:v>0</c:v>
                </c:pt>
                <c:pt idx="2">
                  <c:v>0</c:v>
                </c:pt>
                <c:pt idx="3">
                  <c:v>0</c:v>
                </c:pt>
                <c:pt idx="4">
                  <c:v>0</c:v>
                </c:pt>
                <c:pt idx="5">
                  <c:v>0</c:v>
                </c:pt>
                <c:pt idx="6">
                  <c:v>0</c:v>
                </c:pt>
                <c:pt idx="7">
                  <c:v>0</c:v>
                </c:pt>
                <c:pt idx="8">
                  <c:v>0</c:v>
                </c:pt>
                <c:pt idx="9">
                  <c:v>1</c:v>
                </c:pt>
                <c:pt idx="10">
                  <c:v>0</c:v>
                </c:pt>
                <c:pt idx="11">
                  <c:v>2</c:v>
                </c:pt>
                <c:pt idx="12">
                  <c:v>1</c:v>
                </c:pt>
                <c:pt idx="13">
                  <c:v>0</c:v>
                </c:pt>
                <c:pt idx="14">
                  <c:v>2</c:v>
                </c:pt>
                <c:pt idx="15">
                  <c:v>0</c:v>
                </c:pt>
                <c:pt idx="16">
                  <c:v>1</c:v>
                </c:pt>
                <c:pt idx="17">
                  <c:v>1</c:v>
                </c:pt>
                <c:pt idx="18">
                  <c:v>3</c:v>
                </c:pt>
                <c:pt idx="19">
                  <c:v>1</c:v>
                </c:pt>
              </c:numCache>
            </c:numRef>
          </c:yVal>
          <c:smooth val="0"/>
          <c:extLst xmlns:c16r2="http://schemas.microsoft.com/office/drawing/2015/06/chart">
            <c:ext xmlns:c16="http://schemas.microsoft.com/office/drawing/2014/chart" uri="{C3380CC4-5D6E-409C-BE32-E72D297353CC}">
              <c16:uniqueId val="{00000002-047C-4507-A6C4-1619900B90DD}"/>
            </c:ext>
          </c:extLst>
        </c:ser>
        <c:dLbls>
          <c:showLegendKey val="0"/>
          <c:showVal val="0"/>
          <c:showCatName val="0"/>
          <c:showSerName val="0"/>
          <c:showPercent val="0"/>
          <c:showBubbleSize val="0"/>
        </c:dLbls>
        <c:axId val="119835648"/>
        <c:axId val="119842304"/>
      </c:scatterChart>
      <c:valAx>
        <c:axId val="119835648"/>
        <c:scaling>
          <c:orientation val="minMax"/>
          <c:max val="2020"/>
          <c:min val="2000"/>
        </c:scaling>
        <c:delete val="0"/>
        <c:axPos val="b"/>
        <c:title>
          <c:tx>
            <c:rich>
              <a:bodyPr rot="0" spcFirstLastPara="1" vertOverflow="ellipsis" vert="horz" wrap="square" anchor="ctr" anchorCtr="1"/>
              <a:lstStyle/>
              <a:p>
                <a:pPr>
                  <a:defRPr sz="10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r>
                  <a:rPr lang="pt-BR" cap="none"/>
                  <a:t>Period analyzed (years)</a:t>
                </a:r>
              </a:p>
            </c:rich>
          </c:tx>
          <c:overlay val="0"/>
          <c:spPr>
            <a:noFill/>
            <a:ln>
              <a:noFill/>
            </a:ln>
            <a:effectLst/>
          </c:sp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119842304"/>
        <c:crosses val="autoZero"/>
        <c:crossBetween val="midCat"/>
      </c:valAx>
      <c:valAx>
        <c:axId val="119842304"/>
        <c:scaling>
          <c:orientation val="minMax"/>
          <c:max val="5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r>
                  <a:rPr lang="pt-BR" cap="none"/>
                  <a:t>Number of publications</a:t>
                </a:r>
              </a:p>
            </c:rich>
          </c:tx>
          <c:overlay val="0"/>
          <c:spPr>
            <a:noFill/>
            <a:ln>
              <a:noFill/>
            </a:ln>
            <a:effectLst/>
          </c:sp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119835648"/>
        <c:crosses val="autoZero"/>
        <c:crossBetween val="midCat"/>
        <c:majorUnit val="10"/>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legend>
    <c:plotVisOnly val="1"/>
    <c:dispBlanksAs val="gap"/>
    <c:showDLblsOverMax val="0"/>
  </c:chart>
  <c:spPr>
    <a:solidFill>
      <a:schemeClr val="lt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pt-B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'Web of Science'!$B$2</c:f>
              <c:strCache>
                <c:ptCount val="1"/>
                <c:pt idx="0">
                  <c:v>potentially toxic metal in surface water</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xVal>
            <c:numRef>
              <c:f>'Web of Science'!$A$3:$A$23</c:f>
              <c:numCache>
                <c:formatCode>General</c:formatCod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numCache>
            </c:numRef>
          </c:xVal>
          <c:yVal>
            <c:numRef>
              <c:f>'Web of Science'!$B$3:$B$23</c:f>
              <c:numCache>
                <c:formatCode>General</c:formatCode>
                <c:ptCount val="21"/>
                <c:pt idx="0">
                  <c:v>3</c:v>
                </c:pt>
                <c:pt idx="1">
                  <c:v>2</c:v>
                </c:pt>
                <c:pt idx="2">
                  <c:v>4</c:v>
                </c:pt>
                <c:pt idx="3">
                  <c:v>5</c:v>
                </c:pt>
                <c:pt idx="4">
                  <c:v>5</c:v>
                </c:pt>
                <c:pt idx="5">
                  <c:v>3</c:v>
                </c:pt>
                <c:pt idx="6">
                  <c:v>3</c:v>
                </c:pt>
                <c:pt idx="7">
                  <c:v>8</c:v>
                </c:pt>
                <c:pt idx="8">
                  <c:v>6</c:v>
                </c:pt>
                <c:pt idx="9">
                  <c:v>7</c:v>
                </c:pt>
                <c:pt idx="10">
                  <c:v>10</c:v>
                </c:pt>
                <c:pt idx="11">
                  <c:v>7</c:v>
                </c:pt>
                <c:pt idx="12">
                  <c:v>14</c:v>
                </c:pt>
                <c:pt idx="13">
                  <c:v>10</c:v>
                </c:pt>
                <c:pt idx="14">
                  <c:v>8</c:v>
                </c:pt>
                <c:pt idx="15">
                  <c:v>13</c:v>
                </c:pt>
                <c:pt idx="16">
                  <c:v>18</c:v>
                </c:pt>
                <c:pt idx="17">
                  <c:v>18</c:v>
                </c:pt>
                <c:pt idx="18">
                  <c:v>31</c:v>
                </c:pt>
                <c:pt idx="19">
                  <c:v>34</c:v>
                </c:pt>
                <c:pt idx="20">
                  <c:v>58</c:v>
                </c:pt>
              </c:numCache>
            </c:numRef>
          </c:yVal>
          <c:smooth val="0"/>
          <c:extLst xmlns:c16r2="http://schemas.microsoft.com/office/drawing/2015/06/chart">
            <c:ext xmlns:c16="http://schemas.microsoft.com/office/drawing/2014/chart" uri="{C3380CC4-5D6E-409C-BE32-E72D297353CC}">
              <c16:uniqueId val="{00000000-125D-42FA-B2AF-7D7C53F06418}"/>
            </c:ext>
          </c:extLst>
        </c:ser>
        <c:ser>
          <c:idx val="1"/>
          <c:order val="1"/>
          <c:tx>
            <c:strRef>
              <c:f>'Web of Science'!$C$2</c:f>
              <c:strCache>
                <c:ptCount val="1"/>
                <c:pt idx="0">
                  <c:v>potentially toxic metal in sediment</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xVal>
            <c:numRef>
              <c:f>'Web of Science'!$A$3:$A$23</c:f>
              <c:numCache>
                <c:formatCode>General</c:formatCod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numCache>
            </c:numRef>
          </c:xVal>
          <c:yVal>
            <c:numRef>
              <c:f>'Web of Science'!$C$3:$C$23</c:f>
              <c:numCache>
                <c:formatCode>General</c:formatCode>
                <c:ptCount val="21"/>
                <c:pt idx="0">
                  <c:v>8</c:v>
                </c:pt>
                <c:pt idx="1">
                  <c:v>4</c:v>
                </c:pt>
                <c:pt idx="2">
                  <c:v>4</c:v>
                </c:pt>
                <c:pt idx="3">
                  <c:v>3</c:v>
                </c:pt>
                <c:pt idx="4">
                  <c:v>4</c:v>
                </c:pt>
                <c:pt idx="5">
                  <c:v>5</c:v>
                </c:pt>
                <c:pt idx="6">
                  <c:v>10</c:v>
                </c:pt>
                <c:pt idx="7">
                  <c:v>15</c:v>
                </c:pt>
                <c:pt idx="8">
                  <c:v>13</c:v>
                </c:pt>
                <c:pt idx="9">
                  <c:v>12</c:v>
                </c:pt>
                <c:pt idx="10">
                  <c:v>23</c:v>
                </c:pt>
                <c:pt idx="11">
                  <c:v>15</c:v>
                </c:pt>
                <c:pt idx="12">
                  <c:v>24</c:v>
                </c:pt>
                <c:pt idx="13">
                  <c:v>28</c:v>
                </c:pt>
                <c:pt idx="14">
                  <c:v>26</c:v>
                </c:pt>
                <c:pt idx="15">
                  <c:v>33</c:v>
                </c:pt>
                <c:pt idx="16">
                  <c:v>33</c:v>
                </c:pt>
                <c:pt idx="17">
                  <c:v>40</c:v>
                </c:pt>
                <c:pt idx="18">
                  <c:v>65</c:v>
                </c:pt>
                <c:pt idx="19">
                  <c:v>94</c:v>
                </c:pt>
                <c:pt idx="20">
                  <c:v>106</c:v>
                </c:pt>
              </c:numCache>
            </c:numRef>
          </c:yVal>
          <c:smooth val="0"/>
          <c:extLst xmlns:c16r2="http://schemas.microsoft.com/office/drawing/2015/06/chart">
            <c:ext xmlns:c16="http://schemas.microsoft.com/office/drawing/2014/chart" uri="{C3380CC4-5D6E-409C-BE32-E72D297353CC}">
              <c16:uniqueId val="{00000001-125D-42FA-B2AF-7D7C53F06418}"/>
            </c:ext>
          </c:extLst>
        </c:ser>
        <c:ser>
          <c:idx val="2"/>
          <c:order val="2"/>
          <c:tx>
            <c:strRef>
              <c:f>'Web of Science'!$D$2</c:f>
              <c:strCache>
                <c:ptCount val="1"/>
                <c:pt idx="0">
                  <c:v>sources of potentially toxic metal in aquatic system</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xVal>
            <c:numRef>
              <c:f>'Web of Science'!$A$3:$A$23</c:f>
              <c:numCache>
                <c:formatCode>General</c:formatCod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numCache>
            </c:numRef>
          </c:xVal>
          <c:yVal>
            <c:numRef>
              <c:f>'Web of Science'!$D$3:$D$23</c:f>
              <c:numCache>
                <c:formatCode>General</c:formatCode>
                <c:ptCount val="21"/>
                <c:pt idx="0">
                  <c:v>0</c:v>
                </c:pt>
                <c:pt idx="1">
                  <c:v>1</c:v>
                </c:pt>
                <c:pt idx="2">
                  <c:v>0</c:v>
                </c:pt>
                <c:pt idx="3">
                  <c:v>0</c:v>
                </c:pt>
                <c:pt idx="4">
                  <c:v>0</c:v>
                </c:pt>
                <c:pt idx="5">
                  <c:v>0</c:v>
                </c:pt>
                <c:pt idx="6">
                  <c:v>0</c:v>
                </c:pt>
                <c:pt idx="7">
                  <c:v>0</c:v>
                </c:pt>
                <c:pt idx="8">
                  <c:v>0</c:v>
                </c:pt>
                <c:pt idx="9">
                  <c:v>1</c:v>
                </c:pt>
                <c:pt idx="10">
                  <c:v>1</c:v>
                </c:pt>
                <c:pt idx="11">
                  <c:v>0</c:v>
                </c:pt>
                <c:pt idx="12">
                  <c:v>0</c:v>
                </c:pt>
                <c:pt idx="13">
                  <c:v>1</c:v>
                </c:pt>
                <c:pt idx="14">
                  <c:v>0</c:v>
                </c:pt>
                <c:pt idx="15">
                  <c:v>0</c:v>
                </c:pt>
                <c:pt idx="16">
                  <c:v>0</c:v>
                </c:pt>
                <c:pt idx="17">
                  <c:v>2</c:v>
                </c:pt>
                <c:pt idx="18">
                  <c:v>1</c:v>
                </c:pt>
                <c:pt idx="19">
                  <c:v>2</c:v>
                </c:pt>
                <c:pt idx="20">
                  <c:v>1</c:v>
                </c:pt>
              </c:numCache>
            </c:numRef>
          </c:yVal>
          <c:smooth val="0"/>
          <c:extLst xmlns:c16r2="http://schemas.microsoft.com/office/drawing/2015/06/chart">
            <c:ext xmlns:c16="http://schemas.microsoft.com/office/drawing/2014/chart" uri="{C3380CC4-5D6E-409C-BE32-E72D297353CC}">
              <c16:uniqueId val="{00000002-125D-42FA-B2AF-7D7C53F06418}"/>
            </c:ext>
          </c:extLst>
        </c:ser>
        <c:dLbls>
          <c:showLegendKey val="0"/>
          <c:showVal val="0"/>
          <c:showCatName val="0"/>
          <c:showSerName val="0"/>
          <c:showPercent val="0"/>
          <c:showBubbleSize val="0"/>
        </c:dLbls>
        <c:axId val="120004608"/>
        <c:axId val="120006912"/>
      </c:scatterChart>
      <c:valAx>
        <c:axId val="120004608"/>
        <c:scaling>
          <c:orientation val="minMax"/>
          <c:max val="2020"/>
          <c:min val="2000"/>
        </c:scaling>
        <c:delete val="0"/>
        <c:axPos val="b"/>
        <c:title>
          <c:tx>
            <c:rich>
              <a:bodyPr rot="0" spcFirstLastPara="1" vertOverflow="ellipsis" vert="horz" wrap="square" anchor="ctr" anchorCtr="1"/>
              <a:lstStyle/>
              <a:p>
                <a:pPr>
                  <a:defRPr sz="10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r>
                  <a:rPr lang="pt-BR" cap="none"/>
                  <a:t>Period analyzed (years)</a:t>
                </a:r>
              </a:p>
            </c:rich>
          </c:tx>
          <c:overlay val="0"/>
          <c:spPr>
            <a:noFill/>
            <a:ln>
              <a:noFill/>
            </a:ln>
            <a:effectLst/>
          </c:sp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120006912"/>
        <c:crosses val="autoZero"/>
        <c:crossBetween val="midCat"/>
      </c:valAx>
      <c:valAx>
        <c:axId val="120006912"/>
        <c:scaling>
          <c:orientation val="minMax"/>
          <c:max val="12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r>
                  <a:rPr lang="pt-BR" cap="none"/>
                  <a:t>Number of publications</a:t>
                </a:r>
              </a:p>
            </c:rich>
          </c:tx>
          <c:overlay val="0"/>
          <c:spPr>
            <a:noFill/>
            <a:ln>
              <a:noFill/>
            </a:ln>
            <a:effectLst/>
          </c:sp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120004608"/>
        <c:crosses val="autoZero"/>
        <c:crossBetween val="midCat"/>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legend>
    <c:plotVisOnly val="1"/>
    <c:dispBlanksAs val="gap"/>
    <c:showDLblsOverMax val="0"/>
  </c:chart>
  <c:spPr>
    <a:solidFill>
      <a:schemeClr val="lt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pt-B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GráficoFontes!$B$80</c:f>
              <c:strCache>
                <c:ptCount val="1"/>
                <c:pt idx="0">
                  <c:v>Intemperismo da rocha-mãe</c:v>
                </c:pt>
              </c:strCache>
            </c:strRef>
          </c:tx>
          <c:spPr>
            <a:solidFill>
              <a:schemeClr val="accent6">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GráficoFontes!$A$81:$A$94</c:f>
              <c:strCache>
                <c:ptCount val="14"/>
                <c:pt idx="0">
                  <c:v>Ni</c:v>
                </c:pt>
                <c:pt idx="1">
                  <c:v>Cr</c:v>
                </c:pt>
                <c:pt idx="2">
                  <c:v>Zn</c:v>
                </c:pt>
                <c:pt idx="3">
                  <c:v>Pb</c:v>
                </c:pt>
                <c:pt idx="4">
                  <c:v>As</c:v>
                </c:pt>
                <c:pt idx="5">
                  <c:v>Cu</c:v>
                </c:pt>
                <c:pt idx="6">
                  <c:v>Cd</c:v>
                </c:pt>
                <c:pt idx="7">
                  <c:v>Co</c:v>
                </c:pt>
                <c:pt idx="8">
                  <c:v>Mn</c:v>
                </c:pt>
                <c:pt idx="9">
                  <c:v>Fe</c:v>
                </c:pt>
                <c:pt idx="10">
                  <c:v>Hg</c:v>
                </c:pt>
                <c:pt idx="11">
                  <c:v>Al</c:v>
                </c:pt>
                <c:pt idx="12">
                  <c:v>V</c:v>
                </c:pt>
                <c:pt idx="13">
                  <c:v>Mo</c:v>
                </c:pt>
              </c:strCache>
            </c:strRef>
          </c:cat>
          <c:val>
            <c:numRef>
              <c:f>GráficoFontes!$B$81:$B$94</c:f>
              <c:numCache>
                <c:formatCode>General</c:formatCode>
                <c:ptCount val="14"/>
                <c:pt idx="0">
                  <c:v>9</c:v>
                </c:pt>
                <c:pt idx="1">
                  <c:v>8</c:v>
                </c:pt>
                <c:pt idx="2">
                  <c:v>7</c:v>
                </c:pt>
                <c:pt idx="3">
                  <c:v>6</c:v>
                </c:pt>
                <c:pt idx="4">
                  <c:v>5</c:v>
                </c:pt>
                <c:pt idx="5">
                  <c:v>5</c:v>
                </c:pt>
                <c:pt idx="6">
                  <c:v>4</c:v>
                </c:pt>
                <c:pt idx="7">
                  <c:v>3</c:v>
                </c:pt>
                <c:pt idx="8">
                  <c:v>3</c:v>
                </c:pt>
                <c:pt idx="9">
                  <c:v>3</c:v>
                </c:pt>
                <c:pt idx="10">
                  <c:v>2</c:v>
                </c:pt>
                <c:pt idx="11">
                  <c:v>1</c:v>
                </c:pt>
                <c:pt idx="12">
                  <c:v>1</c:v>
                </c:pt>
                <c:pt idx="13">
                  <c:v>1</c:v>
                </c:pt>
              </c:numCache>
            </c:numRef>
          </c:val>
          <c:extLst xmlns:c16r2="http://schemas.microsoft.com/office/drawing/2015/06/chart">
            <c:ext xmlns:c16="http://schemas.microsoft.com/office/drawing/2014/chart" uri="{C3380CC4-5D6E-409C-BE32-E72D297353CC}">
              <c16:uniqueId val="{00000000-A41E-485C-9131-48CC4FBD63B3}"/>
            </c:ext>
          </c:extLst>
        </c:ser>
        <c:dLbls>
          <c:dLblPos val="outEnd"/>
          <c:showLegendKey val="0"/>
          <c:showVal val="1"/>
          <c:showCatName val="0"/>
          <c:showSerName val="0"/>
          <c:showPercent val="0"/>
          <c:showBubbleSize val="0"/>
        </c:dLbls>
        <c:gapWidth val="182"/>
        <c:axId val="118611968"/>
        <c:axId val="118614656"/>
      </c:barChart>
      <c:catAx>
        <c:axId val="1186119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118614656"/>
        <c:crosses val="autoZero"/>
        <c:auto val="1"/>
        <c:lblAlgn val="ctr"/>
        <c:lblOffset val="100"/>
        <c:noMultiLvlLbl val="0"/>
      </c:catAx>
      <c:valAx>
        <c:axId val="11861465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Number</a:t>
                </a:r>
                <a:r>
                  <a:rPr lang="en-US" baseline="0"/>
                  <a:t> of publications</a:t>
                </a:r>
                <a:r>
                  <a:rPr lang="en-US"/>
                  <a:t>s</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11861196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pt-B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7962089169709861E-2"/>
          <c:y val="5.8558558558558557E-2"/>
          <c:w val="0.89146876689802301"/>
          <c:h val="0.75218450734198761"/>
        </c:manualLayout>
      </c:layout>
      <c:barChart>
        <c:barDir val="bar"/>
        <c:grouping val="clustered"/>
        <c:varyColors val="0"/>
        <c:ser>
          <c:idx val="0"/>
          <c:order val="0"/>
          <c:tx>
            <c:strRef>
              <c:f>GráficoFontes!$B$97</c:f>
              <c:strCache>
                <c:ptCount val="1"/>
                <c:pt idx="0">
                  <c:v>Origem geogênica</c:v>
                </c:pt>
              </c:strCache>
            </c:strRef>
          </c:tx>
          <c:spPr>
            <a:solidFill>
              <a:schemeClr val="accent3">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GráficoFontes!$A$98:$A$109</c:f>
              <c:strCache>
                <c:ptCount val="12"/>
                <c:pt idx="0">
                  <c:v>Cr</c:v>
                </c:pt>
                <c:pt idx="1">
                  <c:v>As</c:v>
                </c:pt>
                <c:pt idx="2">
                  <c:v>Ni</c:v>
                </c:pt>
                <c:pt idx="3">
                  <c:v>Co</c:v>
                </c:pt>
                <c:pt idx="4">
                  <c:v>Cd</c:v>
                </c:pt>
                <c:pt idx="5">
                  <c:v>Al</c:v>
                </c:pt>
                <c:pt idx="6">
                  <c:v>Fe</c:v>
                </c:pt>
                <c:pt idx="7">
                  <c:v>Mn</c:v>
                </c:pt>
                <c:pt idx="8">
                  <c:v>Mo</c:v>
                </c:pt>
                <c:pt idx="9">
                  <c:v>Pb</c:v>
                </c:pt>
                <c:pt idx="10">
                  <c:v>Ba</c:v>
                </c:pt>
                <c:pt idx="11">
                  <c:v>Zn</c:v>
                </c:pt>
              </c:strCache>
            </c:strRef>
          </c:cat>
          <c:val>
            <c:numRef>
              <c:f>GráficoFontes!$B$98:$B$109</c:f>
              <c:numCache>
                <c:formatCode>General</c:formatCode>
                <c:ptCount val="12"/>
                <c:pt idx="0">
                  <c:v>4</c:v>
                </c:pt>
                <c:pt idx="1">
                  <c:v>3</c:v>
                </c:pt>
                <c:pt idx="2">
                  <c:v>3</c:v>
                </c:pt>
                <c:pt idx="3">
                  <c:v>2</c:v>
                </c:pt>
                <c:pt idx="4">
                  <c:v>1</c:v>
                </c:pt>
                <c:pt idx="5">
                  <c:v>1</c:v>
                </c:pt>
                <c:pt idx="6">
                  <c:v>1</c:v>
                </c:pt>
                <c:pt idx="7">
                  <c:v>1</c:v>
                </c:pt>
                <c:pt idx="8">
                  <c:v>1</c:v>
                </c:pt>
                <c:pt idx="9">
                  <c:v>1</c:v>
                </c:pt>
                <c:pt idx="10">
                  <c:v>1</c:v>
                </c:pt>
                <c:pt idx="11">
                  <c:v>1</c:v>
                </c:pt>
              </c:numCache>
            </c:numRef>
          </c:val>
          <c:extLst xmlns:c16r2="http://schemas.microsoft.com/office/drawing/2015/06/chart">
            <c:ext xmlns:c16="http://schemas.microsoft.com/office/drawing/2014/chart" uri="{C3380CC4-5D6E-409C-BE32-E72D297353CC}">
              <c16:uniqueId val="{00000000-39A7-41A9-8388-3708B5BC09F6}"/>
            </c:ext>
          </c:extLst>
        </c:ser>
        <c:dLbls>
          <c:dLblPos val="outEnd"/>
          <c:showLegendKey val="0"/>
          <c:showVal val="1"/>
          <c:showCatName val="0"/>
          <c:showSerName val="0"/>
          <c:showPercent val="0"/>
          <c:showBubbleSize val="0"/>
        </c:dLbls>
        <c:gapWidth val="182"/>
        <c:axId val="119785728"/>
        <c:axId val="120693888"/>
      </c:barChart>
      <c:catAx>
        <c:axId val="1197857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120693888"/>
        <c:crosses val="autoZero"/>
        <c:auto val="1"/>
        <c:lblAlgn val="ctr"/>
        <c:lblOffset val="100"/>
        <c:noMultiLvlLbl val="0"/>
      </c:catAx>
      <c:valAx>
        <c:axId val="12069388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pt-BR"/>
                  <a:t>Number of publications</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11978572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pt-B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GráficoFontes!$B$112</c:f>
              <c:strCache>
                <c:ptCount val="1"/>
                <c:pt idx="0">
                  <c:v>Origem litogênica</c:v>
                </c:pt>
              </c:strCache>
            </c:strRef>
          </c:tx>
          <c:spPr>
            <a:solidFill>
              <a:schemeClr val="accent3">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GráficoFontes!$A$113:$A$120</c:f>
              <c:strCache>
                <c:ptCount val="8"/>
                <c:pt idx="0">
                  <c:v>Cr</c:v>
                </c:pt>
                <c:pt idx="1">
                  <c:v>Ni</c:v>
                </c:pt>
                <c:pt idx="2">
                  <c:v>As</c:v>
                </c:pt>
                <c:pt idx="3">
                  <c:v>Zn</c:v>
                </c:pt>
                <c:pt idx="4">
                  <c:v>Cu</c:v>
                </c:pt>
                <c:pt idx="5">
                  <c:v>Hg</c:v>
                </c:pt>
                <c:pt idx="6">
                  <c:v>Mn</c:v>
                </c:pt>
                <c:pt idx="7">
                  <c:v>Pb</c:v>
                </c:pt>
              </c:strCache>
            </c:strRef>
          </c:cat>
          <c:val>
            <c:numRef>
              <c:f>GráficoFontes!$B$113:$B$120</c:f>
              <c:numCache>
                <c:formatCode>General</c:formatCode>
                <c:ptCount val="8"/>
                <c:pt idx="0">
                  <c:v>3</c:v>
                </c:pt>
                <c:pt idx="1">
                  <c:v>3</c:v>
                </c:pt>
                <c:pt idx="2">
                  <c:v>2</c:v>
                </c:pt>
                <c:pt idx="3">
                  <c:v>2</c:v>
                </c:pt>
                <c:pt idx="4">
                  <c:v>1</c:v>
                </c:pt>
                <c:pt idx="5">
                  <c:v>1</c:v>
                </c:pt>
                <c:pt idx="6">
                  <c:v>1</c:v>
                </c:pt>
                <c:pt idx="7">
                  <c:v>1</c:v>
                </c:pt>
              </c:numCache>
            </c:numRef>
          </c:val>
          <c:extLst xmlns:c16r2="http://schemas.microsoft.com/office/drawing/2015/06/chart">
            <c:ext xmlns:c16="http://schemas.microsoft.com/office/drawing/2014/chart" uri="{C3380CC4-5D6E-409C-BE32-E72D297353CC}">
              <c16:uniqueId val="{00000000-94F3-47E0-A1D2-31327E9CD45D}"/>
            </c:ext>
          </c:extLst>
        </c:ser>
        <c:dLbls>
          <c:dLblPos val="outEnd"/>
          <c:showLegendKey val="0"/>
          <c:showVal val="1"/>
          <c:showCatName val="0"/>
          <c:showSerName val="0"/>
          <c:showPercent val="0"/>
          <c:showBubbleSize val="0"/>
        </c:dLbls>
        <c:gapWidth val="182"/>
        <c:axId val="120959744"/>
        <c:axId val="120962432"/>
      </c:barChart>
      <c:catAx>
        <c:axId val="1209597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120962432"/>
        <c:crosses val="autoZero"/>
        <c:auto val="1"/>
        <c:lblAlgn val="ctr"/>
        <c:lblOffset val="100"/>
        <c:noMultiLvlLbl val="0"/>
      </c:catAx>
      <c:valAx>
        <c:axId val="12096243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pt-BR"/>
                  <a:t>Number</a:t>
                </a:r>
                <a:r>
                  <a:rPr lang="pt-BR" baseline="0"/>
                  <a:t> of publications</a:t>
                </a:r>
                <a:endParaRPr lang="pt-B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12095974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pt-B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GráficoFontes!$B$136</c:f>
              <c:strCache>
                <c:ptCount val="1"/>
                <c:pt idx="0">
                  <c:v>Soil composition</c:v>
                </c:pt>
              </c:strCache>
            </c:strRef>
          </c:tx>
          <c:spPr>
            <a:solidFill>
              <a:schemeClr val="accent1">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GráficoFontes!$A$137:$A$144</c:f>
              <c:strCache>
                <c:ptCount val="8"/>
                <c:pt idx="0">
                  <c:v>As</c:v>
                </c:pt>
                <c:pt idx="1">
                  <c:v>Cd</c:v>
                </c:pt>
                <c:pt idx="2">
                  <c:v>Co</c:v>
                </c:pt>
                <c:pt idx="3">
                  <c:v>Cu</c:v>
                </c:pt>
                <c:pt idx="4">
                  <c:v>Mn</c:v>
                </c:pt>
                <c:pt idx="5">
                  <c:v>Ni</c:v>
                </c:pt>
                <c:pt idx="6">
                  <c:v>Pb</c:v>
                </c:pt>
                <c:pt idx="7">
                  <c:v>Zn</c:v>
                </c:pt>
              </c:strCache>
            </c:strRef>
          </c:cat>
          <c:val>
            <c:numRef>
              <c:f>GráficoFontes!$B$137:$B$144</c:f>
              <c:numCache>
                <c:formatCode>General</c:formatCode>
                <c:ptCount val="8"/>
                <c:pt idx="0">
                  <c:v>3</c:v>
                </c:pt>
                <c:pt idx="1">
                  <c:v>1</c:v>
                </c:pt>
                <c:pt idx="2">
                  <c:v>1</c:v>
                </c:pt>
                <c:pt idx="3">
                  <c:v>1</c:v>
                </c:pt>
                <c:pt idx="4">
                  <c:v>1</c:v>
                </c:pt>
                <c:pt idx="5">
                  <c:v>1</c:v>
                </c:pt>
                <c:pt idx="6">
                  <c:v>1</c:v>
                </c:pt>
                <c:pt idx="7">
                  <c:v>1</c:v>
                </c:pt>
              </c:numCache>
            </c:numRef>
          </c:val>
          <c:extLst xmlns:c16r2="http://schemas.microsoft.com/office/drawing/2015/06/chart">
            <c:ext xmlns:c16="http://schemas.microsoft.com/office/drawing/2014/chart" uri="{C3380CC4-5D6E-409C-BE32-E72D297353CC}">
              <c16:uniqueId val="{00000000-F9C0-4E4D-9861-3C9BDE1E07D1}"/>
            </c:ext>
          </c:extLst>
        </c:ser>
        <c:dLbls>
          <c:dLblPos val="outEnd"/>
          <c:showLegendKey val="0"/>
          <c:showVal val="1"/>
          <c:showCatName val="0"/>
          <c:showSerName val="0"/>
          <c:showPercent val="0"/>
          <c:showBubbleSize val="0"/>
        </c:dLbls>
        <c:gapWidth val="182"/>
        <c:axId val="122032128"/>
        <c:axId val="122042240"/>
      </c:barChart>
      <c:catAx>
        <c:axId val="1220321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122042240"/>
        <c:crosses val="autoZero"/>
        <c:auto val="1"/>
        <c:lblAlgn val="ctr"/>
        <c:lblOffset val="100"/>
        <c:noMultiLvlLbl val="0"/>
      </c:catAx>
      <c:valAx>
        <c:axId val="12204224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pt-BR"/>
                  <a:t>Number</a:t>
                </a:r>
                <a:r>
                  <a:rPr lang="pt-BR" baseline="0"/>
                  <a:t> of publications</a:t>
                </a:r>
                <a:endParaRPr lang="pt-B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12203212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pt-B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GráficoFontes!$B$1</c:f>
              <c:strCache>
                <c:ptCount val="1"/>
                <c:pt idx="0">
                  <c:v>Mineração</c:v>
                </c:pt>
              </c:strCache>
            </c:strRef>
          </c:tx>
          <c:spPr>
            <a:solidFill>
              <a:schemeClr val="accent4">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GráficoFontes!$A$2:$A$15</c:f>
              <c:strCache>
                <c:ptCount val="14"/>
                <c:pt idx="0">
                  <c:v>As</c:v>
                </c:pt>
                <c:pt idx="1">
                  <c:v>Pb</c:v>
                </c:pt>
                <c:pt idx="2">
                  <c:v>Zn</c:v>
                </c:pt>
                <c:pt idx="3">
                  <c:v>Cu</c:v>
                </c:pt>
                <c:pt idx="4">
                  <c:v>Cd</c:v>
                </c:pt>
                <c:pt idx="5">
                  <c:v>Cr</c:v>
                </c:pt>
                <c:pt idx="6">
                  <c:v>Hg</c:v>
                </c:pt>
                <c:pt idx="7">
                  <c:v>Mn</c:v>
                </c:pt>
                <c:pt idx="8">
                  <c:v>Fe</c:v>
                </c:pt>
                <c:pt idx="9">
                  <c:v>Ni</c:v>
                </c:pt>
                <c:pt idx="10">
                  <c:v>Al</c:v>
                </c:pt>
                <c:pt idx="11">
                  <c:v>Sb</c:v>
                </c:pt>
                <c:pt idx="12">
                  <c:v>Co</c:v>
                </c:pt>
                <c:pt idx="13">
                  <c:v>Mo</c:v>
                </c:pt>
              </c:strCache>
            </c:strRef>
          </c:cat>
          <c:val>
            <c:numRef>
              <c:f>GráficoFontes!$B$2:$B$15</c:f>
              <c:numCache>
                <c:formatCode>General</c:formatCode>
                <c:ptCount val="14"/>
                <c:pt idx="0">
                  <c:v>19</c:v>
                </c:pt>
                <c:pt idx="1">
                  <c:v>17</c:v>
                </c:pt>
                <c:pt idx="2">
                  <c:v>16</c:v>
                </c:pt>
                <c:pt idx="3">
                  <c:v>13</c:v>
                </c:pt>
                <c:pt idx="4">
                  <c:v>10</c:v>
                </c:pt>
                <c:pt idx="5">
                  <c:v>10</c:v>
                </c:pt>
                <c:pt idx="6">
                  <c:v>7</c:v>
                </c:pt>
                <c:pt idx="7">
                  <c:v>6</c:v>
                </c:pt>
                <c:pt idx="8">
                  <c:v>5</c:v>
                </c:pt>
                <c:pt idx="9">
                  <c:v>5</c:v>
                </c:pt>
                <c:pt idx="10">
                  <c:v>3</c:v>
                </c:pt>
                <c:pt idx="11">
                  <c:v>2</c:v>
                </c:pt>
                <c:pt idx="12">
                  <c:v>1</c:v>
                </c:pt>
                <c:pt idx="13">
                  <c:v>1</c:v>
                </c:pt>
              </c:numCache>
            </c:numRef>
          </c:val>
          <c:extLst xmlns:c16r2="http://schemas.microsoft.com/office/drawing/2015/06/chart">
            <c:ext xmlns:c16="http://schemas.microsoft.com/office/drawing/2014/chart" uri="{C3380CC4-5D6E-409C-BE32-E72D297353CC}">
              <c16:uniqueId val="{00000000-9385-4536-B470-8114ED2969D4}"/>
            </c:ext>
          </c:extLst>
        </c:ser>
        <c:dLbls>
          <c:dLblPos val="outEnd"/>
          <c:showLegendKey val="0"/>
          <c:showVal val="1"/>
          <c:showCatName val="0"/>
          <c:showSerName val="0"/>
          <c:showPercent val="0"/>
          <c:showBubbleSize val="0"/>
        </c:dLbls>
        <c:gapWidth val="182"/>
        <c:axId val="122058240"/>
        <c:axId val="122065280"/>
      </c:barChart>
      <c:catAx>
        <c:axId val="1220582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122065280"/>
        <c:crosses val="autoZero"/>
        <c:auto val="1"/>
        <c:lblAlgn val="ctr"/>
        <c:lblOffset val="100"/>
        <c:noMultiLvlLbl val="0"/>
      </c:catAx>
      <c:valAx>
        <c:axId val="12206528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pt-BR"/>
                  <a:t>Number</a:t>
                </a:r>
                <a:r>
                  <a:rPr lang="pt-BR" baseline="0"/>
                  <a:t> of publications</a:t>
                </a:r>
                <a:endParaRPr lang="pt-BR"/>
              </a:p>
            </c:rich>
          </c:tx>
          <c:layout>
            <c:manualLayout>
              <c:xMode val="edge"/>
              <c:yMode val="edge"/>
              <c:x val="0.39905130370814373"/>
              <c:y val="0.907407437410506"/>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12205824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pt-BR"/>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GráficoFontes!$B$18</c:f>
              <c:strCache>
                <c:ptCount val="1"/>
                <c:pt idx="0">
                  <c:v>Agricultura</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GráficoFontes!$A$19:$A$31</c:f>
              <c:strCache>
                <c:ptCount val="13"/>
                <c:pt idx="0">
                  <c:v>Cd</c:v>
                </c:pt>
                <c:pt idx="1">
                  <c:v>Zn</c:v>
                </c:pt>
                <c:pt idx="2">
                  <c:v>Pb</c:v>
                </c:pt>
                <c:pt idx="3">
                  <c:v>Cu</c:v>
                </c:pt>
                <c:pt idx="4">
                  <c:v>Cr</c:v>
                </c:pt>
                <c:pt idx="5">
                  <c:v>As</c:v>
                </c:pt>
                <c:pt idx="6">
                  <c:v>Hg</c:v>
                </c:pt>
                <c:pt idx="7">
                  <c:v>Ni</c:v>
                </c:pt>
                <c:pt idx="8">
                  <c:v>Mn</c:v>
                </c:pt>
                <c:pt idx="9">
                  <c:v>Co</c:v>
                </c:pt>
                <c:pt idx="10">
                  <c:v>Fe</c:v>
                </c:pt>
                <c:pt idx="11">
                  <c:v>V</c:v>
                </c:pt>
                <c:pt idx="12">
                  <c:v>Mo</c:v>
                </c:pt>
              </c:strCache>
            </c:strRef>
          </c:cat>
          <c:val>
            <c:numRef>
              <c:f>GráficoFontes!$B$19:$B$31</c:f>
              <c:numCache>
                <c:formatCode>General</c:formatCode>
                <c:ptCount val="13"/>
                <c:pt idx="0">
                  <c:v>21</c:v>
                </c:pt>
                <c:pt idx="1">
                  <c:v>17</c:v>
                </c:pt>
                <c:pt idx="2">
                  <c:v>12</c:v>
                </c:pt>
                <c:pt idx="3">
                  <c:v>12</c:v>
                </c:pt>
                <c:pt idx="4">
                  <c:v>7</c:v>
                </c:pt>
                <c:pt idx="5">
                  <c:v>5</c:v>
                </c:pt>
                <c:pt idx="6">
                  <c:v>5</c:v>
                </c:pt>
                <c:pt idx="7">
                  <c:v>5</c:v>
                </c:pt>
                <c:pt idx="8">
                  <c:v>3</c:v>
                </c:pt>
                <c:pt idx="9">
                  <c:v>3</c:v>
                </c:pt>
                <c:pt idx="10">
                  <c:v>1</c:v>
                </c:pt>
                <c:pt idx="11">
                  <c:v>1</c:v>
                </c:pt>
                <c:pt idx="12">
                  <c:v>1</c:v>
                </c:pt>
              </c:numCache>
            </c:numRef>
          </c:val>
          <c:extLst xmlns:c16r2="http://schemas.microsoft.com/office/drawing/2015/06/chart">
            <c:ext xmlns:c16="http://schemas.microsoft.com/office/drawing/2014/chart" uri="{C3380CC4-5D6E-409C-BE32-E72D297353CC}">
              <c16:uniqueId val="{00000000-F394-4E02-87A5-93155A91F679}"/>
            </c:ext>
          </c:extLst>
        </c:ser>
        <c:dLbls>
          <c:dLblPos val="outEnd"/>
          <c:showLegendKey val="0"/>
          <c:showVal val="1"/>
          <c:showCatName val="0"/>
          <c:showSerName val="0"/>
          <c:showPercent val="0"/>
          <c:showBubbleSize val="0"/>
        </c:dLbls>
        <c:gapWidth val="182"/>
        <c:axId val="122092928"/>
        <c:axId val="122104064"/>
      </c:barChart>
      <c:catAx>
        <c:axId val="1220929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122104064"/>
        <c:crosses val="autoZero"/>
        <c:auto val="1"/>
        <c:lblAlgn val="ctr"/>
        <c:lblOffset val="100"/>
        <c:noMultiLvlLbl val="0"/>
      </c:catAx>
      <c:valAx>
        <c:axId val="12210406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pt-BR"/>
                  <a:t>Numer</a:t>
                </a:r>
                <a:r>
                  <a:rPr lang="pt-BR" baseline="0"/>
                  <a:t> of publications</a:t>
                </a:r>
                <a:endParaRPr lang="pt-BR"/>
              </a:p>
            </c:rich>
          </c:tx>
          <c:layout>
            <c:manualLayout>
              <c:xMode val="edge"/>
              <c:yMode val="edge"/>
              <c:x val="0.39878856264146595"/>
              <c:y val="0.91902071563088517"/>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12209292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pt-BR"/>
    </a:p>
  </c:txPr>
  <c:externalData r:id="rId1">
    <c:autoUpdate val="0"/>
  </c:externalData>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CE1F92-7F3D-41AA-AFA6-DD2D444A3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3164</Words>
  <Characters>17088</Characters>
  <Application>Microsoft Office Word</Application>
  <DocSecurity>0</DocSecurity>
  <Lines>142</Lines>
  <Paragraphs>40</Paragraphs>
  <ScaleCrop>false</ScaleCrop>
  <HeadingPairs>
    <vt:vector size="6" baseType="variant">
      <vt:variant>
        <vt:lpstr>Título</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Ufscar</Company>
  <LinksUpToDate>false</LinksUpToDate>
  <CharactersWithSpaces>20212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S1</dc:creator>
  <cp:lastModifiedBy>Luciana C Oliveira</cp:lastModifiedBy>
  <cp:revision>2</cp:revision>
  <dcterms:created xsi:type="dcterms:W3CDTF">2022-02-23T13:42:00Z</dcterms:created>
  <dcterms:modified xsi:type="dcterms:W3CDTF">2022-02-23T13:42:00Z</dcterms:modified>
</cp:coreProperties>
</file>