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A9511D" w14:textId="77777777" w:rsidR="00D41087" w:rsidRPr="00D41087" w:rsidRDefault="00D41087" w:rsidP="00D41087">
      <w:pPr>
        <w:spacing w:after="0" w:line="240" w:lineRule="auto"/>
        <w:rPr>
          <w:rFonts w:ascii="Arial" w:hAnsi="Arial" w:cs="Arial"/>
          <w:szCs w:val="20"/>
        </w:rPr>
      </w:pPr>
      <w:bookmarkStart w:id="0" w:name="_GoBack"/>
      <w:bookmarkEnd w:id="0"/>
      <w:r w:rsidRPr="00D41087">
        <w:rPr>
          <w:rFonts w:ascii="Arial" w:hAnsi="Arial" w:cs="Arial"/>
          <w:b/>
          <w:bCs/>
          <w:szCs w:val="20"/>
        </w:rPr>
        <w:t xml:space="preserve">Supplementary material 1. </w:t>
      </w:r>
      <w:r w:rsidRPr="00D41087">
        <w:rPr>
          <w:rFonts w:ascii="Arial" w:hAnsi="Arial" w:cs="Arial"/>
          <w:szCs w:val="20"/>
        </w:rPr>
        <w:t>Korean Standard Classification of Diseases (KCD) codes and Korean Electronic Data Interchange (KEDI) codes included in definition of cataract and cataract surgery</w:t>
      </w:r>
    </w:p>
    <w:p w14:paraId="4099C92F" w14:textId="77777777" w:rsidR="00D41087" w:rsidRPr="00D41087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D41087" w:rsidRPr="00D41087" w14:paraId="186D9383" w14:textId="77777777" w:rsidTr="00D41087">
        <w:trPr>
          <w:trHeight w:val="340"/>
        </w:trPr>
        <w:tc>
          <w:tcPr>
            <w:tcW w:w="4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C7EF75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Condition</w:t>
            </w:r>
          </w:p>
        </w:tc>
        <w:tc>
          <w:tcPr>
            <w:tcW w:w="4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3A3E1D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Eligible KCD Diagnosis Code</w:t>
            </w:r>
          </w:p>
        </w:tc>
      </w:tr>
      <w:tr w:rsidR="00D41087" w:rsidRPr="00D41087" w14:paraId="28D2B1B7" w14:textId="77777777" w:rsidTr="00D41087">
        <w:trPr>
          <w:trHeight w:val="340"/>
        </w:trPr>
        <w:tc>
          <w:tcPr>
            <w:tcW w:w="4508" w:type="dxa"/>
            <w:tcBorders>
              <w:top w:val="single" w:sz="4" w:space="0" w:color="auto"/>
            </w:tcBorders>
            <w:vAlign w:val="center"/>
          </w:tcPr>
          <w:p w14:paraId="3EC0CC2D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Cataract</w:t>
            </w:r>
          </w:p>
        </w:tc>
        <w:tc>
          <w:tcPr>
            <w:tcW w:w="4508" w:type="dxa"/>
            <w:tcBorders>
              <w:top w:val="single" w:sz="4" w:space="0" w:color="auto"/>
            </w:tcBorders>
            <w:vAlign w:val="center"/>
          </w:tcPr>
          <w:p w14:paraId="0565AE0C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H25.0, H25.1, H25.2, H25.8, H25.9, H26.02, H26.21, H26.28, H26.3, H26.8, H26.9, H28.0, H28.1, H28.2</w:t>
            </w:r>
          </w:p>
        </w:tc>
      </w:tr>
      <w:tr w:rsidR="00D41087" w:rsidRPr="00D41087" w14:paraId="7256BDA0" w14:textId="77777777" w:rsidTr="00D41087">
        <w:trPr>
          <w:trHeight w:val="340"/>
        </w:trPr>
        <w:tc>
          <w:tcPr>
            <w:tcW w:w="4508" w:type="dxa"/>
            <w:tcBorders>
              <w:bottom w:val="single" w:sz="4" w:space="0" w:color="auto"/>
            </w:tcBorders>
            <w:vAlign w:val="center"/>
          </w:tcPr>
          <w:p w14:paraId="35F88B87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Severe cataract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vAlign w:val="center"/>
          </w:tcPr>
          <w:p w14:paraId="1B0D8FEA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H25.1, H25.2</w:t>
            </w:r>
          </w:p>
        </w:tc>
      </w:tr>
      <w:tr w:rsidR="00D41087" w:rsidRPr="00D41087" w14:paraId="6ADD61A6" w14:textId="77777777" w:rsidTr="00D41087">
        <w:trPr>
          <w:trHeight w:val="340"/>
        </w:trPr>
        <w:tc>
          <w:tcPr>
            <w:tcW w:w="4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B5971E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Cataract surgery</w:t>
            </w:r>
          </w:p>
        </w:tc>
        <w:tc>
          <w:tcPr>
            <w:tcW w:w="4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731444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Eligible KEDI Code</w:t>
            </w:r>
          </w:p>
        </w:tc>
      </w:tr>
      <w:tr w:rsidR="00D41087" w:rsidRPr="00D41087" w14:paraId="5B741FE4" w14:textId="77777777" w:rsidTr="00D41087">
        <w:trPr>
          <w:trHeight w:val="340"/>
        </w:trPr>
        <w:tc>
          <w:tcPr>
            <w:tcW w:w="4508" w:type="dxa"/>
            <w:tcBorders>
              <w:top w:val="single" w:sz="4" w:space="0" w:color="auto"/>
            </w:tcBorders>
            <w:vAlign w:val="center"/>
          </w:tcPr>
          <w:p w14:paraId="49F7FB31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extracapsular or intracapsular extraction</w:t>
            </w:r>
          </w:p>
        </w:tc>
        <w:tc>
          <w:tcPr>
            <w:tcW w:w="4508" w:type="dxa"/>
            <w:tcBorders>
              <w:top w:val="single" w:sz="4" w:space="0" w:color="auto"/>
            </w:tcBorders>
            <w:vAlign w:val="center"/>
          </w:tcPr>
          <w:p w14:paraId="496C5134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S5111</w:t>
            </w:r>
          </w:p>
        </w:tc>
      </w:tr>
      <w:tr w:rsidR="00D41087" w:rsidRPr="00D41087" w14:paraId="1DC3E294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10F84C2B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phacoemulsification</w:t>
            </w:r>
          </w:p>
        </w:tc>
        <w:tc>
          <w:tcPr>
            <w:tcW w:w="4508" w:type="dxa"/>
            <w:vAlign w:val="center"/>
          </w:tcPr>
          <w:p w14:paraId="208EB509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S5119</w:t>
            </w:r>
          </w:p>
        </w:tc>
      </w:tr>
      <w:tr w:rsidR="00D41087" w:rsidRPr="00D41087" w14:paraId="010990C7" w14:textId="77777777" w:rsidTr="00D41087">
        <w:trPr>
          <w:trHeight w:val="340"/>
        </w:trPr>
        <w:tc>
          <w:tcPr>
            <w:tcW w:w="4508" w:type="dxa"/>
            <w:tcBorders>
              <w:bottom w:val="single" w:sz="4" w:space="0" w:color="auto"/>
            </w:tcBorders>
            <w:vAlign w:val="center"/>
          </w:tcPr>
          <w:p w14:paraId="7ED8061A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primary intraocular lens implantation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vAlign w:val="center"/>
          </w:tcPr>
          <w:p w14:paraId="406F1871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S5117</w:t>
            </w:r>
          </w:p>
        </w:tc>
      </w:tr>
    </w:tbl>
    <w:p w14:paraId="6703E115" w14:textId="77777777" w:rsidR="00D41087" w:rsidRPr="00D41087" w:rsidRDefault="00D41087" w:rsidP="00D4108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D41087">
        <w:rPr>
          <w:rFonts w:ascii="Arial" w:hAnsi="Arial" w:cs="Arial"/>
          <w:sz w:val="18"/>
          <w:szCs w:val="18"/>
        </w:rPr>
        <w:t>KCD, Korean Standard Classification of Diseases; KEDI, Korean Electronic Data Interchange.</w:t>
      </w:r>
    </w:p>
    <w:p w14:paraId="1ADEC4B7" w14:textId="77777777" w:rsidR="00D41087" w:rsidRPr="00D41087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6F2D5680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395C6B48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298C6985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0AB8EE48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739A0743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77157DA3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0E81D06D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2525A2F7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2FE9AE81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32D85D5C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31826BBD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736BF8EA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10391F3F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7A707FA3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48DD828E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74E6629D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456229DB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61EC841C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4994FFF0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742B64E3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3FCA5C57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51454375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6939AEC7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64F2E8E0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55DCB862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0F9A6DBB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32706884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1D6651AB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7957CC0F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383C4B78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7C280359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2615557C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1B7D3C1B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2E77AB48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3FF2A9F8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5B6F6D81" w14:textId="77777777" w:rsidR="00D41087" w:rsidRDefault="00D41087" w:rsidP="00D4108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CC8C29B" w14:textId="77777777" w:rsidR="00D41087" w:rsidRDefault="00D41087" w:rsidP="00D4108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2FDDAB6" w14:textId="77777777" w:rsidR="00D41087" w:rsidRDefault="00D41087" w:rsidP="00D4108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0C9A0F3" w14:textId="77777777" w:rsidR="00F00C95" w:rsidRDefault="00F00C95" w:rsidP="00D41087">
      <w:pPr>
        <w:spacing w:after="0" w:line="240" w:lineRule="auto"/>
        <w:rPr>
          <w:rFonts w:ascii="Arial" w:hAnsi="Arial" w:cs="Arial"/>
          <w:b/>
          <w:bCs/>
          <w:szCs w:val="20"/>
        </w:rPr>
      </w:pPr>
    </w:p>
    <w:p w14:paraId="1CDE9EDC" w14:textId="3E7D87A5" w:rsidR="00D41087" w:rsidRPr="00D41087" w:rsidRDefault="00D41087" w:rsidP="00D41087">
      <w:pPr>
        <w:spacing w:after="0" w:line="240" w:lineRule="auto"/>
        <w:rPr>
          <w:rFonts w:ascii="Arial" w:hAnsi="Arial" w:cs="Arial"/>
          <w:b/>
          <w:bCs/>
          <w:szCs w:val="20"/>
        </w:rPr>
      </w:pPr>
      <w:r w:rsidRPr="00D41087">
        <w:rPr>
          <w:rFonts w:ascii="Arial" w:hAnsi="Arial" w:cs="Arial"/>
          <w:b/>
          <w:bCs/>
          <w:szCs w:val="20"/>
        </w:rPr>
        <w:lastRenderedPageBreak/>
        <w:t xml:space="preserve">Supplementary material 2. </w:t>
      </w:r>
      <w:r w:rsidRPr="00D41087">
        <w:rPr>
          <w:rFonts w:ascii="Arial" w:hAnsi="Arial" w:cs="Arial"/>
          <w:szCs w:val="20"/>
        </w:rPr>
        <w:t>Korean Standard Classification of Diseases (KCD) codes included in mortality attributed to specific systemic conditions</w:t>
      </w:r>
    </w:p>
    <w:p w14:paraId="23811CA4" w14:textId="77777777" w:rsidR="00D41087" w:rsidRPr="00D41087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D41087" w:rsidRPr="00D41087" w14:paraId="6B134101" w14:textId="77777777" w:rsidTr="00D41087">
        <w:trPr>
          <w:trHeight w:val="340"/>
        </w:trPr>
        <w:tc>
          <w:tcPr>
            <w:tcW w:w="4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347454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Type of Mortality</w:t>
            </w:r>
          </w:p>
        </w:tc>
        <w:tc>
          <w:tcPr>
            <w:tcW w:w="4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F8F90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Eligible KCD Diagnosis Code</w:t>
            </w:r>
          </w:p>
        </w:tc>
      </w:tr>
      <w:tr w:rsidR="00D41087" w:rsidRPr="00D41087" w14:paraId="71BA123E" w14:textId="77777777" w:rsidTr="00D41087">
        <w:trPr>
          <w:trHeight w:val="340"/>
        </w:trPr>
        <w:tc>
          <w:tcPr>
            <w:tcW w:w="4508" w:type="dxa"/>
            <w:tcBorders>
              <w:top w:val="single" w:sz="4" w:space="0" w:color="auto"/>
            </w:tcBorders>
            <w:vAlign w:val="center"/>
          </w:tcPr>
          <w:p w14:paraId="5CB1BE52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Cancer death</w:t>
            </w:r>
          </w:p>
        </w:tc>
        <w:tc>
          <w:tcPr>
            <w:tcW w:w="4508" w:type="dxa"/>
            <w:tcBorders>
              <w:top w:val="single" w:sz="4" w:space="0" w:color="auto"/>
            </w:tcBorders>
            <w:vAlign w:val="center"/>
          </w:tcPr>
          <w:p w14:paraId="29DF2C7A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C00-C14, C15-C26, C30-C39, C40-C41, C43-C44, C45-C49. C50, C51-C58, C60-C63, C64-C68, C69-C72, C73-C75, C76-C80, C81-C96, C97-C97, D00-D09, D10-D36, D37-D48</w:t>
            </w:r>
          </w:p>
        </w:tc>
      </w:tr>
      <w:tr w:rsidR="00D41087" w:rsidRPr="00D41087" w14:paraId="31C7EA08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0A5AD122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Vascular death</w:t>
            </w:r>
          </w:p>
        </w:tc>
        <w:tc>
          <w:tcPr>
            <w:tcW w:w="4508" w:type="dxa"/>
            <w:vAlign w:val="center"/>
          </w:tcPr>
          <w:p w14:paraId="5915BB86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I00-I02, I05-I09, I10-I15, I20-I25, I26-I28, I30-I52, I60-I69, I70-I79, I80-I89, I95-I99</w:t>
            </w:r>
          </w:p>
        </w:tc>
      </w:tr>
      <w:tr w:rsidR="00D41087" w:rsidRPr="00D41087" w14:paraId="6B8BC90F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5D6A1364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Pulmonary death</w:t>
            </w:r>
          </w:p>
        </w:tc>
        <w:tc>
          <w:tcPr>
            <w:tcW w:w="4508" w:type="dxa"/>
            <w:vAlign w:val="center"/>
          </w:tcPr>
          <w:p w14:paraId="4976BF0A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J00-J06, J09-J18, J20-J22, J30-J39, J40-J47, J60-J70, J80-J84, J85-J86, J90-J94, J95-J99</w:t>
            </w:r>
          </w:p>
        </w:tc>
      </w:tr>
      <w:tr w:rsidR="00D41087" w:rsidRPr="00D41087" w14:paraId="48FBD3D8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6CAD29E6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Neurologic death</w:t>
            </w:r>
          </w:p>
        </w:tc>
        <w:tc>
          <w:tcPr>
            <w:tcW w:w="4508" w:type="dxa"/>
            <w:vAlign w:val="center"/>
          </w:tcPr>
          <w:p w14:paraId="4A2D5AA9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G00-G09, G10-G14, G20-G26, G30-G32, G35-G37, G40-G47, G50-G59, G60-G64, G70-G73, G80-G83, G90-G99</w:t>
            </w:r>
          </w:p>
        </w:tc>
      </w:tr>
      <w:tr w:rsidR="00D41087" w:rsidRPr="00D41087" w14:paraId="62A3D906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7FFAE61F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Infection-related death</w:t>
            </w:r>
          </w:p>
        </w:tc>
        <w:tc>
          <w:tcPr>
            <w:tcW w:w="4508" w:type="dxa"/>
            <w:vAlign w:val="center"/>
          </w:tcPr>
          <w:p w14:paraId="575B3F9A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A00-A09, A15-A19, A20-A28, A30-A49, A50-A64, A65-A69, A70-A74, A75-A79, A80-A89, A90-A99, B00-B09, B15-B19, B20-B24, B25-B34, B35-B49, B50-B64, B65-B83, B85-B89, B90-B94, B95-B98, B99</w:t>
            </w:r>
          </w:p>
        </w:tc>
      </w:tr>
      <w:tr w:rsidR="00D41087" w:rsidRPr="00D41087" w14:paraId="2AF2CDD5" w14:textId="77777777" w:rsidTr="00D41087">
        <w:trPr>
          <w:trHeight w:val="340"/>
        </w:trPr>
        <w:tc>
          <w:tcPr>
            <w:tcW w:w="4508" w:type="dxa"/>
            <w:tcBorders>
              <w:bottom w:val="single" w:sz="4" w:space="0" w:color="auto"/>
            </w:tcBorders>
            <w:vAlign w:val="center"/>
          </w:tcPr>
          <w:p w14:paraId="42C9B277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Accident or trauma related death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vAlign w:val="center"/>
          </w:tcPr>
          <w:p w14:paraId="4ED05FAA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V01-V99, W00-W99, X00-X84, X85-Y09, Y10-Y34, Y35-Y36, Y40-Y59, Y60-Y69, Y70-Y82, Y83-Y84, Y85-Y89, Y90-Y98</w:t>
            </w:r>
          </w:p>
        </w:tc>
      </w:tr>
    </w:tbl>
    <w:p w14:paraId="3FCF2C63" w14:textId="77777777" w:rsidR="00D41087" w:rsidRPr="00D41087" w:rsidRDefault="00D41087" w:rsidP="00D4108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D41087">
        <w:rPr>
          <w:rFonts w:ascii="Arial" w:hAnsi="Arial" w:cs="Arial"/>
          <w:sz w:val="18"/>
          <w:szCs w:val="18"/>
        </w:rPr>
        <w:t>KCD, Korean Standard Classification of Diseases.</w:t>
      </w:r>
    </w:p>
    <w:p w14:paraId="09E69ACC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6ECD4CDD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550AA26F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140668C0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54ED3ADB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2BF7CABD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5C296CB5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3C3C3080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6C1D62AF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3E5FB8A7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793BB9DA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0355E293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10E1D6FB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430109CA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19E1637A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76B1F1AB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23912FB9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13E096C4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2A04866A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0AA5669B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065DF079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5CDF1338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74F12D32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635FDFE8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701DB426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3E951316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780A0170" w14:textId="77777777" w:rsidR="00D41087" w:rsidRDefault="00D41087" w:rsidP="00D4108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2E62CB6" w14:textId="77777777" w:rsidR="00D41087" w:rsidRDefault="00D41087" w:rsidP="00D4108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434E01E2" w14:textId="77777777" w:rsidR="00D41087" w:rsidRDefault="00D41087" w:rsidP="00D4108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2AB04AF" w14:textId="77777777" w:rsidR="00D41087" w:rsidRDefault="00D41087" w:rsidP="00D4108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F167F1C" w14:textId="77777777" w:rsidR="00D41087" w:rsidRDefault="00D41087" w:rsidP="00D41087">
      <w:pPr>
        <w:spacing w:after="0" w:line="240" w:lineRule="auto"/>
        <w:rPr>
          <w:rFonts w:ascii="Arial" w:hAnsi="Arial" w:cs="Arial"/>
          <w:b/>
          <w:bCs/>
          <w:szCs w:val="20"/>
        </w:rPr>
      </w:pPr>
    </w:p>
    <w:p w14:paraId="1B8DDED0" w14:textId="77777777" w:rsidR="00F00C95" w:rsidRDefault="00F00C95" w:rsidP="00D41087">
      <w:pPr>
        <w:spacing w:after="0" w:line="240" w:lineRule="auto"/>
        <w:rPr>
          <w:rFonts w:ascii="Arial" w:hAnsi="Arial" w:cs="Arial"/>
          <w:b/>
          <w:bCs/>
          <w:szCs w:val="20"/>
        </w:rPr>
      </w:pPr>
    </w:p>
    <w:p w14:paraId="7F504E92" w14:textId="77777777" w:rsidR="00F00C95" w:rsidRDefault="00F00C95" w:rsidP="00D41087">
      <w:pPr>
        <w:spacing w:after="0" w:line="240" w:lineRule="auto"/>
        <w:rPr>
          <w:rFonts w:ascii="Arial" w:hAnsi="Arial" w:cs="Arial"/>
          <w:b/>
          <w:bCs/>
          <w:szCs w:val="20"/>
        </w:rPr>
      </w:pPr>
    </w:p>
    <w:p w14:paraId="15DF6F4A" w14:textId="2CA98B43" w:rsidR="00D41087" w:rsidRPr="00D41087" w:rsidRDefault="00D41087" w:rsidP="00D41087">
      <w:pPr>
        <w:spacing w:after="0" w:line="240" w:lineRule="auto"/>
        <w:rPr>
          <w:rFonts w:ascii="Arial" w:hAnsi="Arial" w:cs="Arial"/>
          <w:szCs w:val="20"/>
        </w:rPr>
      </w:pPr>
      <w:r w:rsidRPr="00D41087">
        <w:rPr>
          <w:rFonts w:ascii="Arial" w:hAnsi="Arial" w:cs="Arial"/>
          <w:b/>
          <w:bCs/>
          <w:szCs w:val="20"/>
        </w:rPr>
        <w:lastRenderedPageBreak/>
        <w:t xml:space="preserve">Supplementary material 3. </w:t>
      </w:r>
      <w:r w:rsidRPr="00D41087">
        <w:rPr>
          <w:rFonts w:ascii="Arial" w:hAnsi="Arial" w:cs="Arial"/>
          <w:szCs w:val="20"/>
        </w:rPr>
        <w:t>Korean Standard Classification of Diseases (KCD) codes included in the definition of Comorbidities</w:t>
      </w:r>
    </w:p>
    <w:p w14:paraId="37BD28D3" w14:textId="77777777" w:rsidR="00D41087" w:rsidRPr="00D41087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D41087" w:rsidRPr="00D41087" w14:paraId="273E9D92" w14:textId="77777777" w:rsidTr="00D41087">
        <w:trPr>
          <w:trHeight w:val="340"/>
        </w:trPr>
        <w:tc>
          <w:tcPr>
            <w:tcW w:w="4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D3F04E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Comorbidity</w:t>
            </w:r>
          </w:p>
        </w:tc>
        <w:tc>
          <w:tcPr>
            <w:tcW w:w="4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B6CF61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Eligible KCD Diagnosis Code</w:t>
            </w:r>
          </w:p>
        </w:tc>
      </w:tr>
      <w:tr w:rsidR="00D41087" w:rsidRPr="00D41087" w14:paraId="6BF11E44" w14:textId="77777777" w:rsidTr="00D41087">
        <w:trPr>
          <w:trHeight w:val="340"/>
        </w:trPr>
        <w:tc>
          <w:tcPr>
            <w:tcW w:w="4508" w:type="dxa"/>
            <w:tcBorders>
              <w:top w:val="single" w:sz="4" w:space="0" w:color="auto"/>
            </w:tcBorders>
            <w:vAlign w:val="center"/>
          </w:tcPr>
          <w:p w14:paraId="282FC202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Lymphomas</w:t>
            </w:r>
          </w:p>
        </w:tc>
        <w:tc>
          <w:tcPr>
            <w:tcW w:w="4508" w:type="dxa"/>
            <w:tcBorders>
              <w:top w:val="single" w:sz="4" w:space="0" w:color="auto"/>
            </w:tcBorders>
            <w:vAlign w:val="center"/>
          </w:tcPr>
          <w:p w14:paraId="4B3283A5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C81-C86, C88</w:t>
            </w:r>
          </w:p>
        </w:tc>
      </w:tr>
      <w:tr w:rsidR="00D41087" w:rsidRPr="00D41087" w14:paraId="5761DF84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1C2301EE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Multiple myeloma/leukemia</w:t>
            </w:r>
          </w:p>
        </w:tc>
        <w:tc>
          <w:tcPr>
            <w:tcW w:w="4508" w:type="dxa"/>
            <w:vAlign w:val="center"/>
          </w:tcPr>
          <w:p w14:paraId="060DB83E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C90-C96</w:t>
            </w:r>
          </w:p>
        </w:tc>
      </w:tr>
      <w:tr w:rsidR="00D41087" w:rsidRPr="00D41087" w14:paraId="7F223359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60C89F3F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Malignant neoplasms</w:t>
            </w:r>
          </w:p>
        </w:tc>
        <w:tc>
          <w:tcPr>
            <w:tcW w:w="4508" w:type="dxa"/>
            <w:vAlign w:val="center"/>
          </w:tcPr>
          <w:p w14:paraId="0B921AFE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C00-97</w:t>
            </w:r>
          </w:p>
        </w:tc>
      </w:tr>
      <w:tr w:rsidR="00D41087" w:rsidRPr="00D41087" w14:paraId="6F92019A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5E18DC8F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Myocardial infarction</w:t>
            </w:r>
          </w:p>
        </w:tc>
        <w:tc>
          <w:tcPr>
            <w:tcW w:w="4508" w:type="dxa"/>
            <w:vAlign w:val="center"/>
          </w:tcPr>
          <w:p w14:paraId="7AD24445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I21-I23</w:t>
            </w:r>
          </w:p>
        </w:tc>
      </w:tr>
      <w:tr w:rsidR="00D41087" w:rsidRPr="00D41087" w14:paraId="55CFA571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4F545892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Heart failure</w:t>
            </w:r>
          </w:p>
        </w:tc>
        <w:tc>
          <w:tcPr>
            <w:tcW w:w="4508" w:type="dxa"/>
            <w:vAlign w:val="center"/>
          </w:tcPr>
          <w:p w14:paraId="71D6BAF8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I50, I97.1, I09.9, I11.0, I13.0, I13.2</w:t>
            </w:r>
          </w:p>
        </w:tc>
      </w:tr>
      <w:tr w:rsidR="00D41087" w:rsidRPr="00D41087" w14:paraId="7F9C8F05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1A0AC8E1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Cerebrovascular disease</w:t>
            </w:r>
          </w:p>
        </w:tc>
        <w:tc>
          <w:tcPr>
            <w:tcW w:w="4508" w:type="dxa"/>
            <w:vAlign w:val="center"/>
          </w:tcPr>
          <w:p w14:paraId="2AC917A3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I60-I69</w:t>
            </w:r>
          </w:p>
        </w:tc>
      </w:tr>
      <w:tr w:rsidR="00D41087" w:rsidRPr="00D41087" w14:paraId="26A9C25F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3427A59C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Peripheral vascular disease</w:t>
            </w:r>
          </w:p>
        </w:tc>
        <w:tc>
          <w:tcPr>
            <w:tcW w:w="4508" w:type="dxa"/>
            <w:vAlign w:val="center"/>
          </w:tcPr>
          <w:p w14:paraId="70090FA3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I73</w:t>
            </w:r>
          </w:p>
        </w:tc>
      </w:tr>
      <w:tr w:rsidR="00D41087" w:rsidRPr="00D41087" w14:paraId="7D066829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59928E8D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Chronic pulmonary disease</w:t>
            </w:r>
          </w:p>
        </w:tc>
        <w:tc>
          <w:tcPr>
            <w:tcW w:w="4508" w:type="dxa"/>
            <w:vAlign w:val="center"/>
          </w:tcPr>
          <w:p w14:paraId="6673A178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J44, I27.9, J84</w:t>
            </w:r>
          </w:p>
        </w:tc>
      </w:tr>
      <w:tr w:rsidR="00D41087" w:rsidRPr="00D41087" w14:paraId="19A36AA6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79D6D87D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Cirrhosis</w:t>
            </w:r>
          </w:p>
        </w:tc>
        <w:tc>
          <w:tcPr>
            <w:tcW w:w="4508" w:type="dxa"/>
            <w:vAlign w:val="center"/>
          </w:tcPr>
          <w:p w14:paraId="423C2D52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K70.3, K71.7, K74, K76.1</w:t>
            </w:r>
          </w:p>
        </w:tc>
      </w:tr>
      <w:tr w:rsidR="00D41087" w:rsidRPr="00D41087" w14:paraId="3CE44215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2D3F1D33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Hepatic failure</w:t>
            </w:r>
          </w:p>
        </w:tc>
        <w:tc>
          <w:tcPr>
            <w:tcW w:w="4508" w:type="dxa"/>
            <w:vAlign w:val="center"/>
          </w:tcPr>
          <w:p w14:paraId="694FFE86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K70.4, K71.1, K72</w:t>
            </w:r>
          </w:p>
        </w:tc>
      </w:tr>
      <w:tr w:rsidR="00D41087" w:rsidRPr="00D41087" w14:paraId="2A3DDEE6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1BC7EC95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AIDS</w:t>
            </w:r>
          </w:p>
        </w:tc>
        <w:tc>
          <w:tcPr>
            <w:tcW w:w="4508" w:type="dxa"/>
            <w:vAlign w:val="center"/>
          </w:tcPr>
          <w:p w14:paraId="5FCBD882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B20-B24</w:t>
            </w:r>
          </w:p>
        </w:tc>
      </w:tr>
      <w:tr w:rsidR="00D41087" w:rsidRPr="00D41087" w14:paraId="538D1531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229CF812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Hemi/paraplegia</w:t>
            </w:r>
          </w:p>
        </w:tc>
        <w:tc>
          <w:tcPr>
            <w:tcW w:w="4508" w:type="dxa"/>
            <w:vAlign w:val="center"/>
          </w:tcPr>
          <w:p w14:paraId="7AE58E32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G04.1, G11.4, G81-82, I69.006, I69.106, I69.206, I69.306, I69.406</w:t>
            </w:r>
          </w:p>
        </w:tc>
      </w:tr>
      <w:tr w:rsidR="00D41087" w:rsidRPr="00D41087" w14:paraId="62265772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6672CA8C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Rheumatologic disease</w:t>
            </w:r>
          </w:p>
        </w:tc>
        <w:tc>
          <w:tcPr>
            <w:tcW w:w="4508" w:type="dxa"/>
            <w:vAlign w:val="center"/>
          </w:tcPr>
          <w:p w14:paraId="5CD13D37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M05, M06, M10, M12.0, M12.3, M30-M36</w:t>
            </w:r>
          </w:p>
        </w:tc>
      </w:tr>
      <w:tr w:rsidR="00D41087" w:rsidRPr="00D41087" w14:paraId="4CAD2D03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73F5A2E7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Dementia</w:t>
            </w:r>
          </w:p>
        </w:tc>
        <w:tc>
          <w:tcPr>
            <w:tcW w:w="4508" w:type="dxa"/>
            <w:vAlign w:val="center"/>
          </w:tcPr>
          <w:p w14:paraId="317766BD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F00-F03, F05.1, G31.82</w:t>
            </w:r>
          </w:p>
        </w:tc>
      </w:tr>
      <w:tr w:rsidR="00D41087" w:rsidRPr="00D41087" w14:paraId="111AFB9B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2AA4A974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Diabetes mellitus</w:t>
            </w:r>
          </w:p>
        </w:tc>
        <w:tc>
          <w:tcPr>
            <w:tcW w:w="4508" w:type="dxa"/>
            <w:vAlign w:val="center"/>
          </w:tcPr>
          <w:p w14:paraId="0A05870F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E10-E14</w:t>
            </w:r>
          </w:p>
        </w:tc>
      </w:tr>
      <w:tr w:rsidR="00D41087" w:rsidRPr="00D41087" w14:paraId="422EA2F2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533322C7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Diabetes mellitus with complications</w:t>
            </w:r>
          </w:p>
        </w:tc>
        <w:tc>
          <w:tcPr>
            <w:tcW w:w="4508" w:type="dxa"/>
            <w:vAlign w:val="center"/>
          </w:tcPr>
          <w:p w14:paraId="6BCA1258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E10.0-E10.8, E11.0-E11.8, E12.0-E12.8, E13.0-E13.8, E14.0-E14.8</w:t>
            </w:r>
          </w:p>
        </w:tc>
      </w:tr>
      <w:tr w:rsidR="00D41087" w:rsidRPr="00D41087" w14:paraId="14AA897F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122DE3D3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Chronic renal disease</w:t>
            </w:r>
          </w:p>
        </w:tc>
        <w:tc>
          <w:tcPr>
            <w:tcW w:w="4508" w:type="dxa"/>
            <w:vAlign w:val="center"/>
          </w:tcPr>
          <w:p w14:paraId="0589DB31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E10.22, E12.22, E13.22, E14.22, I12, I13</w:t>
            </w:r>
          </w:p>
        </w:tc>
      </w:tr>
      <w:tr w:rsidR="00D41087" w:rsidRPr="00D41087" w14:paraId="1FC889A5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6D69846E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Peptic ulcer disease</w:t>
            </w:r>
          </w:p>
        </w:tc>
        <w:tc>
          <w:tcPr>
            <w:tcW w:w="4508" w:type="dxa"/>
            <w:vAlign w:val="center"/>
          </w:tcPr>
          <w:p w14:paraId="040A721E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K27</w:t>
            </w:r>
          </w:p>
        </w:tc>
      </w:tr>
      <w:tr w:rsidR="00D41087" w:rsidRPr="00D41087" w14:paraId="59DCF6DB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6B5540E0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Glaucoma</w:t>
            </w:r>
          </w:p>
        </w:tc>
        <w:tc>
          <w:tcPr>
            <w:tcW w:w="4508" w:type="dxa"/>
            <w:vAlign w:val="center"/>
          </w:tcPr>
          <w:p w14:paraId="40A6CB95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H40, H42</w:t>
            </w:r>
          </w:p>
        </w:tc>
      </w:tr>
      <w:tr w:rsidR="00D41087" w:rsidRPr="00D41087" w14:paraId="5460F735" w14:textId="77777777" w:rsidTr="00D41087">
        <w:trPr>
          <w:trHeight w:val="340"/>
        </w:trPr>
        <w:tc>
          <w:tcPr>
            <w:tcW w:w="4508" w:type="dxa"/>
            <w:vAlign w:val="center"/>
          </w:tcPr>
          <w:p w14:paraId="0CF726B3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Age-related macular degeneration</w:t>
            </w:r>
          </w:p>
        </w:tc>
        <w:tc>
          <w:tcPr>
            <w:tcW w:w="4508" w:type="dxa"/>
            <w:vAlign w:val="center"/>
          </w:tcPr>
          <w:p w14:paraId="00944D2A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H35.30, H35.31, H35.39</w:t>
            </w:r>
          </w:p>
        </w:tc>
      </w:tr>
      <w:tr w:rsidR="00D41087" w:rsidRPr="00D41087" w14:paraId="28328D11" w14:textId="77777777" w:rsidTr="00D41087">
        <w:trPr>
          <w:trHeight w:val="340"/>
        </w:trPr>
        <w:tc>
          <w:tcPr>
            <w:tcW w:w="4508" w:type="dxa"/>
            <w:tcBorders>
              <w:bottom w:val="single" w:sz="4" w:space="0" w:color="auto"/>
            </w:tcBorders>
            <w:vAlign w:val="center"/>
          </w:tcPr>
          <w:p w14:paraId="26F899E1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Diabetes mellitus with ophthalmic manifestations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vAlign w:val="center"/>
          </w:tcPr>
          <w:p w14:paraId="2A3401B7" w14:textId="77777777" w:rsidR="00D41087" w:rsidRPr="00F00C95" w:rsidRDefault="00D41087" w:rsidP="00D41087">
            <w:pPr>
              <w:rPr>
                <w:rFonts w:ascii="Arial" w:hAnsi="Arial" w:cs="Arial"/>
                <w:sz w:val="18"/>
                <w:szCs w:val="18"/>
              </w:rPr>
            </w:pPr>
            <w:r w:rsidRPr="00F00C95">
              <w:rPr>
                <w:rFonts w:ascii="Arial" w:hAnsi="Arial" w:cs="Arial"/>
                <w:sz w:val="18"/>
                <w:szCs w:val="18"/>
              </w:rPr>
              <w:t>E10.3</w:t>
            </w:r>
            <w:r w:rsidRPr="00F00C95">
              <w:rPr>
                <w:rFonts w:ascii="Arial" w:hAnsi="Arial" w:cs="Arial"/>
                <w:sz w:val="18"/>
                <w:szCs w:val="18"/>
                <w:vertAlign w:val="superscript"/>
              </w:rPr>
              <w:t>†</w:t>
            </w:r>
            <w:r w:rsidRPr="00F00C95">
              <w:rPr>
                <w:rFonts w:ascii="Arial" w:hAnsi="Arial" w:cs="Arial"/>
                <w:sz w:val="18"/>
                <w:szCs w:val="18"/>
              </w:rPr>
              <w:t>, E11.3</w:t>
            </w:r>
            <w:r w:rsidRPr="00F00C95">
              <w:rPr>
                <w:rFonts w:ascii="Arial" w:hAnsi="Arial" w:cs="Arial"/>
                <w:sz w:val="18"/>
                <w:szCs w:val="18"/>
                <w:vertAlign w:val="superscript"/>
              </w:rPr>
              <w:t>†</w:t>
            </w:r>
            <w:r w:rsidRPr="00F00C95">
              <w:rPr>
                <w:rFonts w:ascii="Arial" w:hAnsi="Arial" w:cs="Arial"/>
                <w:sz w:val="18"/>
                <w:szCs w:val="18"/>
              </w:rPr>
              <w:t>, E12.3</w:t>
            </w:r>
            <w:r w:rsidRPr="00F00C95">
              <w:rPr>
                <w:rFonts w:ascii="Arial" w:hAnsi="Arial" w:cs="Arial"/>
                <w:sz w:val="18"/>
                <w:szCs w:val="18"/>
                <w:vertAlign w:val="superscript"/>
              </w:rPr>
              <w:t>†</w:t>
            </w:r>
            <w:r w:rsidRPr="00F00C95">
              <w:rPr>
                <w:rFonts w:ascii="Arial" w:hAnsi="Arial" w:cs="Arial"/>
                <w:sz w:val="18"/>
                <w:szCs w:val="18"/>
              </w:rPr>
              <w:t>, E13.3</w:t>
            </w:r>
            <w:r w:rsidRPr="00F00C95">
              <w:rPr>
                <w:rFonts w:ascii="Arial" w:hAnsi="Arial" w:cs="Arial"/>
                <w:sz w:val="18"/>
                <w:szCs w:val="18"/>
                <w:vertAlign w:val="superscript"/>
              </w:rPr>
              <w:t>†</w:t>
            </w:r>
            <w:r w:rsidRPr="00F00C95">
              <w:rPr>
                <w:rFonts w:ascii="Arial" w:hAnsi="Arial" w:cs="Arial"/>
                <w:sz w:val="18"/>
                <w:szCs w:val="18"/>
              </w:rPr>
              <w:t>, E14.3</w:t>
            </w:r>
            <w:r w:rsidRPr="00F00C95">
              <w:rPr>
                <w:rFonts w:ascii="Arial" w:hAnsi="Arial" w:cs="Arial"/>
                <w:sz w:val="18"/>
                <w:szCs w:val="18"/>
                <w:vertAlign w:val="superscript"/>
              </w:rPr>
              <w:t>†</w:t>
            </w:r>
          </w:p>
        </w:tc>
      </w:tr>
    </w:tbl>
    <w:p w14:paraId="365A98DF" w14:textId="77777777" w:rsidR="00D41087" w:rsidRPr="00D41087" w:rsidRDefault="00D41087" w:rsidP="00D4108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D41087">
        <w:rPr>
          <w:rFonts w:ascii="Arial" w:hAnsi="Arial" w:cs="Arial"/>
          <w:sz w:val="18"/>
          <w:szCs w:val="18"/>
        </w:rPr>
        <w:t>KCD, Korean Standard Classification of Diseases; AIDS, Acquired immune deficiency syndrome.</w:t>
      </w:r>
    </w:p>
    <w:p w14:paraId="4CA778BB" w14:textId="77777777" w:rsidR="00D41087" w:rsidRPr="00D41087" w:rsidRDefault="00D41087" w:rsidP="00D4108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D41087">
        <w:rPr>
          <w:rFonts w:ascii="Arial" w:hAnsi="Arial" w:cs="Arial"/>
          <w:sz w:val="18"/>
          <w:szCs w:val="18"/>
          <w:vertAlign w:val="superscript"/>
        </w:rPr>
        <w:t>†</w:t>
      </w:r>
      <w:r w:rsidRPr="00D41087">
        <w:rPr>
          <w:rFonts w:ascii="Arial" w:hAnsi="Arial" w:cs="Arial"/>
          <w:sz w:val="18"/>
          <w:szCs w:val="18"/>
        </w:rPr>
        <w:t>1,2,3,4,8.</w:t>
      </w:r>
    </w:p>
    <w:p w14:paraId="4FCF6FFB" w14:textId="77777777" w:rsidR="00D41087" w:rsidRPr="00D41087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6407C60D" w14:textId="77777777" w:rsidR="00D41087" w:rsidRPr="00D41087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1945C0B5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23FEAD62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7C4E42F8" w14:textId="77777777" w:rsidR="00D41087" w:rsidRPr="002B5194" w:rsidRDefault="00D41087" w:rsidP="00D41087">
      <w:pPr>
        <w:spacing w:after="0" w:line="240" w:lineRule="auto"/>
        <w:rPr>
          <w:rFonts w:ascii="Arial" w:hAnsi="Arial" w:cs="Arial"/>
          <w:szCs w:val="20"/>
        </w:rPr>
      </w:pPr>
    </w:p>
    <w:p w14:paraId="1DB4EF92" w14:textId="23E827C9" w:rsidR="004475AA" w:rsidRPr="00874014" w:rsidRDefault="004475AA" w:rsidP="00501073">
      <w:pPr>
        <w:wordWrap/>
        <w:spacing w:line="480" w:lineRule="auto"/>
        <w:rPr>
          <w:rFonts w:ascii="Arial" w:hAnsi="Arial" w:cs="Arial"/>
          <w:sz w:val="22"/>
        </w:rPr>
      </w:pPr>
    </w:p>
    <w:sectPr w:rsidR="004475AA" w:rsidRPr="00874014" w:rsidSect="00144BD4">
      <w:headerReference w:type="default" r:id="rId7"/>
      <w:pgSz w:w="12240" w:h="15840" w:code="1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DD68A5" w14:textId="77777777" w:rsidR="00C55A9B" w:rsidRDefault="00C55A9B" w:rsidP="00D1318F">
      <w:pPr>
        <w:spacing w:after="0" w:line="240" w:lineRule="auto"/>
      </w:pPr>
      <w:r>
        <w:separator/>
      </w:r>
    </w:p>
  </w:endnote>
  <w:endnote w:type="continuationSeparator" w:id="0">
    <w:p w14:paraId="0302C7B0" w14:textId="77777777" w:rsidR="00C55A9B" w:rsidRDefault="00C55A9B" w:rsidP="00D131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6F040E" w14:textId="77777777" w:rsidR="00C55A9B" w:rsidRDefault="00C55A9B" w:rsidP="00D1318F">
      <w:pPr>
        <w:spacing w:after="0" w:line="240" w:lineRule="auto"/>
      </w:pPr>
      <w:r>
        <w:separator/>
      </w:r>
    </w:p>
  </w:footnote>
  <w:footnote w:type="continuationSeparator" w:id="0">
    <w:p w14:paraId="54E7CC6F" w14:textId="77777777" w:rsidR="00C55A9B" w:rsidRDefault="00C55A9B" w:rsidP="00D131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31701643"/>
      <w:docPartObj>
        <w:docPartGallery w:val="Page Numbers (Top of Page)"/>
        <w:docPartUnique/>
      </w:docPartObj>
    </w:sdtPr>
    <w:sdtEndPr/>
    <w:sdtContent>
      <w:p w14:paraId="08494AF5" w14:textId="03BFDA2B" w:rsidR="00311D03" w:rsidRDefault="00311D03" w:rsidP="00D61089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56E2" w:rsidRPr="006856E2">
          <w:rPr>
            <w:noProof/>
            <w:lang w:val="ko-KR"/>
          </w:rPr>
          <w:t>2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131078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tific-Reports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wfefee5uex5scepwzdprzd8vxdzsee0vpaw&quot;&gt;Mortality_cataract_1204&lt;record-ids&gt;&lt;item&gt;2&lt;/item&gt;&lt;item&gt;3&lt;/item&gt;&lt;item&gt;4&lt;/item&gt;&lt;item&gt;5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2&lt;/item&gt;&lt;item&gt;33&lt;/item&gt;&lt;item&gt;34&lt;/item&gt;&lt;item&gt;35&lt;/item&gt;&lt;item&gt;36&lt;/item&gt;&lt;item&gt;38&lt;/item&gt;&lt;/record-ids&gt;&lt;/item&gt;&lt;/Libraries&gt;"/>
  </w:docVars>
  <w:rsids>
    <w:rsidRoot w:val="00C12E30"/>
    <w:rsid w:val="0000167C"/>
    <w:rsid w:val="00003CE7"/>
    <w:rsid w:val="000104DD"/>
    <w:rsid w:val="000126DF"/>
    <w:rsid w:val="00012F66"/>
    <w:rsid w:val="0001581B"/>
    <w:rsid w:val="00015FC0"/>
    <w:rsid w:val="00021B1E"/>
    <w:rsid w:val="00025B47"/>
    <w:rsid w:val="0003009C"/>
    <w:rsid w:val="000323FD"/>
    <w:rsid w:val="00041868"/>
    <w:rsid w:val="00047F70"/>
    <w:rsid w:val="00052EC8"/>
    <w:rsid w:val="0005465E"/>
    <w:rsid w:val="000658C6"/>
    <w:rsid w:val="00066098"/>
    <w:rsid w:val="00066551"/>
    <w:rsid w:val="00067894"/>
    <w:rsid w:val="00071A8D"/>
    <w:rsid w:val="00071FA4"/>
    <w:rsid w:val="00073F6B"/>
    <w:rsid w:val="00081B94"/>
    <w:rsid w:val="0008259D"/>
    <w:rsid w:val="0009351A"/>
    <w:rsid w:val="00095901"/>
    <w:rsid w:val="000A0890"/>
    <w:rsid w:val="000A1864"/>
    <w:rsid w:val="000B13B0"/>
    <w:rsid w:val="000C0CE4"/>
    <w:rsid w:val="000D1962"/>
    <w:rsid w:val="000E2567"/>
    <w:rsid w:val="000E29B5"/>
    <w:rsid w:val="000E2A77"/>
    <w:rsid w:val="000E2DE6"/>
    <w:rsid w:val="000E3E63"/>
    <w:rsid w:val="000E4F83"/>
    <w:rsid w:val="000E54C8"/>
    <w:rsid w:val="000F5836"/>
    <w:rsid w:val="0010083B"/>
    <w:rsid w:val="00102365"/>
    <w:rsid w:val="001063AD"/>
    <w:rsid w:val="001065B1"/>
    <w:rsid w:val="0012075C"/>
    <w:rsid w:val="00120BC4"/>
    <w:rsid w:val="001254A8"/>
    <w:rsid w:val="00126EF3"/>
    <w:rsid w:val="001276BF"/>
    <w:rsid w:val="001302A1"/>
    <w:rsid w:val="00131BCA"/>
    <w:rsid w:val="001338C3"/>
    <w:rsid w:val="0014183E"/>
    <w:rsid w:val="00144BD4"/>
    <w:rsid w:val="0015484B"/>
    <w:rsid w:val="0015557E"/>
    <w:rsid w:val="00155B97"/>
    <w:rsid w:val="00157C32"/>
    <w:rsid w:val="00160ECC"/>
    <w:rsid w:val="0016554F"/>
    <w:rsid w:val="00165E84"/>
    <w:rsid w:val="00175245"/>
    <w:rsid w:val="00180146"/>
    <w:rsid w:val="00181334"/>
    <w:rsid w:val="00187598"/>
    <w:rsid w:val="0019253B"/>
    <w:rsid w:val="00196AA4"/>
    <w:rsid w:val="001A1C2A"/>
    <w:rsid w:val="001A2DB5"/>
    <w:rsid w:val="001A4D20"/>
    <w:rsid w:val="001A7920"/>
    <w:rsid w:val="001B1778"/>
    <w:rsid w:val="001B6921"/>
    <w:rsid w:val="001C4257"/>
    <w:rsid w:val="001C49C4"/>
    <w:rsid w:val="001C67BC"/>
    <w:rsid w:val="001D0D16"/>
    <w:rsid w:val="001D53D1"/>
    <w:rsid w:val="001E1520"/>
    <w:rsid w:val="001E5C7A"/>
    <w:rsid w:val="001F40A4"/>
    <w:rsid w:val="001F50D8"/>
    <w:rsid w:val="00214BB6"/>
    <w:rsid w:val="002173FE"/>
    <w:rsid w:val="00222131"/>
    <w:rsid w:val="002223F6"/>
    <w:rsid w:val="00222DAB"/>
    <w:rsid w:val="00224843"/>
    <w:rsid w:val="002258E2"/>
    <w:rsid w:val="00225FFE"/>
    <w:rsid w:val="00226AAA"/>
    <w:rsid w:val="002304B5"/>
    <w:rsid w:val="0023358D"/>
    <w:rsid w:val="00233EED"/>
    <w:rsid w:val="0023549D"/>
    <w:rsid w:val="002372A0"/>
    <w:rsid w:val="00240777"/>
    <w:rsid w:val="00240A39"/>
    <w:rsid w:val="00243B02"/>
    <w:rsid w:val="00250CBC"/>
    <w:rsid w:val="002616B5"/>
    <w:rsid w:val="00263384"/>
    <w:rsid w:val="002726F9"/>
    <w:rsid w:val="00273DC5"/>
    <w:rsid w:val="002804F5"/>
    <w:rsid w:val="00284CA7"/>
    <w:rsid w:val="0028550E"/>
    <w:rsid w:val="0028775A"/>
    <w:rsid w:val="00292B8D"/>
    <w:rsid w:val="00296A38"/>
    <w:rsid w:val="00297818"/>
    <w:rsid w:val="002B4CE5"/>
    <w:rsid w:val="002B5811"/>
    <w:rsid w:val="002B65C8"/>
    <w:rsid w:val="002C518A"/>
    <w:rsid w:val="002C7427"/>
    <w:rsid w:val="002D7EF2"/>
    <w:rsid w:val="002F232E"/>
    <w:rsid w:val="002F4E9B"/>
    <w:rsid w:val="002F61F4"/>
    <w:rsid w:val="00311D03"/>
    <w:rsid w:val="00313F4F"/>
    <w:rsid w:val="0031564A"/>
    <w:rsid w:val="00326D89"/>
    <w:rsid w:val="00336819"/>
    <w:rsid w:val="00336C79"/>
    <w:rsid w:val="00337F3E"/>
    <w:rsid w:val="00343F08"/>
    <w:rsid w:val="00345170"/>
    <w:rsid w:val="00352D28"/>
    <w:rsid w:val="0036347B"/>
    <w:rsid w:val="003640F4"/>
    <w:rsid w:val="00377C25"/>
    <w:rsid w:val="00382D4B"/>
    <w:rsid w:val="00387384"/>
    <w:rsid w:val="00387B6D"/>
    <w:rsid w:val="00391B55"/>
    <w:rsid w:val="00393E58"/>
    <w:rsid w:val="0039500F"/>
    <w:rsid w:val="003A2D86"/>
    <w:rsid w:val="003A3F1A"/>
    <w:rsid w:val="003A4DF2"/>
    <w:rsid w:val="003A5811"/>
    <w:rsid w:val="003B04E8"/>
    <w:rsid w:val="003B3752"/>
    <w:rsid w:val="003C3CAD"/>
    <w:rsid w:val="003D1CE8"/>
    <w:rsid w:val="003D203F"/>
    <w:rsid w:val="003D5569"/>
    <w:rsid w:val="003D675F"/>
    <w:rsid w:val="003E20AB"/>
    <w:rsid w:val="003E6705"/>
    <w:rsid w:val="003E77CC"/>
    <w:rsid w:val="0041218F"/>
    <w:rsid w:val="0041728B"/>
    <w:rsid w:val="00423237"/>
    <w:rsid w:val="004250BA"/>
    <w:rsid w:val="004340BA"/>
    <w:rsid w:val="004414C9"/>
    <w:rsid w:val="00444EB5"/>
    <w:rsid w:val="004475AA"/>
    <w:rsid w:val="00447EB4"/>
    <w:rsid w:val="00452031"/>
    <w:rsid w:val="00454099"/>
    <w:rsid w:val="00454BF1"/>
    <w:rsid w:val="00455F9F"/>
    <w:rsid w:val="004612BE"/>
    <w:rsid w:val="004638FB"/>
    <w:rsid w:val="00465C04"/>
    <w:rsid w:val="00474B11"/>
    <w:rsid w:val="0047773A"/>
    <w:rsid w:val="00477BA2"/>
    <w:rsid w:val="004850FB"/>
    <w:rsid w:val="004854FD"/>
    <w:rsid w:val="00486080"/>
    <w:rsid w:val="0049197C"/>
    <w:rsid w:val="00492232"/>
    <w:rsid w:val="00492253"/>
    <w:rsid w:val="00492EF9"/>
    <w:rsid w:val="00495AD6"/>
    <w:rsid w:val="00497C14"/>
    <w:rsid w:val="004A4A5E"/>
    <w:rsid w:val="004B120C"/>
    <w:rsid w:val="004B5096"/>
    <w:rsid w:val="004B568C"/>
    <w:rsid w:val="004B6FA6"/>
    <w:rsid w:val="004B7E4E"/>
    <w:rsid w:val="004C5FEA"/>
    <w:rsid w:val="004D3F5D"/>
    <w:rsid w:val="004D7134"/>
    <w:rsid w:val="004E15A6"/>
    <w:rsid w:val="004E673E"/>
    <w:rsid w:val="004F799F"/>
    <w:rsid w:val="00501073"/>
    <w:rsid w:val="0050477C"/>
    <w:rsid w:val="0050793D"/>
    <w:rsid w:val="00507984"/>
    <w:rsid w:val="0051552D"/>
    <w:rsid w:val="00516228"/>
    <w:rsid w:val="0052282A"/>
    <w:rsid w:val="00527DEF"/>
    <w:rsid w:val="005309B0"/>
    <w:rsid w:val="0053453B"/>
    <w:rsid w:val="00535A46"/>
    <w:rsid w:val="00536980"/>
    <w:rsid w:val="005455EC"/>
    <w:rsid w:val="00563557"/>
    <w:rsid w:val="005730E6"/>
    <w:rsid w:val="00574674"/>
    <w:rsid w:val="00594501"/>
    <w:rsid w:val="005A51D9"/>
    <w:rsid w:val="005B6899"/>
    <w:rsid w:val="005C02D3"/>
    <w:rsid w:val="005C327F"/>
    <w:rsid w:val="005C51D2"/>
    <w:rsid w:val="005C799D"/>
    <w:rsid w:val="005D05DD"/>
    <w:rsid w:val="005D243C"/>
    <w:rsid w:val="005D3778"/>
    <w:rsid w:val="005D64BC"/>
    <w:rsid w:val="005E0902"/>
    <w:rsid w:val="005F78CD"/>
    <w:rsid w:val="006119F4"/>
    <w:rsid w:val="00611F15"/>
    <w:rsid w:val="00624D4A"/>
    <w:rsid w:val="00633D60"/>
    <w:rsid w:val="00636900"/>
    <w:rsid w:val="00637324"/>
    <w:rsid w:val="006421AD"/>
    <w:rsid w:val="00642FA0"/>
    <w:rsid w:val="0065017E"/>
    <w:rsid w:val="00651397"/>
    <w:rsid w:val="0065733D"/>
    <w:rsid w:val="00657CCB"/>
    <w:rsid w:val="00661729"/>
    <w:rsid w:val="0066334A"/>
    <w:rsid w:val="00665475"/>
    <w:rsid w:val="00666743"/>
    <w:rsid w:val="00670BCF"/>
    <w:rsid w:val="0067652B"/>
    <w:rsid w:val="00680FA9"/>
    <w:rsid w:val="0068302D"/>
    <w:rsid w:val="006856E2"/>
    <w:rsid w:val="0069097C"/>
    <w:rsid w:val="006926ED"/>
    <w:rsid w:val="006954FE"/>
    <w:rsid w:val="00696EA4"/>
    <w:rsid w:val="006A1925"/>
    <w:rsid w:val="006A3974"/>
    <w:rsid w:val="006A631A"/>
    <w:rsid w:val="006A7785"/>
    <w:rsid w:val="006A7D09"/>
    <w:rsid w:val="006B0B56"/>
    <w:rsid w:val="006B2769"/>
    <w:rsid w:val="006B5B77"/>
    <w:rsid w:val="006B7798"/>
    <w:rsid w:val="006C1286"/>
    <w:rsid w:val="006C1A3D"/>
    <w:rsid w:val="006C4219"/>
    <w:rsid w:val="006C5FD4"/>
    <w:rsid w:val="006D07B1"/>
    <w:rsid w:val="006D788F"/>
    <w:rsid w:val="006E3B67"/>
    <w:rsid w:val="006F13A4"/>
    <w:rsid w:val="006F38D2"/>
    <w:rsid w:val="00701686"/>
    <w:rsid w:val="00701F9E"/>
    <w:rsid w:val="00713016"/>
    <w:rsid w:val="00713B7A"/>
    <w:rsid w:val="0071538A"/>
    <w:rsid w:val="00722B93"/>
    <w:rsid w:val="00724CDD"/>
    <w:rsid w:val="00725CCF"/>
    <w:rsid w:val="0073093A"/>
    <w:rsid w:val="0073725E"/>
    <w:rsid w:val="0075008C"/>
    <w:rsid w:val="00750E5D"/>
    <w:rsid w:val="00751438"/>
    <w:rsid w:val="00751FA6"/>
    <w:rsid w:val="00752CCB"/>
    <w:rsid w:val="00755768"/>
    <w:rsid w:val="007638BD"/>
    <w:rsid w:val="00765ADF"/>
    <w:rsid w:val="00770601"/>
    <w:rsid w:val="00770D09"/>
    <w:rsid w:val="0077291E"/>
    <w:rsid w:val="007770DE"/>
    <w:rsid w:val="00794A91"/>
    <w:rsid w:val="007961B2"/>
    <w:rsid w:val="00797EF3"/>
    <w:rsid w:val="007A7FAE"/>
    <w:rsid w:val="007B10A4"/>
    <w:rsid w:val="007B2829"/>
    <w:rsid w:val="007C25E0"/>
    <w:rsid w:val="007C7891"/>
    <w:rsid w:val="007D1BCD"/>
    <w:rsid w:val="007D2DA0"/>
    <w:rsid w:val="007D715D"/>
    <w:rsid w:val="007D7798"/>
    <w:rsid w:val="007E0E87"/>
    <w:rsid w:val="007E2951"/>
    <w:rsid w:val="007E71AD"/>
    <w:rsid w:val="007F016F"/>
    <w:rsid w:val="007F2264"/>
    <w:rsid w:val="007F30BE"/>
    <w:rsid w:val="00800254"/>
    <w:rsid w:val="008065F0"/>
    <w:rsid w:val="00813182"/>
    <w:rsid w:val="00813A49"/>
    <w:rsid w:val="00814524"/>
    <w:rsid w:val="00815237"/>
    <w:rsid w:val="00824367"/>
    <w:rsid w:val="00830169"/>
    <w:rsid w:val="00832AAC"/>
    <w:rsid w:val="00841646"/>
    <w:rsid w:val="00843619"/>
    <w:rsid w:val="0085753D"/>
    <w:rsid w:val="0086320C"/>
    <w:rsid w:val="008632FA"/>
    <w:rsid w:val="008638AD"/>
    <w:rsid w:val="008663B4"/>
    <w:rsid w:val="008702D4"/>
    <w:rsid w:val="00873267"/>
    <w:rsid w:val="00873D3E"/>
    <w:rsid w:val="00874014"/>
    <w:rsid w:val="00874324"/>
    <w:rsid w:val="00876D0B"/>
    <w:rsid w:val="00876F73"/>
    <w:rsid w:val="008832AF"/>
    <w:rsid w:val="0088530E"/>
    <w:rsid w:val="00892C07"/>
    <w:rsid w:val="00893A49"/>
    <w:rsid w:val="00895CE5"/>
    <w:rsid w:val="00896298"/>
    <w:rsid w:val="00897713"/>
    <w:rsid w:val="008A5468"/>
    <w:rsid w:val="008B002A"/>
    <w:rsid w:val="008B3A08"/>
    <w:rsid w:val="008C0B8B"/>
    <w:rsid w:val="008C0BC6"/>
    <w:rsid w:val="008C1161"/>
    <w:rsid w:val="008C3C11"/>
    <w:rsid w:val="008C51D4"/>
    <w:rsid w:val="008D2872"/>
    <w:rsid w:val="008D4666"/>
    <w:rsid w:val="008D6555"/>
    <w:rsid w:val="008D6DCD"/>
    <w:rsid w:val="008E7E4E"/>
    <w:rsid w:val="008F3C55"/>
    <w:rsid w:val="008F488F"/>
    <w:rsid w:val="00900C0B"/>
    <w:rsid w:val="00903411"/>
    <w:rsid w:val="00903AB7"/>
    <w:rsid w:val="009047ED"/>
    <w:rsid w:val="00905331"/>
    <w:rsid w:val="00914C3A"/>
    <w:rsid w:val="00916D1F"/>
    <w:rsid w:val="009218CF"/>
    <w:rsid w:val="00930E6D"/>
    <w:rsid w:val="00935226"/>
    <w:rsid w:val="009400A0"/>
    <w:rsid w:val="00941FFC"/>
    <w:rsid w:val="00943288"/>
    <w:rsid w:val="009459FA"/>
    <w:rsid w:val="00951E81"/>
    <w:rsid w:val="00953AB8"/>
    <w:rsid w:val="009561C1"/>
    <w:rsid w:val="00962869"/>
    <w:rsid w:val="00981816"/>
    <w:rsid w:val="00981A97"/>
    <w:rsid w:val="009838D5"/>
    <w:rsid w:val="00990356"/>
    <w:rsid w:val="009907BB"/>
    <w:rsid w:val="00994AB1"/>
    <w:rsid w:val="00997490"/>
    <w:rsid w:val="009A2B19"/>
    <w:rsid w:val="009B45A4"/>
    <w:rsid w:val="009C0B32"/>
    <w:rsid w:val="009C5B4C"/>
    <w:rsid w:val="009D0F80"/>
    <w:rsid w:val="009E02AC"/>
    <w:rsid w:val="009E1D07"/>
    <w:rsid w:val="009F091F"/>
    <w:rsid w:val="009F1DB0"/>
    <w:rsid w:val="009F781C"/>
    <w:rsid w:val="00A109AC"/>
    <w:rsid w:val="00A14B16"/>
    <w:rsid w:val="00A15B61"/>
    <w:rsid w:val="00A25882"/>
    <w:rsid w:val="00A32264"/>
    <w:rsid w:val="00A32A25"/>
    <w:rsid w:val="00A34E97"/>
    <w:rsid w:val="00A37997"/>
    <w:rsid w:val="00A40BAE"/>
    <w:rsid w:val="00A41463"/>
    <w:rsid w:val="00A426A7"/>
    <w:rsid w:val="00A457D8"/>
    <w:rsid w:val="00A45DEE"/>
    <w:rsid w:val="00A52C79"/>
    <w:rsid w:val="00A5747E"/>
    <w:rsid w:val="00A60376"/>
    <w:rsid w:val="00A60997"/>
    <w:rsid w:val="00A60B99"/>
    <w:rsid w:val="00A60DD1"/>
    <w:rsid w:val="00A61354"/>
    <w:rsid w:val="00A64E9C"/>
    <w:rsid w:val="00A71C35"/>
    <w:rsid w:val="00A77596"/>
    <w:rsid w:val="00A77612"/>
    <w:rsid w:val="00A8057B"/>
    <w:rsid w:val="00A955F8"/>
    <w:rsid w:val="00AA4265"/>
    <w:rsid w:val="00AB1EAF"/>
    <w:rsid w:val="00AC0C54"/>
    <w:rsid w:val="00AD2CA8"/>
    <w:rsid w:val="00AD6901"/>
    <w:rsid w:val="00AE1F2F"/>
    <w:rsid w:val="00AE521E"/>
    <w:rsid w:val="00AF2B8D"/>
    <w:rsid w:val="00AF389A"/>
    <w:rsid w:val="00AF5A96"/>
    <w:rsid w:val="00B01E3E"/>
    <w:rsid w:val="00B057EA"/>
    <w:rsid w:val="00B0624E"/>
    <w:rsid w:val="00B1166D"/>
    <w:rsid w:val="00B17537"/>
    <w:rsid w:val="00B176BA"/>
    <w:rsid w:val="00B207DB"/>
    <w:rsid w:val="00B2588E"/>
    <w:rsid w:val="00B27E71"/>
    <w:rsid w:val="00B305AB"/>
    <w:rsid w:val="00B415EC"/>
    <w:rsid w:val="00B41863"/>
    <w:rsid w:val="00B41A38"/>
    <w:rsid w:val="00B424EC"/>
    <w:rsid w:val="00B50721"/>
    <w:rsid w:val="00B52F45"/>
    <w:rsid w:val="00B539C9"/>
    <w:rsid w:val="00B55B2D"/>
    <w:rsid w:val="00B573B6"/>
    <w:rsid w:val="00B61802"/>
    <w:rsid w:val="00B71CE7"/>
    <w:rsid w:val="00B82F6F"/>
    <w:rsid w:val="00B8329B"/>
    <w:rsid w:val="00B91F60"/>
    <w:rsid w:val="00B92C48"/>
    <w:rsid w:val="00B94881"/>
    <w:rsid w:val="00B96264"/>
    <w:rsid w:val="00B962BC"/>
    <w:rsid w:val="00B979F6"/>
    <w:rsid w:val="00BA3ECC"/>
    <w:rsid w:val="00BA5EA0"/>
    <w:rsid w:val="00BB040A"/>
    <w:rsid w:val="00BB29D8"/>
    <w:rsid w:val="00BB6957"/>
    <w:rsid w:val="00BC0F3A"/>
    <w:rsid w:val="00BC2DE0"/>
    <w:rsid w:val="00BC55D2"/>
    <w:rsid w:val="00BC5A88"/>
    <w:rsid w:val="00BC7519"/>
    <w:rsid w:val="00BE06BA"/>
    <w:rsid w:val="00BE2A40"/>
    <w:rsid w:val="00BE4090"/>
    <w:rsid w:val="00BF2A7E"/>
    <w:rsid w:val="00BF5567"/>
    <w:rsid w:val="00BF5790"/>
    <w:rsid w:val="00BF75CF"/>
    <w:rsid w:val="00C07169"/>
    <w:rsid w:val="00C11EBB"/>
    <w:rsid w:val="00C12E30"/>
    <w:rsid w:val="00C31A72"/>
    <w:rsid w:val="00C352B1"/>
    <w:rsid w:val="00C355BC"/>
    <w:rsid w:val="00C36103"/>
    <w:rsid w:val="00C37ECA"/>
    <w:rsid w:val="00C41752"/>
    <w:rsid w:val="00C46C80"/>
    <w:rsid w:val="00C47202"/>
    <w:rsid w:val="00C513A3"/>
    <w:rsid w:val="00C514B7"/>
    <w:rsid w:val="00C54631"/>
    <w:rsid w:val="00C55A9B"/>
    <w:rsid w:val="00C56116"/>
    <w:rsid w:val="00C5668F"/>
    <w:rsid w:val="00C64A78"/>
    <w:rsid w:val="00C659A1"/>
    <w:rsid w:val="00C660D8"/>
    <w:rsid w:val="00C72D49"/>
    <w:rsid w:val="00C75FDF"/>
    <w:rsid w:val="00C84782"/>
    <w:rsid w:val="00C85214"/>
    <w:rsid w:val="00C86B80"/>
    <w:rsid w:val="00CA7561"/>
    <w:rsid w:val="00CB531A"/>
    <w:rsid w:val="00CB695E"/>
    <w:rsid w:val="00CC0E28"/>
    <w:rsid w:val="00CC1D79"/>
    <w:rsid w:val="00CD4172"/>
    <w:rsid w:val="00CD6194"/>
    <w:rsid w:val="00CD7CFA"/>
    <w:rsid w:val="00CF361F"/>
    <w:rsid w:val="00CF4D2B"/>
    <w:rsid w:val="00CF6E1F"/>
    <w:rsid w:val="00D06BF9"/>
    <w:rsid w:val="00D07128"/>
    <w:rsid w:val="00D07D42"/>
    <w:rsid w:val="00D1318F"/>
    <w:rsid w:val="00D1346E"/>
    <w:rsid w:val="00D142B6"/>
    <w:rsid w:val="00D209E1"/>
    <w:rsid w:val="00D20F24"/>
    <w:rsid w:val="00D270CC"/>
    <w:rsid w:val="00D3689A"/>
    <w:rsid w:val="00D41087"/>
    <w:rsid w:val="00D42E96"/>
    <w:rsid w:val="00D430C8"/>
    <w:rsid w:val="00D5040A"/>
    <w:rsid w:val="00D5460B"/>
    <w:rsid w:val="00D54DCA"/>
    <w:rsid w:val="00D550B2"/>
    <w:rsid w:val="00D61089"/>
    <w:rsid w:val="00D706D1"/>
    <w:rsid w:val="00D84FEC"/>
    <w:rsid w:val="00D86162"/>
    <w:rsid w:val="00D86F3B"/>
    <w:rsid w:val="00DA3A1F"/>
    <w:rsid w:val="00DA6153"/>
    <w:rsid w:val="00DA68D0"/>
    <w:rsid w:val="00DB6A74"/>
    <w:rsid w:val="00DC0C73"/>
    <w:rsid w:val="00DC5CB3"/>
    <w:rsid w:val="00DD405A"/>
    <w:rsid w:val="00DD5BAB"/>
    <w:rsid w:val="00DD78B2"/>
    <w:rsid w:val="00DE0098"/>
    <w:rsid w:val="00DE29F7"/>
    <w:rsid w:val="00DF1C1D"/>
    <w:rsid w:val="00DF3D74"/>
    <w:rsid w:val="00E10F1E"/>
    <w:rsid w:val="00E1129D"/>
    <w:rsid w:val="00E11B1C"/>
    <w:rsid w:val="00E12C04"/>
    <w:rsid w:val="00E131B8"/>
    <w:rsid w:val="00E24B92"/>
    <w:rsid w:val="00E2595A"/>
    <w:rsid w:val="00E26051"/>
    <w:rsid w:val="00E27197"/>
    <w:rsid w:val="00E310C3"/>
    <w:rsid w:val="00E354D8"/>
    <w:rsid w:val="00E55A1B"/>
    <w:rsid w:val="00E60E04"/>
    <w:rsid w:val="00E62644"/>
    <w:rsid w:val="00E7160A"/>
    <w:rsid w:val="00E71CF2"/>
    <w:rsid w:val="00E721D6"/>
    <w:rsid w:val="00E8370D"/>
    <w:rsid w:val="00E921A5"/>
    <w:rsid w:val="00E961FF"/>
    <w:rsid w:val="00EA13A9"/>
    <w:rsid w:val="00EA3DB3"/>
    <w:rsid w:val="00EB5F99"/>
    <w:rsid w:val="00EB664E"/>
    <w:rsid w:val="00EC482B"/>
    <w:rsid w:val="00EC53C5"/>
    <w:rsid w:val="00EC6C9F"/>
    <w:rsid w:val="00ED224B"/>
    <w:rsid w:val="00ED7D6D"/>
    <w:rsid w:val="00EE4810"/>
    <w:rsid w:val="00EE5B6C"/>
    <w:rsid w:val="00EF2B92"/>
    <w:rsid w:val="00EF2D2E"/>
    <w:rsid w:val="00EF4FBB"/>
    <w:rsid w:val="00EF5C17"/>
    <w:rsid w:val="00F00C95"/>
    <w:rsid w:val="00F0295F"/>
    <w:rsid w:val="00F02DA4"/>
    <w:rsid w:val="00F16731"/>
    <w:rsid w:val="00F20324"/>
    <w:rsid w:val="00F20819"/>
    <w:rsid w:val="00F25AEE"/>
    <w:rsid w:val="00F26164"/>
    <w:rsid w:val="00F2700A"/>
    <w:rsid w:val="00F316DC"/>
    <w:rsid w:val="00F3251D"/>
    <w:rsid w:val="00F34F08"/>
    <w:rsid w:val="00F40810"/>
    <w:rsid w:val="00F45960"/>
    <w:rsid w:val="00F51F7F"/>
    <w:rsid w:val="00F52E65"/>
    <w:rsid w:val="00F629B8"/>
    <w:rsid w:val="00F71913"/>
    <w:rsid w:val="00F74B05"/>
    <w:rsid w:val="00F903F2"/>
    <w:rsid w:val="00FA1A4C"/>
    <w:rsid w:val="00FB2B70"/>
    <w:rsid w:val="00FB358E"/>
    <w:rsid w:val="00FB6ADE"/>
    <w:rsid w:val="00FC1889"/>
    <w:rsid w:val="00FC3C46"/>
    <w:rsid w:val="00FD5CFF"/>
    <w:rsid w:val="00FD683D"/>
    <w:rsid w:val="00FF1042"/>
    <w:rsid w:val="00FF1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FFAA09"/>
  <w15:chartTrackingRefBased/>
  <w15:docId w15:val="{DF7C26FC-8E18-4B81-9B00-F2525AB27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6AAA"/>
    <w:pPr>
      <w:widowControl w:val="0"/>
      <w:wordWrap w:val="0"/>
      <w:autoSpaceDE w:val="0"/>
      <w:autoSpaceDN w:val="0"/>
    </w:pPr>
  </w:style>
  <w:style w:type="paragraph" w:styleId="Heading2">
    <w:name w:val="heading 2"/>
    <w:basedOn w:val="Normal"/>
    <w:link w:val="Heading2Char"/>
    <w:uiPriority w:val="9"/>
    <w:qFormat/>
    <w:rsid w:val="001276BF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ja-JP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6098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7D0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F71913"/>
    <w:pPr>
      <w:spacing w:after="0"/>
      <w:jc w:val="center"/>
    </w:pPr>
    <w:rPr>
      <w:rFonts w:ascii="Malgun Gothic" w:eastAsia="Malgun Gothic" w:hAnsi="Malgun Gothic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71913"/>
    <w:rPr>
      <w:rFonts w:ascii="Malgun Gothic" w:eastAsia="Malgun Gothic" w:hAnsi="Malgun Gothic"/>
      <w:noProof/>
    </w:rPr>
  </w:style>
  <w:style w:type="paragraph" w:customStyle="1" w:styleId="EndNoteBibliography">
    <w:name w:val="EndNote Bibliography"/>
    <w:basedOn w:val="Normal"/>
    <w:link w:val="EndNoteBibliographyChar"/>
    <w:rsid w:val="00F71913"/>
    <w:pPr>
      <w:spacing w:line="240" w:lineRule="auto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71913"/>
    <w:rPr>
      <w:rFonts w:ascii="Malgun Gothic" w:eastAsia="Malgun Gothic" w:hAnsi="Malgun Gothic"/>
      <w:noProof/>
    </w:rPr>
  </w:style>
  <w:style w:type="paragraph" w:customStyle="1" w:styleId="a">
    <w:name w:val="바탕글"/>
    <w:basedOn w:val="Normal"/>
    <w:rsid w:val="00713016"/>
    <w:pPr>
      <w:spacing w:after="0" w:line="384" w:lineRule="auto"/>
      <w:textAlignment w:val="baseline"/>
    </w:pPr>
    <w:rPr>
      <w:rFonts w:ascii="Gulim" w:eastAsia="Gulim" w:hAnsi="Gulim" w:cs="Gulim"/>
      <w:color w:val="000000"/>
      <w:kern w:val="0"/>
      <w:szCs w:val="20"/>
    </w:rPr>
  </w:style>
  <w:style w:type="paragraph" w:styleId="Header">
    <w:name w:val="header"/>
    <w:basedOn w:val="Normal"/>
    <w:link w:val="HeaderChar"/>
    <w:uiPriority w:val="99"/>
    <w:unhideWhenUsed/>
    <w:rsid w:val="00D1318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D1318F"/>
  </w:style>
  <w:style w:type="paragraph" w:styleId="Footer">
    <w:name w:val="footer"/>
    <w:basedOn w:val="Normal"/>
    <w:link w:val="FooterChar"/>
    <w:uiPriority w:val="99"/>
    <w:unhideWhenUsed/>
    <w:rsid w:val="00D1318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D1318F"/>
  </w:style>
  <w:style w:type="paragraph" w:styleId="BalloonText">
    <w:name w:val="Balloon Text"/>
    <w:basedOn w:val="Normal"/>
    <w:link w:val="BalloonTextChar"/>
    <w:uiPriority w:val="99"/>
    <w:semiHidden/>
    <w:unhideWhenUsed/>
    <w:rsid w:val="0056355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557"/>
    <w:rPr>
      <w:rFonts w:asciiTheme="majorHAnsi" w:eastAsiaTheme="majorEastAsia" w:hAnsiTheme="majorHAnsi" w:cstheme="majorBidi"/>
      <w:sz w:val="18"/>
      <w:szCs w:val="18"/>
    </w:rPr>
  </w:style>
  <w:style w:type="character" w:styleId="CommentReference">
    <w:name w:val="annotation reference"/>
    <w:basedOn w:val="DefaultParagraphFont"/>
    <w:uiPriority w:val="99"/>
    <w:unhideWhenUsed/>
    <w:rsid w:val="00273D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73DC5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73DC5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3D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3DC5"/>
    <w:rPr>
      <w:b/>
      <w:bCs/>
      <w:szCs w:val="20"/>
    </w:rPr>
  </w:style>
  <w:style w:type="paragraph" w:styleId="Revision">
    <w:name w:val="Revision"/>
    <w:hidden/>
    <w:uiPriority w:val="99"/>
    <w:semiHidden/>
    <w:rsid w:val="00E12C04"/>
    <w:pPr>
      <w:spacing w:after="0" w:line="240" w:lineRule="auto"/>
      <w:jc w:val="left"/>
    </w:pPr>
  </w:style>
  <w:style w:type="character" w:customStyle="1" w:styleId="Heading2Char">
    <w:name w:val="Heading 2 Char"/>
    <w:basedOn w:val="DefaultParagraphFont"/>
    <w:link w:val="Heading2"/>
    <w:uiPriority w:val="9"/>
    <w:rsid w:val="001276BF"/>
    <w:rPr>
      <w:rFonts w:ascii="Times New Roman" w:eastAsia="Times New Roman" w:hAnsi="Times New Roman" w:cs="Times New Roman"/>
      <w:b/>
      <w:bCs/>
      <w:kern w:val="0"/>
      <w:sz w:val="36"/>
      <w:szCs w:val="36"/>
      <w:lang w:eastAsia="ja-JP"/>
    </w:rPr>
  </w:style>
  <w:style w:type="character" w:styleId="Strong">
    <w:name w:val="Strong"/>
    <w:basedOn w:val="DefaultParagraphFont"/>
    <w:uiPriority w:val="22"/>
    <w:qFormat/>
    <w:rsid w:val="001276BF"/>
    <w:rPr>
      <w:b/>
      <w:bCs/>
    </w:rPr>
  </w:style>
  <w:style w:type="paragraph" w:styleId="NormalWeb">
    <w:name w:val="Normal (Web)"/>
    <w:basedOn w:val="Normal"/>
    <w:uiPriority w:val="99"/>
    <w:unhideWhenUsed/>
    <w:rsid w:val="001276B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ja-JP"/>
    </w:rPr>
  </w:style>
  <w:style w:type="character" w:styleId="Hyperlink">
    <w:name w:val="Hyperlink"/>
    <w:basedOn w:val="DefaultParagraphFont"/>
    <w:uiPriority w:val="99"/>
    <w:unhideWhenUsed/>
    <w:rsid w:val="001276BF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1276BF"/>
    <w:rPr>
      <w:i/>
      <w:i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276BF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7D0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9561C1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D61089"/>
  </w:style>
  <w:style w:type="table" w:styleId="TableGrid">
    <w:name w:val="Table Grid"/>
    <w:basedOn w:val="TableNormal"/>
    <w:uiPriority w:val="39"/>
    <w:rsid w:val="005730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C7891"/>
    <w:pPr>
      <w:ind w:leftChars="400" w:left="800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066098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6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9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069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0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6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385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84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0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3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848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9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4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8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4960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8983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0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66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3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3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078772-66D0-4800-A0A3-FC0618E23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445</Words>
  <Characters>2540</Characters>
  <Application>Microsoft Office Word</Application>
  <DocSecurity>0</DocSecurity>
  <Lines>21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이훈</dc:creator>
  <cp:keywords/>
  <dc:description/>
  <cp:lastModifiedBy>Poonam Mutha</cp:lastModifiedBy>
  <cp:revision>23</cp:revision>
  <dcterms:created xsi:type="dcterms:W3CDTF">2020-12-31T13:26:00Z</dcterms:created>
  <dcterms:modified xsi:type="dcterms:W3CDTF">2021-01-05T06:39:00Z</dcterms:modified>
</cp:coreProperties>
</file>