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B4D" w:rsidRDefault="00303B4D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2C1CAA" w:rsidRDefault="006C5D6C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>Supplementary information</w:t>
      </w:r>
    </w:p>
    <w:p w:rsidR="002C1CAA" w:rsidRDefault="002C1CAA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2B4EE8" w:rsidRPr="003843D4" w:rsidRDefault="007E55B1" w:rsidP="00120033">
      <w:pPr>
        <w:autoSpaceDE w:val="0"/>
        <w:autoSpaceDN w:val="0"/>
        <w:adjustRightInd w:val="0"/>
        <w:spacing w:after="0" w:line="480" w:lineRule="auto"/>
        <w:ind w:right="283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Assessing </w:t>
      </w:r>
      <w:r w:rsidR="001D7ABD">
        <w:rPr>
          <w:rFonts w:asciiTheme="majorBidi" w:hAnsiTheme="majorBidi" w:cstheme="majorBidi"/>
          <w:b/>
          <w:bCs/>
          <w:sz w:val="32"/>
          <w:szCs w:val="32"/>
          <w:lang w:bidi="fa-IR"/>
        </w:rPr>
        <w:t>Agrom</w:t>
      </w:r>
      <w:r w:rsidR="001D7ABD" w:rsidRPr="003843D4">
        <w:rPr>
          <w:rFonts w:asciiTheme="majorBidi" w:hAnsiTheme="majorBidi" w:cstheme="majorBidi"/>
          <w:b/>
          <w:bCs/>
          <w:sz w:val="32"/>
          <w:szCs w:val="32"/>
          <w:lang w:bidi="fa-IR"/>
        </w:rPr>
        <w:t>eteo</w:t>
      </w:r>
      <w:r w:rsidR="001D7ABD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rological </w:t>
      </w:r>
      <w:r w:rsidR="001D7ABD" w:rsidRPr="003843D4">
        <w:rPr>
          <w:rFonts w:asciiTheme="majorBidi" w:hAnsiTheme="majorBidi" w:cstheme="majorBidi"/>
          <w:b/>
          <w:bCs/>
          <w:sz w:val="32"/>
          <w:szCs w:val="32"/>
          <w:lang w:bidi="fa-IR"/>
        </w:rPr>
        <w:t>Drought in Iran</w:t>
      </w:r>
      <w:r w:rsidR="001D7ABD">
        <w:rPr>
          <w:rFonts w:asciiTheme="majorBidi" w:hAnsiTheme="majorBidi" w:cstheme="majorBidi"/>
          <w:b/>
          <w:bCs/>
          <w:sz w:val="32"/>
          <w:szCs w:val="32"/>
          <w:lang w:bidi="fa-IR"/>
        </w:rPr>
        <w:t>’s Anthropocene</w:t>
      </w:r>
    </w:p>
    <w:p w:rsidR="006C5D6C" w:rsidRDefault="001A7264" w:rsidP="002B4EE8">
      <w:pPr>
        <w:autoSpaceDE w:val="0"/>
        <w:autoSpaceDN w:val="0"/>
        <w:adjustRightInd w:val="0"/>
        <w:spacing w:after="0" w:line="480" w:lineRule="auto"/>
        <w:ind w:right="283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Poria Mohit Isfahani, Sa</w:t>
      </w:r>
      <w:r w:rsidR="002B4EE8">
        <w:rPr>
          <w:rFonts w:asciiTheme="majorBidi" w:hAnsiTheme="majorBidi" w:cstheme="majorBidi"/>
          <w:b/>
          <w:bCs/>
          <w:sz w:val="24"/>
          <w:szCs w:val="24"/>
          <w:lang w:bidi="fa-IR"/>
        </w:rPr>
        <w:t>eid Soltani, Reza Modarres</w:t>
      </w:r>
    </w:p>
    <w:p w:rsidR="006C5D6C" w:rsidRDefault="006C5D6C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6C5D6C" w:rsidRDefault="006C5D6C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C655D0" w:rsidRDefault="00C655D0" w:rsidP="00CC31D1">
      <w:pPr>
        <w:pStyle w:val="Heading1"/>
        <w:shd w:val="clear" w:color="auto" w:fill="FFFFFF"/>
        <w:jc w:val="center"/>
        <w:textAlignment w:val="baseline"/>
        <w:rPr>
          <w:rFonts w:asciiTheme="majorBidi" w:hAnsiTheme="majorBidi" w:cstheme="majorBidi"/>
          <w:sz w:val="28"/>
          <w:szCs w:val="28"/>
          <w:lang w:bidi="fa-IR"/>
        </w:rPr>
      </w:pPr>
      <w:r w:rsidRPr="004B5895">
        <w:rPr>
          <w:rFonts w:asciiTheme="majorBidi" w:hAnsiTheme="majorBidi" w:cstheme="majorBidi"/>
          <w:sz w:val="28"/>
          <w:szCs w:val="28"/>
          <w:lang w:bidi="fa-IR"/>
        </w:rPr>
        <w:t xml:space="preserve">Submitted for Publication to </w:t>
      </w:r>
      <w:r w:rsidR="00CC31D1">
        <w:rPr>
          <w:rFonts w:asciiTheme="majorBidi" w:hAnsiTheme="majorBidi" w:cstheme="majorBidi"/>
          <w:sz w:val="28"/>
          <w:szCs w:val="28"/>
          <w:lang w:bidi="fa-IR"/>
        </w:rPr>
        <w:t>Theoretical and Applied Climatology</w:t>
      </w:r>
    </w:p>
    <w:p w:rsidR="00CC31D1" w:rsidRPr="003231EE" w:rsidRDefault="00CC31D1" w:rsidP="00CC31D1">
      <w:pPr>
        <w:pStyle w:val="Heading1"/>
        <w:shd w:val="clear" w:color="auto" w:fill="FFFFFF"/>
        <w:jc w:val="center"/>
        <w:textAlignment w:val="baseline"/>
        <w:rPr>
          <w:rFonts w:asciiTheme="majorBidi" w:hAnsiTheme="majorBidi" w:cstheme="majorBidi"/>
          <w:sz w:val="28"/>
          <w:szCs w:val="28"/>
          <w:lang w:bidi="fa-IR"/>
        </w:rPr>
      </w:pPr>
    </w:p>
    <w:p w:rsidR="00C655D0" w:rsidRPr="004B5895" w:rsidRDefault="00C655D0" w:rsidP="00C655D0">
      <w:pPr>
        <w:autoSpaceDE w:val="0"/>
        <w:autoSpaceDN w:val="0"/>
        <w:adjustRightInd w:val="0"/>
        <w:spacing w:after="0" w:line="480" w:lineRule="auto"/>
        <w:ind w:right="283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2B4EE8" w:rsidRDefault="00CC31D1" w:rsidP="00CC31D1">
      <w:pPr>
        <w:autoSpaceDE w:val="0"/>
        <w:autoSpaceDN w:val="0"/>
        <w:adjustRightInd w:val="0"/>
        <w:spacing w:after="0" w:line="480" w:lineRule="auto"/>
        <w:ind w:right="283"/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February</w:t>
      </w:r>
      <w:r w:rsidR="000D53D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202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2</w:t>
      </w:r>
      <w:bookmarkStart w:id="0" w:name="_GoBack"/>
      <w:bookmarkEnd w:id="0"/>
    </w:p>
    <w:p w:rsidR="006C5D6C" w:rsidRDefault="006C5D6C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6C5D6C" w:rsidRDefault="006C5D6C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C655D0" w:rsidRDefault="00C655D0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C655D0" w:rsidRDefault="00C655D0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C655D0" w:rsidRDefault="00C655D0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6C5D6C" w:rsidRDefault="006C5D6C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1D7ABD" w:rsidRDefault="001D7ABD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1D7ABD" w:rsidRDefault="001D7ABD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1D7ABD" w:rsidRDefault="001D7ABD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1D7ABD" w:rsidRDefault="001D7ABD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1D7ABD" w:rsidRDefault="001D7ABD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6C5D6C" w:rsidP="00303B4D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Part </w:t>
      </w:r>
      <w:r w:rsidR="00BB4B74" w:rsidRPr="00BB4B74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A. Copula Functions </w:t>
      </w:r>
    </w:p>
    <w:p w:rsidR="002C1CAA" w:rsidRDefault="00BB4B74" w:rsidP="003932A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 xml:space="preserve">Supplementary </w:t>
      </w:r>
      <w:r w:rsidRPr="00171F4B">
        <w:rPr>
          <w:rFonts w:asciiTheme="majorBidi" w:hAnsiTheme="majorBidi" w:cstheme="majorBidi"/>
          <w:b/>
          <w:bCs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lang w:bidi="fa-IR"/>
        </w:rPr>
        <w:t>1</w:t>
      </w:r>
      <w:r w:rsidRPr="00171F4B">
        <w:rPr>
          <w:rFonts w:asciiTheme="majorBidi" w:hAnsiTheme="majorBidi" w:cstheme="majorBidi"/>
          <w:b/>
          <w:bCs/>
          <w:lang w:bidi="fa-IR"/>
        </w:rPr>
        <w:t>:</w:t>
      </w:r>
      <w:r w:rsidRPr="00171F4B">
        <w:rPr>
          <w:rFonts w:asciiTheme="majorBidi" w:hAnsiTheme="majorBidi" w:cstheme="majorBidi"/>
          <w:lang w:bidi="fa-IR"/>
        </w:rPr>
        <w:t xml:space="preserve"> Archemedian Copuals</w:t>
      </w:r>
      <w:r w:rsidR="00BD0CB7">
        <w:rPr>
          <w:rFonts w:asciiTheme="majorBidi" w:hAnsiTheme="majorBidi" w:cstheme="majorBidi"/>
          <w:lang w:bidi="fa-IR"/>
        </w:rPr>
        <w:t xml:space="preserve"> formulation</w:t>
      </w:r>
      <w:r w:rsidRPr="00171F4B">
        <w:rPr>
          <w:rFonts w:asciiTheme="majorBidi" w:hAnsiTheme="majorBidi" w:cstheme="majorBidi"/>
          <w:lang w:bidi="fa-IR"/>
        </w:rPr>
        <w:t xml:space="preserve">.  </w:t>
      </w:r>
      <w:r w:rsidRPr="00171F4B">
        <w:rPr>
          <w:rFonts w:asciiTheme="majorBidi" w:hAnsiTheme="majorBidi" w:cstheme="majorBidi"/>
          <w:i/>
          <w:iCs/>
          <w:lang w:bidi="fa-IR"/>
        </w:rPr>
        <w:t>u</w:t>
      </w:r>
      <w:r w:rsidRPr="00171F4B">
        <w:rPr>
          <w:rFonts w:asciiTheme="majorBidi" w:hAnsiTheme="majorBidi" w:cstheme="majorBidi"/>
          <w:lang w:bidi="fa-IR"/>
        </w:rPr>
        <w:t xml:space="preserve"> and </w:t>
      </w:r>
      <w:r w:rsidRPr="00171F4B">
        <w:rPr>
          <w:rFonts w:asciiTheme="majorBidi" w:hAnsiTheme="majorBidi" w:cstheme="majorBidi"/>
          <w:i/>
          <w:iCs/>
          <w:lang w:bidi="fa-IR"/>
        </w:rPr>
        <w:t xml:space="preserve">v </w:t>
      </w:r>
      <w:r w:rsidRPr="00171F4B">
        <w:rPr>
          <w:rFonts w:asciiTheme="majorBidi" w:hAnsiTheme="majorBidi" w:cstheme="majorBidi"/>
          <w:lang w:bidi="fa-IR"/>
        </w:rPr>
        <w:t>are the marginal cumulative probabilities</w:t>
      </w:r>
      <w:r w:rsidR="00303B4D">
        <w:rPr>
          <w:rFonts w:asciiTheme="majorBidi" w:hAnsiTheme="majorBidi" w:cstheme="majorBidi"/>
          <w:lang w:bidi="fa-IR"/>
        </w:rPr>
        <w:t>, C(</w:t>
      </w:r>
      <w:r w:rsidR="00303B4D" w:rsidRPr="00303B4D">
        <w:rPr>
          <w:rFonts w:asciiTheme="majorBidi" w:hAnsiTheme="majorBidi" w:cstheme="majorBidi"/>
          <w:i/>
          <w:iCs/>
          <w:lang w:bidi="fa-IR"/>
        </w:rPr>
        <w:t>u</w:t>
      </w:r>
      <w:r w:rsidR="00303B4D">
        <w:rPr>
          <w:rFonts w:asciiTheme="majorBidi" w:hAnsiTheme="majorBidi" w:cstheme="majorBidi"/>
          <w:lang w:bidi="fa-IR"/>
        </w:rPr>
        <w:t>,</w:t>
      </w:r>
      <w:r w:rsidR="00303B4D" w:rsidRPr="00303B4D">
        <w:rPr>
          <w:rFonts w:asciiTheme="majorBidi" w:hAnsiTheme="majorBidi" w:cstheme="majorBidi"/>
          <w:i/>
          <w:iCs/>
          <w:lang w:bidi="fa-IR"/>
        </w:rPr>
        <w:t>v</w:t>
      </w:r>
      <w:r w:rsidR="00303B4D">
        <w:rPr>
          <w:rFonts w:asciiTheme="majorBidi" w:hAnsiTheme="majorBidi" w:cstheme="majorBidi"/>
          <w:lang w:bidi="fa-IR"/>
        </w:rPr>
        <w:t>) and θ are Copula-based joint distribution and copula parameter, repectively.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38"/>
        <w:gridCol w:w="4650"/>
        <w:gridCol w:w="1637"/>
      </w:tblGrid>
      <w:tr w:rsidR="00BB4B74" w:rsidRPr="000B3620" w:rsidTr="00BB4B74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B74" w:rsidRPr="00171F4B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171F4B">
              <w:rPr>
                <w:rFonts w:asciiTheme="majorBidi" w:hAnsiTheme="majorBidi" w:cstheme="majorBidi"/>
                <w:b/>
                <w:bCs/>
                <w:lang w:bidi="fa-IR"/>
              </w:rPr>
              <w:t>Name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B74" w:rsidRPr="00171F4B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171F4B">
              <w:rPr>
                <w:rFonts w:asciiTheme="majorBidi" w:hAnsiTheme="majorBidi" w:cstheme="majorBidi"/>
                <w:b/>
                <w:bCs/>
                <w:lang w:bidi="fa-IR"/>
              </w:rPr>
              <w:t>Cumulative Copula function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B74" w:rsidRPr="00171F4B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171F4B">
              <w:rPr>
                <w:rFonts w:asciiTheme="majorBidi" w:hAnsiTheme="majorBidi" w:cstheme="majorBidi"/>
                <w:b/>
                <w:bCs/>
                <w:lang w:bidi="fa-IR"/>
              </w:rPr>
              <w:t>Acceptable θ</w:t>
            </w:r>
          </w:p>
        </w:tc>
      </w:tr>
      <w:tr w:rsidR="00BB4B74" w:rsidRPr="000B3620" w:rsidTr="00BB4B74">
        <w:trPr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</w:tcBorders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Ali-Mikhail-Haq (AMH)</w:t>
            </w:r>
          </w:p>
        </w:tc>
        <w:tc>
          <w:tcPr>
            <w:tcW w:w="4650" w:type="dxa"/>
            <w:tcBorders>
              <w:top w:val="single" w:sz="4" w:space="0" w:color="auto"/>
            </w:tcBorders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ind w:left="406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position w:val="-26"/>
                <w:sz w:val="24"/>
                <w:szCs w:val="24"/>
              </w:rPr>
              <w:object w:dxaOrig="2079" w:dyaOrig="600" w14:anchorId="5733C8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30pt" o:ole="">
                  <v:imagedata r:id="rId6" o:title=""/>
                </v:shape>
                <o:OLEObject Type="Embed" ProgID="Equation.DSMT4" ShapeID="_x0000_i1025" DrawAspect="Content" ObjectID="_1707123947" r:id="rId7"/>
              </w:object>
            </w:r>
          </w:p>
        </w:tc>
        <w:tc>
          <w:tcPr>
            <w:tcW w:w="1637" w:type="dxa"/>
            <w:tcBorders>
              <w:top w:val="single" w:sz="4" w:space="0" w:color="auto"/>
            </w:tcBorders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-1 ≤ θ ≤ 1</w:t>
            </w:r>
          </w:p>
        </w:tc>
      </w:tr>
      <w:tr w:rsidR="00BB4B74" w:rsidRPr="000B3620" w:rsidTr="00BB4B74">
        <w:trPr>
          <w:jc w:val="center"/>
        </w:trPr>
        <w:tc>
          <w:tcPr>
            <w:tcW w:w="2956" w:type="dxa"/>
            <w:gridSpan w:val="2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Clayton</w:t>
            </w:r>
          </w:p>
        </w:tc>
        <w:tc>
          <w:tcPr>
            <w:tcW w:w="4650" w:type="dxa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ind w:left="406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position w:val="-10"/>
                <w:sz w:val="24"/>
                <w:szCs w:val="24"/>
              </w:rPr>
              <w:object w:dxaOrig="2060" w:dyaOrig="499" w14:anchorId="7530E1CA">
                <v:shape id="_x0000_i1026" type="#_x0000_t75" style="width:102.75pt;height:24.75pt" o:ole="">
                  <v:imagedata r:id="rId8" o:title=""/>
                </v:shape>
                <o:OLEObject Type="Embed" ProgID="Equation.DSMT4" ShapeID="_x0000_i1026" DrawAspect="Content" ObjectID="_1707123948" r:id="rId9"/>
              </w:object>
            </w:r>
          </w:p>
        </w:tc>
        <w:tc>
          <w:tcPr>
            <w:tcW w:w="1637" w:type="dxa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0 ≤ θ</w:t>
            </w:r>
          </w:p>
        </w:tc>
      </w:tr>
      <w:tr w:rsidR="00BB4B74" w:rsidRPr="000B3620" w:rsidTr="00BB4B74">
        <w:trPr>
          <w:jc w:val="center"/>
        </w:trPr>
        <w:tc>
          <w:tcPr>
            <w:tcW w:w="2956" w:type="dxa"/>
            <w:gridSpan w:val="2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Frank</w:t>
            </w:r>
          </w:p>
        </w:tc>
        <w:tc>
          <w:tcPr>
            <w:tcW w:w="4650" w:type="dxa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ind w:left="406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position w:val="-30"/>
                <w:sz w:val="24"/>
                <w:szCs w:val="24"/>
              </w:rPr>
              <w:object w:dxaOrig="3060" w:dyaOrig="700" w14:anchorId="0A446AAF">
                <v:shape id="_x0000_i1027" type="#_x0000_t75" style="width:153pt;height:35.25pt" o:ole="">
                  <v:imagedata r:id="rId10" o:title=""/>
                </v:shape>
                <o:OLEObject Type="Embed" ProgID="Equation.DSMT4" ShapeID="_x0000_i1027" DrawAspect="Content" ObjectID="_1707123949" r:id="rId11"/>
              </w:object>
            </w:r>
          </w:p>
        </w:tc>
        <w:tc>
          <w:tcPr>
            <w:tcW w:w="1637" w:type="dxa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0 ≠ θ</w:t>
            </w:r>
          </w:p>
        </w:tc>
      </w:tr>
      <w:tr w:rsidR="00BB4B74" w:rsidRPr="000B3620" w:rsidTr="00BB4B74">
        <w:trPr>
          <w:jc w:val="center"/>
        </w:trPr>
        <w:tc>
          <w:tcPr>
            <w:tcW w:w="2956" w:type="dxa"/>
            <w:gridSpan w:val="2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Gumbel</w:t>
            </w:r>
          </w:p>
        </w:tc>
        <w:tc>
          <w:tcPr>
            <w:tcW w:w="4650" w:type="dxa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ind w:left="406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position w:val="-32"/>
                <w:sz w:val="24"/>
                <w:szCs w:val="24"/>
              </w:rPr>
              <w:object w:dxaOrig="3080" w:dyaOrig="740" w14:anchorId="04E49C61">
                <v:shape id="_x0000_i1028" type="#_x0000_t75" style="width:153.75pt;height:36.75pt" o:ole="">
                  <v:imagedata r:id="rId12" o:title=""/>
                </v:shape>
                <o:OLEObject Type="Embed" ProgID="Equation.DSMT4" ShapeID="_x0000_i1028" DrawAspect="Content" ObjectID="_1707123950" r:id="rId13"/>
              </w:object>
            </w:r>
          </w:p>
        </w:tc>
        <w:tc>
          <w:tcPr>
            <w:tcW w:w="1637" w:type="dxa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1 ≤ θ</w:t>
            </w:r>
          </w:p>
        </w:tc>
      </w:tr>
      <w:tr w:rsidR="00BB4B74" w:rsidRPr="000B3620" w:rsidTr="00BB4B74">
        <w:trPr>
          <w:jc w:val="center"/>
        </w:trPr>
        <w:tc>
          <w:tcPr>
            <w:tcW w:w="2956" w:type="dxa"/>
            <w:gridSpan w:val="2"/>
            <w:tcBorders>
              <w:bottom w:val="single" w:sz="4" w:space="0" w:color="auto"/>
            </w:tcBorders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Joe</w:t>
            </w:r>
          </w:p>
        </w:tc>
        <w:tc>
          <w:tcPr>
            <w:tcW w:w="4650" w:type="dxa"/>
            <w:tcBorders>
              <w:bottom w:val="single" w:sz="4" w:space="0" w:color="auto"/>
            </w:tcBorders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ind w:left="406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position w:val="-16"/>
                <w:sz w:val="24"/>
                <w:szCs w:val="24"/>
              </w:rPr>
              <w:object w:dxaOrig="3820" w:dyaOrig="560" w14:anchorId="2CD41523">
                <v:shape id="_x0000_i1029" type="#_x0000_t75" style="width:189.75pt;height:27.75pt" o:ole="">
                  <v:imagedata r:id="rId14" o:title=""/>
                </v:shape>
                <o:OLEObject Type="Embed" ProgID="Equation.DSMT4" ShapeID="_x0000_i1029" DrawAspect="Content" ObjectID="_1707123951" r:id="rId15"/>
              </w:objec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1 ≤ θ</w:t>
            </w:r>
          </w:p>
        </w:tc>
      </w:tr>
    </w:tbl>
    <w:p w:rsidR="00BD0CB7" w:rsidRDefault="00BD0CB7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B4B74" w:rsidRPr="00BB4B74" w:rsidRDefault="006C5D6C" w:rsidP="00BB4B74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Part </w:t>
      </w:r>
      <w:r w:rsidR="00BB4B74" w:rsidRPr="00BB4B74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B. </w:t>
      </w:r>
      <w:r w:rsidR="00E34531">
        <w:rPr>
          <w:rFonts w:asciiTheme="majorBidi" w:hAnsiTheme="majorBidi" w:cstheme="majorBidi"/>
          <w:b/>
          <w:bCs/>
          <w:sz w:val="26"/>
          <w:szCs w:val="26"/>
        </w:rPr>
        <w:t>The non-paramet</w:t>
      </w:r>
      <w:r w:rsidR="00BB4B74" w:rsidRPr="00BB4B74">
        <w:rPr>
          <w:rFonts w:asciiTheme="majorBidi" w:hAnsiTheme="majorBidi" w:cstheme="majorBidi"/>
          <w:b/>
          <w:bCs/>
          <w:sz w:val="26"/>
          <w:szCs w:val="26"/>
        </w:rPr>
        <w:t>ric Mann-Kendall trend test</w:t>
      </w:r>
    </w:p>
    <w:p w:rsidR="00303B4D" w:rsidRDefault="00BB4B74" w:rsidP="00303B4D">
      <w:pPr>
        <w:autoSpaceDE w:val="0"/>
        <w:autoSpaceDN w:val="0"/>
        <w:adjustRightInd w:val="0"/>
        <w:spacing w:after="0" w:line="48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 w:rsidRPr="000B3620">
        <w:rPr>
          <w:rFonts w:asciiTheme="majorBidi" w:hAnsiTheme="majorBidi" w:cstheme="majorBidi"/>
          <w:sz w:val="24"/>
          <w:szCs w:val="24"/>
        </w:rPr>
        <w:t>The Mann-Kendall test calculated as</w:t>
      </w:r>
      <w:r>
        <w:rPr>
          <w:rFonts w:asciiTheme="majorBidi" w:hAnsiTheme="majorBidi" w:cstheme="majorBidi"/>
          <w:sz w:val="24"/>
          <w:szCs w:val="24"/>
        </w:rPr>
        <w:t xml:space="preserve"> (Eqs. 1</w:t>
      </w:r>
      <w:r w:rsidRPr="000B3620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4):</w:t>
      </w:r>
    </w:p>
    <w:p w:rsidR="00303B4D" w:rsidRPr="000B3620" w:rsidRDefault="00303B4D" w:rsidP="00303B4D">
      <w:pPr>
        <w:autoSpaceDE w:val="0"/>
        <w:autoSpaceDN w:val="0"/>
        <w:adjustRightInd w:val="0"/>
        <w:spacing w:after="0" w:line="48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4521"/>
        <w:gridCol w:w="3383"/>
        <w:gridCol w:w="1055"/>
        <w:gridCol w:w="504"/>
      </w:tblGrid>
      <w:tr w:rsidR="00BB4B74" w:rsidRPr="000B3620" w:rsidTr="00BB4B74">
        <w:trPr>
          <w:trHeight w:val="584"/>
        </w:trPr>
        <w:tc>
          <w:tcPr>
            <w:tcW w:w="7938" w:type="dxa"/>
            <w:gridSpan w:val="3"/>
            <w:vAlign w:val="center"/>
          </w:tcPr>
          <w:p w:rsidR="00CC0D3D" w:rsidRDefault="00BB4B74" w:rsidP="00571714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3620">
              <w:rPr>
                <w:rFonts w:asciiTheme="majorBidi" w:hAnsiTheme="majorBidi" w:cstheme="majorBidi"/>
                <w:position w:val="-32"/>
                <w:sz w:val="24"/>
                <w:szCs w:val="24"/>
              </w:rPr>
              <w:object w:dxaOrig="2060" w:dyaOrig="720" w14:anchorId="2603C8E1">
                <v:shape id="_x0000_i1030" type="#_x0000_t75" style="width:135.75pt;height:35.25pt" o:ole="">
                  <v:imagedata r:id="rId16" o:title=""/>
                </v:shape>
                <o:OLEObject Type="Embed" ProgID="Equation.DSMT4" ShapeID="_x0000_i1030" DrawAspect="Content" ObjectID="_1707123952" r:id="rId17"/>
              </w:object>
            </w:r>
            <w:r w:rsidR="00CC0D3D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                (1)                                   </w:t>
            </w:r>
          </w:p>
          <w:p w:rsidR="00BB4B74" w:rsidRPr="000B3620" w:rsidRDefault="00BB4B74" w:rsidP="00571714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3620">
              <w:rPr>
                <w:rFonts w:asciiTheme="majorBidi" w:hAnsiTheme="majorBidi" w:cstheme="majorBidi"/>
                <w:position w:val="-42"/>
                <w:sz w:val="24"/>
                <w:szCs w:val="24"/>
              </w:rPr>
              <w:object w:dxaOrig="2079" w:dyaOrig="940" w14:anchorId="477AB332">
                <v:shape id="_x0000_i1031" type="#_x0000_t75" style="width:123.75pt;height:45pt" o:ole="">
                  <v:imagedata r:id="rId18" o:title=""/>
                </v:shape>
                <o:OLEObject Type="Embed" ProgID="Equation.DSMT4" ShapeID="_x0000_i1031" DrawAspect="Content" ObjectID="_1707123953" r:id="rId19"/>
              </w:object>
            </w:r>
            <w:r w:rsidR="00CC0D3D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                   (2)</w:t>
            </w:r>
          </w:p>
        </w:tc>
        <w:tc>
          <w:tcPr>
            <w:tcW w:w="1559" w:type="dxa"/>
            <w:gridSpan w:val="2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bidi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B4B74" w:rsidRPr="000B3620" w:rsidTr="00BB4B74">
        <w:trPr>
          <w:trHeight w:val="747"/>
        </w:trPr>
        <w:tc>
          <w:tcPr>
            <w:tcW w:w="7938" w:type="dxa"/>
            <w:gridSpan w:val="3"/>
            <w:vAlign w:val="center"/>
          </w:tcPr>
          <w:p w:rsidR="00BB4B74" w:rsidRPr="000B3620" w:rsidRDefault="00BB4B74" w:rsidP="00571714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3620">
              <w:rPr>
                <w:rFonts w:asciiTheme="majorBidi" w:hAnsiTheme="majorBidi" w:cstheme="majorBidi"/>
                <w:position w:val="-36"/>
                <w:sz w:val="24"/>
                <w:szCs w:val="24"/>
              </w:rPr>
              <w:object w:dxaOrig="4260" w:dyaOrig="820" w14:anchorId="7EEF1BD2">
                <v:shape id="_x0000_i1032" type="#_x0000_t75" style="width:270pt;height:39pt" o:ole="">
                  <v:imagedata r:id="rId20" o:title=""/>
                </v:shape>
                <o:OLEObject Type="Embed" ProgID="Equation.DSMT4" ShapeID="_x0000_i1032" DrawAspect="Content" ObjectID="_1707123954" r:id="rId21"/>
              </w:object>
            </w:r>
          </w:p>
        </w:tc>
        <w:tc>
          <w:tcPr>
            <w:tcW w:w="1559" w:type="dxa"/>
            <w:gridSpan w:val="2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bidi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0B36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BB4B74" w:rsidRPr="000B3620" w:rsidTr="00BB4B74">
        <w:trPr>
          <w:gridBefore w:val="1"/>
          <w:gridAfter w:val="1"/>
          <w:wBefore w:w="34" w:type="dxa"/>
          <w:wAfter w:w="504" w:type="dxa"/>
        </w:trPr>
        <w:tc>
          <w:tcPr>
            <w:tcW w:w="4521" w:type="dxa"/>
            <w:shd w:val="clear" w:color="auto" w:fill="auto"/>
          </w:tcPr>
          <w:p w:rsidR="00BB4B74" w:rsidRPr="000B3620" w:rsidRDefault="00BB4B74" w:rsidP="00571714">
            <w:pPr>
              <w:autoSpaceDE w:val="0"/>
              <w:autoSpaceDN w:val="0"/>
              <w:adjustRightInd w:val="0"/>
              <w:spacing w:after="0"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B3620">
              <w:rPr>
                <w:rFonts w:asciiTheme="majorBidi" w:hAnsiTheme="majorBidi" w:cstheme="majorBidi"/>
                <w:position w:val="-74"/>
                <w:sz w:val="24"/>
                <w:szCs w:val="24"/>
              </w:rPr>
              <w:object w:dxaOrig="2020" w:dyaOrig="1579" w14:anchorId="2BCFBCC5">
                <v:shape id="_x0000_i1033" type="#_x0000_t75" style="width:2in;height:75pt" o:ole="">
                  <v:imagedata r:id="rId22" o:title=""/>
                </v:shape>
                <o:OLEObject Type="Embed" ProgID="Equation.DSMT4" ShapeID="_x0000_i1033" DrawAspect="Content" ObjectID="_1707123955" r:id="rId23"/>
              </w:object>
            </w:r>
          </w:p>
        </w:tc>
        <w:tc>
          <w:tcPr>
            <w:tcW w:w="4438" w:type="dxa"/>
            <w:gridSpan w:val="2"/>
            <w:shd w:val="clear" w:color="auto" w:fill="auto"/>
            <w:vAlign w:val="center"/>
          </w:tcPr>
          <w:p w:rsidR="00BB4B74" w:rsidRPr="000B3620" w:rsidRDefault="00BB4B74" w:rsidP="00BB4B74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0B36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303B4D" w:rsidRPr="00303B4D" w:rsidRDefault="00BB4B74" w:rsidP="00303B4D">
      <w:pPr>
        <w:autoSpaceDE w:val="0"/>
        <w:autoSpaceDN w:val="0"/>
        <w:adjustRightInd w:val="0"/>
        <w:spacing w:before="240" w:after="0"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0B3620">
        <w:rPr>
          <w:rFonts w:asciiTheme="majorBidi" w:hAnsiTheme="majorBidi" w:cstheme="majorBidi"/>
          <w:sz w:val="24"/>
          <w:szCs w:val="24"/>
        </w:rPr>
        <w:t>Where p is the number of the tied groups in the data set and t</w:t>
      </w:r>
      <w:r w:rsidRPr="000B3620">
        <w:rPr>
          <w:rFonts w:asciiTheme="majorBidi" w:hAnsiTheme="majorBidi" w:cstheme="majorBidi"/>
          <w:sz w:val="24"/>
          <w:szCs w:val="24"/>
          <w:vertAlign w:val="subscript"/>
        </w:rPr>
        <w:t>j</w:t>
      </w:r>
      <w:r w:rsidRPr="000B3620">
        <w:rPr>
          <w:rFonts w:asciiTheme="majorBidi" w:hAnsiTheme="majorBidi" w:cstheme="majorBidi"/>
          <w:sz w:val="24"/>
          <w:szCs w:val="24"/>
        </w:rPr>
        <w:t xml:space="preserve"> is the number of data points in the jth tied group. If the absolute value of Z is greater than the theoretical value Z</w:t>
      </w:r>
      <w:r w:rsidRPr="000B3620">
        <w:rPr>
          <w:rFonts w:asciiTheme="majorBidi" w:hAnsiTheme="majorBidi" w:cstheme="majorBidi"/>
          <w:sz w:val="24"/>
          <w:szCs w:val="24"/>
          <w:vertAlign w:val="subscript"/>
        </w:rPr>
        <w:t>1-α/2</w:t>
      </w:r>
      <w:r w:rsidRPr="000B3620">
        <w:rPr>
          <w:rFonts w:asciiTheme="majorBidi" w:hAnsiTheme="majorBidi" w:cstheme="majorBidi"/>
          <w:sz w:val="24"/>
          <w:szCs w:val="24"/>
        </w:rPr>
        <w:t>, the nu</w:t>
      </w:r>
      <w:r w:rsidR="00303B4D">
        <w:rPr>
          <w:rFonts w:asciiTheme="majorBidi" w:hAnsiTheme="majorBidi" w:cstheme="majorBidi"/>
          <w:sz w:val="24"/>
          <w:szCs w:val="24"/>
        </w:rPr>
        <w:t>ll hypothesis would be rejected.</w:t>
      </w:r>
    </w:p>
    <w:p w:rsidR="00E67265" w:rsidRPr="00664C02" w:rsidRDefault="006C5D6C" w:rsidP="00664C02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PART </w:t>
      </w:r>
      <w:r w:rsidR="00664C02" w:rsidRPr="00664C02">
        <w:rPr>
          <w:rFonts w:asciiTheme="majorBidi" w:hAnsiTheme="majorBidi" w:cstheme="majorBidi"/>
          <w:b/>
          <w:bCs/>
          <w:sz w:val="26"/>
          <w:szCs w:val="26"/>
          <w:lang w:bidi="fa-IR"/>
        </w:rPr>
        <w:t>C</w:t>
      </w:r>
      <w:r w:rsidR="00E67265" w:rsidRPr="00664C02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. </w:t>
      </w:r>
      <w:r w:rsidR="00664C02" w:rsidRPr="00664C02">
        <w:rPr>
          <w:rFonts w:ascii="CMR10" w:hAnsi="CMR10" w:cs="CMR10"/>
          <w:b/>
          <w:bCs/>
          <w:sz w:val="26"/>
          <w:szCs w:val="26"/>
        </w:rPr>
        <w:t xml:space="preserve">Standard Normal </w:t>
      </w:r>
      <w:r w:rsidR="00120033" w:rsidRPr="00664C02">
        <w:rPr>
          <w:rFonts w:ascii="CMR10" w:hAnsi="CMR10" w:cs="CMR10"/>
          <w:b/>
          <w:bCs/>
          <w:sz w:val="26"/>
          <w:szCs w:val="26"/>
        </w:rPr>
        <w:t>Homogeneity</w:t>
      </w:r>
      <w:r w:rsidR="00664C02" w:rsidRPr="00664C02">
        <w:rPr>
          <w:rFonts w:ascii="CMR10" w:hAnsi="CMR10" w:cs="CMR10"/>
          <w:b/>
          <w:bCs/>
          <w:sz w:val="26"/>
          <w:szCs w:val="26"/>
        </w:rPr>
        <w:t xml:space="preserve"> Test</w:t>
      </w:r>
    </w:p>
    <w:p w:rsidR="002C1CAA" w:rsidRDefault="00BB4B74">
      <w:pPr>
        <w:autoSpaceDE w:val="0"/>
        <w:autoSpaceDN w:val="0"/>
        <w:adjustRightInd w:val="0"/>
        <w:spacing w:after="0" w:line="480" w:lineRule="auto"/>
        <w:jc w:val="lowKashida"/>
        <w:rPr>
          <w:rFonts w:ascii="CMR10" w:hAnsi="CMR10" w:cs="CMR10"/>
        </w:rPr>
      </w:pPr>
      <w:r>
        <w:rPr>
          <w:rFonts w:ascii="CMR10" w:hAnsi="CMR10" w:cs="CMR10"/>
        </w:rPr>
        <w:t>In the Standard Normal Homogeinity Test (</w:t>
      </w:r>
      <w:r>
        <w:rPr>
          <w:rFonts w:ascii="CMBX10" w:hAnsi="CMBX10" w:cs="CMBX10"/>
        </w:rPr>
        <w:t>snh.test</w:t>
      </w:r>
      <w:r>
        <w:rPr>
          <w:rFonts w:ascii="CMR10" w:hAnsi="CMR10" w:cs="CMR10"/>
        </w:rPr>
        <w:t>), the null hypothesis refers to no breaks or significance changes in X series. The test statistic is:</w:t>
      </w:r>
    </w:p>
    <w:p w:rsidR="00E67265" w:rsidRDefault="00E67265" w:rsidP="00BB4B74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0"/>
        <w:gridCol w:w="2735"/>
      </w:tblGrid>
      <w:tr w:rsidR="00E67265" w:rsidTr="00E67265">
        <w:tc>
          <w:tcPr>
            <w:tcW w:w="5770" w:type="dxa"/>
            <w:vAlign w:val="center"/>
          </w:tcPr>
          <w:p w:rsidR="00E67265" w:rsidRDefault="008A4CDB" w:rsidP="00E67265">
            <w:pPr>
              <w:spacing w:line="240" w:lineRule="auto"/>
            </w:pPr>
            <w:r w:rsidRPr="00571714">
              <w:rPr>
                <w:position w:val="-10"/>
              </w:rPr>
              <w:object w:dxaOrig="1780" w:dyaOrig="340" w14:anchorId="71DE4546">
                <v:shape id="_x0000_i1034" type="#_x0000_t75" style="width:128.25pt;height:24.75pt" o:ole="">
                  <v:imagedata r:id="rId24" o:title=""/>
                </v:shape>
                <o:OLEObject Type="Embed" ProgID="Equation.DSMT4" ShapeID="_x0000_i1034" DrawAspect="Content" ObjectID="_1707123956" r:id="rId25"/>
              </w:object>
            </w:r>
            <w:r w:rsidR="00E67265">
              <w:t xml:space="preserve">, </w:t>
            </w:r>
            <w:r w:rsidRPr="00571714">
              <w:rPr>
                <w:position w:val="-10"/>
              </w:rPr>
              <w:object w:dxaOrig="940" w:dyaOrig="300" w14:anchorId="753B0185">
                <v:shape id="_x0000_i1035" type="#_x0000_t75" style="width:66pt;height:21pt" o:ole="">
                  <v:imagedata r:id="rId26" o:title=""/>
                </v:shape>
                <o:OLEObject Type="Embed" ProgID="Equation.DSMT4" ShapeID="_x0000_i1035" DrawAspect="Content" ObjectID="_1707123957" r:id="rId27"/>
              </w:object>
            </w:r>
          </w:p>
        </w:tc>
        <w:tc>
          <w:tcPr>
            <w:tcW w:w="2735" w:type="dxa"/>
            <w:vAlign w:val="center"/>
          </w:tcPr>
          <w:p w:rsidR="00E67265" w:rsidRDefault="00E67265" w:rsidP="00E67265">
            <w:pPr>
              <w:spacing w:line="240" w:lineRule="auto"/>
              <w:jc w:val="right"/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0B36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E67265" w:rsidTr="00E67265">
        <w:tc>
          <w:tcPr>
            <w:tcW w:w="5770" w:type="dxa"/>
          </w:tcPr>
          <w:p w:rsidR="00E67265" w:rsidRDefault="008A4CDB" w:rsidP="00E67265">
            <w:pPr>
              <w:spacing w:line="240" w:lineRule="auto"/>
            </w:pPr>
            <w:r w:rsidRPr="00571714">
              <w:rPr>
                <w:position w:val="-22"/>
              </w:rPr>
              <w:object w:dxaOrig="1740" w:dyaOrig="560" w14:anchorId="19DF44AD">
                <v:shape id="_x0000_i1036" type="#_x0000_t75" style="width:104.25pt;height:33.75pt" o:ole="">
                  <v:imagedata r:id="rId28" o:title=""/>
                </v:shape>
                <o:OLEObject Type="Embed" ProgID="Equation.DSMT4" ShapeID="_x0000_i1036" DrawAspect="Content" ObjectID="_1707123958" r:id="rId29"/>
              </w:object>
            </w:r>
          </w:p>
        </w:tc>
        <w:tc>
          <w:tcPr>
            <w:tcW w:w="2735" w:type="dxa"/>
            <w:vAlign w:val="center"/>
          </w:tcPr>
          <w:p w:rsidR="00E67265" w:rsidRDefault="00E67265" w:rsidP="00E67265">
            <w:pPr>
              <w:spacing w:line="240" w:lineRule="auto"/>
              <w:jc w:val="right"/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0B36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E67265" w:rsidTr="00E67265">
        <w:trPr>
          <w:trHeight w:val="840"/>
        </w:trPr>
        <w:tc>
          <w:tcPr>
            <w:tcW w:w="5770" w:type="dxa"/>
          </w:tcPr>
          <w:p w:rsidR="00E67265" w:rsidRDefault="008A4CDB" w:rsidP="00E67265">
            <w:pPr>
              <w:spacing w:line="240" w:lineRule="auto"/>
            </w:pPr>
            <w:r w:rsidRPr="00571714">
              <w:rPr>
                <w:position w:val="-22"/>
              </w:rPr>
              <w:object w:dxaOrig="2280" w:dyaOrig="560" w14:anchorId="07810430">
                <v:shape id="_x0000_i1037" type="#_x0000_t75" style="width:128.25pt;height:30.75pt" o:ole="">
                  <v:imagedata r:id="rId30" o:title=""/>
                </v:shape>
                <o:OLEObject Type="Embed" ProgID="Equation.DSMT4" ShapeID="_x0000_i1037" DrawAspect="Content" ObjectID="_1707123959" r:id="rId31"/>
              </w:object>
            </w:r>
          </w:p>
        </w:tc>
        <w:tc>
          <w:tcPr>
            <w:tcW w:w="2735" w:type="dxa"/>
            <w:vAlign w:val="center"/>
          </w:tcPr>
          <w:p w:rsidR="00E67265" w:rsidRDefault="00E67265" w:rsidP="00E67265">
            <w:pPr>
              <w:spacing w:line="240" w:lineRule="auto"/>
              <w:jc w:val="right"/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0B36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E67265" w:rsidTr="00E67265">
        <w:trPr>
          <w:trHeight w:val="810"/>
        </w:trPr>
        <w:tc>
          <w:tcPr>
            <w:tcW w:w="5770" w:type="dxa"/>
          </w:tcPr>
          <w:p w:rsidR="00E67265" w:rsidRDefault="008A4CDB" w:rsidP="00E67265">
            <w:pPr>
              <w:spacing w:line="240" w:lineRule="auto"/>
            </w:pPr>
            <w:r w:rsidRPr="00571714">
              <w:rPr>
                <w:position w:val="-10"/>
              </w:rPr>
              <w:object w:dxaOrig="999" w:dyaOrig="300" w14:anchorId="7E269C40">
                <v:shape id="_x0000_i1038" type="#_x0000_t75" style="width:66pt;height:20.25pt" o:ole="">
                  <v:imagedata r:id="rId32" o:title=""/>
                </v:shape>
                <o:OLEObject Type="Embed" ProgID="Equation.DSMT4" ShapeID="_x0000_i1038" DrawAspect="Content" ObjectID="_1707123960" r:id="rId33"/>
              </w:object>
            </w:r>
          </w:p>
        </w:tc>
        <w:tc>
          <w:tcPr>
            <w:tcW w:w="2735" w:type="dxa"/>
            <w:vAlign w:val="center"/>
          </w:tcPr>
          <w:p w:rsidR="00E67265" w:rsidRDefault="00E67265" w:rsidP="00E67265">
            <w:pPr>
              <w:spacing w:line="240" w:lineRule="auto"/>
              <w:jc w:val="right"/>
            </w:pPr>
            <w:r w:rsidRPr="000B362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0B36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303B4D" w:rsidRDefault="00303B4D" w:rsidP="00551C4E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551C4E" w:rsidRDefault="006C5D6C" w:rsidP="00551C4E">
      <w:pPr>
        <w:autoSpaceDE w:val="0"/>
        <w:autoSpaceDN w:val="0"/>
        <w:adjustRightInd w:val="0"/>
        <w:spacing w:line="276" w:lineRule="auto"/>
        <w:rPr>
          <w:rFonts w:ascii="CMR10" w:hAnsi="CMR10" w:cs="CMR10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Part </w:t>
      </w:r>
      <w:r w:rsidR="00551C4E">
        <w:rPr>
          <w:rFonts w:asciiTheme="majorBidi" w:hAnsiTheme="majorBidi" w:cstheme="majorBidi"/>
          <w:b/>
          <w:bCs/>
          <w:sz w:val="26"/>
          <w:szCs w:val="26"/>
          <w:lang w:bidi="fa-IR"/>
        </w:rPr>
        <w:t>D</w:t>
      </w:r>
      <w:r w:rsidR="00551C4E" w:rsidRPr="00664C02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. </w:t>
      </w:r>
      <w:r w:rsidR="00551C4E">
        <w:rPr>
          <w:rFonts w:ascii="CMR10" w:hAnsi="CMR10" w:cs="CMR10"/>
          <w:b/>
          <w:bCs/>
          <w:sz w:val="26"/>
          <w:szCs w:val="26"/>
        </w:rPr>
        <w:t>Figures</w:t>
      </w:r>
    </w:p>
    <w:p w:rsidR="00303B4D" w:rsidRDefault="00303B4D" w:rsidP="006E2B70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</w:p>
    <w:p w:rsidR="00551C4E" w:rsidRDefault="00551C4E" w:rsidP="00307B16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drawing>
          <wp:inline distT="0" distB="0" distL="0" distR="0">
            <wp:extent cx="5666451" cy="2962275"/>
            <wp:effectExtent l="19050" t="0" r="0" b="0"/>
            <wp:docPr id="163" name="Picture 163" descr="D:\darc\@zedxenamas\PAYANnameh\New Paper 2\Trend Result for MSDI12\IDS Pics\Maxim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D:\darc\@zedxenamas\PAYANnameh\New Paper 2\Trend Result for MSDI12\IDS Pics\Maximum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36" cy="296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E8" w:rsidRDefault="002B4EE8" w:rsidP="003932A4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551C4E" w:rsidRDefault="00551C4E" w:rsidP="00795415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  <w:r w:rsidRPr="00551C4E">
        <w:rPr>
          <w:rFonts w:asciiTheme="majorBidi" w:hAnsiTheme="majorBidi" w:cstheme="majorBidi"/>
          <w:lang w:bidi="fa-IR"/>
        </w:rPr>
        <w:t xml:space="preserve">Supplementary Figure 1: </w:t>
      </w:r>
      <w:r w:rsidR="00795415">
        <w:rPr>
          <w:rFonts w:asciiTheme="majorBidi" w:hAnsiTheme="majorBidi" w:cstheme="majorBidi"/>
          <w:lang w:bidi="fa-IR"/>
        </w:rPr>
        <w:t>D</w:t>
      </w:r>
      <w:r w:rsidR="00120033">
        <w:rPr>
          <w:rFonts w:asciiTheme="majorBidi" w:hAnsiTheme="majorBidi" w:cstheme="majorBidi"/>
          <w:lang w:bidi="fa-IR"/>
        </w:rPr>
        <w:t xml:space="preserve">uration and </w:t>
      </w:r>
      <w:r w:rsidR="00795415">
        <w:rPr>
          <w:rFonts w:asciiTheme="majorBidi" w:hAnsiTheme="majorBidi" w:cstheme="majorBidi"/>
          <w:lang w:bidi="fa-IR"/>
        </w:rPr>
        <w:t>S</w:t>
      </w:r>
      <w:r w:rsidR="0046371A">
        <w:rPr>
          <w:rFonts w:asciiTheme="majorBidi" w:hAnsiTheme="majorBidi" w:cstheme="majorBidi"/>
          <w:lang w:bidi="fa-IR"/>
        </w:rPr>
        <w:t>everity</w:t>
      </w:r>
      <w:r w:rsidR="00120033">
        <w:rPr>
          <w:rFonts w:asciiTheme="majorBidi" w:hAnsiTheme="majorBidi" w:cstheme="majorBidi"/>
          <w:lang w:bidi="fa-IR"/>
        </w:rPr>
        <w:t xml:space="preserve"> of the</w:t>
      </w:r>
      <w:r w:rsidRPr="00551C4E">
        <w:rPr>
          <w:rFonts w:asciiTheme="majorBidi" w:hAnsiTheme="majorBidi" w:cstheme="majorBidi"/>
          <w:lang w:bidi="fa-IR"/>
        </w:rPr>
        <w:t xml:space="preserve"> most severe </w:t>
      </w:r>
      <w:r w:rsidR="00795415">
        <w:rPr>
          <w:rFonts w:asciiTheme="majorBidi" w:hAnsiTheme="majorBidi" w:cstheme="majorBidi"/>
          <w:lang w:bidi="fa-IR"/>
        </w:rPr>
        <w:t>agrometeorological</w:t>
      </w:r>
      <w:r w:rsidR="008B30FD">
        <w:rPr>
          <w:rFonts w:asciiTheme="majorBidi" w:hAnsiTheme="majorBidi" w:cstheme="majorBidi"/>
          <w:lang w:bidi="fa-IR"/>
        </w:rPr>
        <w:t xml:space="preserve"> </w:t>
      </w:r>
      <w:r w:rsidRPr="00551C4E">
        <w:rPr>
          <w:rFonts w:asciiTheme="majorBidi" w:hAnsiTheme="majorBidi" w:cstheme="majorBidi"/>
          <w:lang w:bidi="fa-IR"/>
        </w:rPr>
        <w:t xml:space="preserve">drought </w:t>
      </w:r>
      <w:r w:rsidR="00120033">
        <w:rPr>
          <w:rFonts w:asciiTheme="majorBidi" w:hAnsiTheme="majorBidi" w:cstheme="majorBidi"/>
          <w:lang w:bidi="fa-IR"/>
        </w:rPr>
        <w:t>for each</w:t>
      </w:r>
      <w:r w:rsidRPr="00551C4E">
        <w:rPr>
          <w:rFonts w:asciiTheme="majorBidi" w:hAnsiTheme="majorBidi" w:cstheme="majorBidi"/>
          <w:lang w:bidi="fa-IR"/>
        </w:rPr>
        <w:t xml:space="preserve"> station.</w:t>
      </w:r>
    </w:p>
    <w:p w:rsidR="002B4EE8" w:rsidRDefault="002B4EE8" w:rsidP="002B4EE8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792D0596" wp14:editId="4F3C4AA5">
            <wp:extent cx="5732145" cy="3059015"/>
            <wp:effectExtent l="19050" t="0" r="1905" b="0"/>
            <wp:docPr id="19" name="Picture 19" descr="D:\darc\@zedxenamas\PAYANnameh\New Paper 2\Trend Result for MSDI12\IDS Pics\P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arc\@zedxenamas\PAYANnameh\New Paper 2\Trend Result for MSDI12\IDS Pics\PA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5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E8" w:rsidRDefault="002B4EE8" w:rsidP="002B4EE8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2B4EE8" w:rsidRDefault="002B4EE8" w:rsidP="002B4EE8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</w:rPr>
      </w:pPr>
      <w:r w:rsidRPr="002B4EE8">
        <w:rPr>
          <w:rFonts w:asciiTheme="majorBidi" w:hAnsiTheme="majorBidi" w:cstheme="majorBidi"/>
          <w:lang w:bidi="fa-IR"/>
        </w:rPr>
        <w:lastRenderedPageBreak/>
        <w:t xml:space="preserve">Supplementary Figure 2: The area percentage of different classes of trend for MSDI-12. Positive trends are only observed for </w:t>
      </w:r>
      <w:r w:rsidRPr="002B4EE8">
        <w:rPr>
          <w:rFonts w:asciiTheme="majorBidi" w:hAnsiTheme="majorBidi" w:cstheme="majorBidi"/>
        </w:rPr>
        <w:t>January, March,</w:t>
      </w:r>
      <w:r w:rsidRPr="002B4EE8">
        <w:rPr>
          <w:rFonts w:asciiTheme="majorBidi" w:hAnsiTheme="majorBidi" w:cstheme="majorBidi"/>
          <w:lang w:bidi="fa-IR"/>
        </w:rPr>
        <w:t xml:space="preserve"> August, September and December months which are negligible </w:t>
      </w:r>
      <w:r w:rsidRPr="002B4EE8">
        <w:rPr>
          <w:rFonts w:asciiTheme="majorBidi" w:hAnsiTheme="majorBidi" w:cstheme="majorBidi"/>
        </w:rPr>
        <w:t>(percentage area &lt; 1%).</w:t>
      </w:r>
    </w:p>
    <w:p w:rsidR="006E2B70" w:rsidRDefault="006E2B70" w:rsidP="0046371A">
      <w:p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theme="majorBidi"/>
          <w:lang w:bidi="fa-IR"/>
        </w:rPr>
      </w:pPr>
    </w:p>
    <w:p w:rsidR="006E2B70" w:rsidRDefault="006E2B70" w:rsidP="0046371A">
      <w:p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theme="majorBidi"/>
          <w:lang w:bidi="fa-IR"/>
        </w:rPr>
      </w:pPr>
    </w:p>
    <w:p w:rsidR="00132BE9" w:rsidRDefault="00132BE9" w:rsidP="00132BE9">
      <w:p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theme="majorBidi"/>
        </w:rPr>
      </w:pPr>
    </w:p>
    <w:p w:rsidR="00132BE9" w:rsidRDefault="00132BE9" w:rsidP="00132BE9">
      <w:p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theme="majorBidi"/>
        </w:rPr>
      </w:pPr>
    </w:p>
    <w:p w:rsidR="00FA45F8" w:rsidRDefault="00132BE9" w:rsidP="00F2697A">
      <w:p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32145" cy="7115175"/>
            <wp:effectExtent l="19050" t="0" r="1905" b="0"/>
            <wp:docPr id="20" name="Picture 20" descr="D:\darc\@zedxenamas\PAYANnameh\New Paper 2\Trend Result for MSDI12\IDS Pics\TFPW\Final modified\Monthly\SS\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arc\@zedxenamas\PAYANnameh\New Paper 2\Trend Result for MSDI12\IDS Pics\TFPW\Final modified\Monthly\SS\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7A" w:rsidRPr="00795415" w:rsidRDefault="00F2697A" w:rsidP="002B4EE8">
      <w:pPr>
        <w:spacing w:after="0" w:line="240" w:lineRule="auto"/>
        <w:ind w:left="-142"/>
        <w:jc w:val="center"/>
        <w:rPr>
          <w:rFonts w:asciiTheme="majorBidi" w:hAnsiTheme="majorBidi" w:cstheme="majorBidi"/>
        </w:rPr>
      </w:pPr>
      <w:r w:rsidRPr="002B4EE8">
        <w:rPr>
          <w:rFonts w:asciiTheme="majorBidi" w:hAnsiTheme="majorBidi" w:cstheme="majorBidi"/>
          <w:lang w:bidi="fa-IR"/>
        </w:rPr>
        <w:t>Supplementary Figure 3:</w:t>
      </w:r>
      <w:r w:rsidRPr="002B4EE8">
        <w:rPr>
          <w:rFonts w:asciiTheme="majorBidi" w:hAnsiTheme="majorBidi" w:cstheme="majorBidi"/>
          <w:sz w:val="24"/>
          <w:szCs w:val="24"/>
        </w:rPr>
        <w:t xml:space="preserve"> </w:t>
      </w:r>
      <w:r w:rsidRPr="00795415">
        <w:rPr>
          <w:rFonts w:asciiTheme="majorBidi" w:hAnsiTheme="majorBidi" w:cstheme="majorBidi"/>
        </w:rPr>
        <w:t>Spatio-temporal pattern of Sen’s slope</w:t>
      </w:r>
      <w:r w:rsidR="00132BE9" w:rsidRPr="00795415">
        <w:rPr>
          <w:rFonts w:asciiTheme="majorBidi" w:hAnsiTheme="majorBidi" w:cstheme="majorBidi"/>
        </w:rPr>
        <w:t xml:space="preserve"> statistics</w:t>
      </w:r>
      <w:r w:rsidRPr="00795415">
        <w:rPr>
          <w:rFonts w:asciiTheme="majorBidi" w:hAnsiTheme="majorBidi" w:cstheme="majorBidi"/>
        </w:rPr>
        <w:t xml:space="preserve"> </w:t>
      </w:r>
      <w:r w:rsidR="002B4EE8" w:rsidRPr="00795415">
        <w:rPr>
          <w:rFonts w:asciiTheme="majorBidi" w:hAnsiTheme="majorBidi" w:cstheme="majorBidi"/>
        </w:rPr>
        <w:t>for</w:t>
      </w:r>
      <w:r w:rsidRPr="00795415">
        <w:rPr>
          <w:rFonts w:asciiTheme="majorBidi" w:hAnsiTheme="majorBidi" w:cstheme="majorBidi"/>
        </w:rPr>
        <w:t xml:space="preserve"> </w:t>
      </w:r>
      <w:r w:rsidR="00292247" w:rsidRPr="00795415">
        <w:rPr>
          <w:rFonts w:asciiTheme="majorBidi" w:hAnsiTheme="majorBidi" w:cstheme="majorBidi"/>
        </w:rPr>
        <w:t xml:space="preserve">annual </w:t>
      </w:r>
      <w:r w:rsidRPr="00795415">
        <w:rPr>
          <w:rFonts w:asciiTheme="majorBidi" w:hAnsiTheme="majorBidi" w:cstheme="majorBidi"/>
        </w:rPr>
        <w:t>MSDI-12</w:t>
      </w:r>
      <w:r w:rsidR="00292247" w:rsidRPr="00795415">
        <w:rPr>
          <w:rFonts w:asciiTheme="majorBidi" w:hAnsiTheme="majorBidi" w:cstheme="majorBidi"/>
        </w:rPr>
        <w:t xml:space="preserve"> </w:t>
      </w:r>
      <w:r w:rsidR="002B4EE8" w:rsidRPr="00795415">
        <w:rPr>
          <w:rFonts w:asciiTheme="majorBidi" w:hAnsiTheme="majorBidi" w:cstheme="majorBidi"/>
        </w:rPr>
        <w:t xml:space="preserve">time </w:t>
      </w:r>
      <w:r w:rsidR="00292247" w:rsidRPr="00795415">
        <w:rPr>
          <w:rFonts w:asciiTheme="majorBidi" w:hAnsiTheme="majorBidi" w:cstheme="majorBidi"/>
        </w:rPr>
        <w:t>series for each month</w:t>
      </w:r>
      <w:r w:rsidRPr="00795415">
        <w:rPr>
          <w:rFonts w:asciiTheme="majorBidi" w:hAnsiTheme="majorBidi" w:cstheme="majorBidi"/>
        </w:rPr>
        <w:t>.</w:t>
      </w: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132BE9" w:rsidRDefault="00132BE9" w:rsidP="00F2697A">
      <w:pPr>
        <w:spacing w:after="0" w:line="240" w:lineRule="auto"/>
        <w:ind w:left="-142"/>
        <w:jc w:val="center"/>
        <w:rPr>
          <w:rFonts w:asciiTheme="majorBidi" w:hAnsiTheme="majorBidi" w:cstheme="majorBidi"/>
          <w:lang w:bidi="fa-IR"/>
        </w:rPr>
      </w:pPr>
    </w:p>
    <w:p w:rsidR="008A4CDB" w:rsidRDefault="008A4CDB" w:rsidP="008B30FD">
      <w:pPr>
        <w:autoSpaceDE w:val="0"/>
        <w:autoSpaceDN w:val="0"/>
        <w:adjustRightInd w:val="0"/>
        <w:spacing w:after="0" w:line="276" w:lineRule="auto"/>
        <w:ind w:left="-284"/>
        <w:jc w:val="center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892652" cy="2612985"/>
            <wp:effectExtent l="19050" t="0" r="0" b="0"/>
            <wp:docPr id="166" name="Picture 166" descr="D:\darc\@zedxenamas\PAYANnameh\New Paper 2\Trend Result for MSDI12\IDS Pics\Growth pop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D:\darc\@zedxenamas\PAYANnameh\New Paper 2\Trend Result for MSDI12\IDS Pics\Growth pop.tif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95" cy="2622183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0C2" w:rsidRDefault="009A30C2" w:rsidP="00292247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  <w:r w:rsidRPr="009A30C2">
        <w:rPr>
          <w:rFonts w:asciiTheme="majorBidi" w:hAnsiTheme="majorBidi" w:cstheme="majorBidi"/>
          <w:lang w:bidi="fa-IR"/>
        </w:rPr>
        <w:t xml:space="preserve">Supplementary Figure </w:t>
      </w:r>
      <w:r w:rsidR="00292247">
        <w:rPr>
          <w:rFonts w:asciiTheme="majorBidi" w:hAnsiTheme="majorBidi" w:cstheme="majorBidi"/>
          <w:lang w:bidi="fa-IR"/>
        </w:rPr>
        <w:t>4</w:t>
      </w:r>
      <w:r w:rsidRPr="009A30C2">
        <w:rPr>
          <w:rFonts w:asciiTheme="majorBidi" w:hAnsiTheme="majorBidi" w:cstheme="majorBidi"/>
          <w:lang w:bidi="fa-IR"/>
        </w:rPr>
        <w:t>: IRAN’s population growth rate (Source:</w:t>
      </w:r>
      <w:r w:rsidRPr="009A30C2">
        <w:t xml:space="preserve"> </w:t>
      </w:r>
      <w:hyperlink r:id="rId38" w:history="1">
        <w:r w:rsidRPr="009A30C2">
          <w:rPr>
            <w:rStyle w:val="Hyperlink"/>
            <w:rFonts w:asciiTheme="majorBidi" w:hAnsiTheme="majorBidi" w:cstheme="majorBidi"/>
            <w:lang w:bidi="fa-IR"/>
          </w:rPr>
          <w:t>worldbank.org</w:t>
        </w:r>
      </w:hyperlink>
      <w:r w:rsidRPr="009A30C2">
        <w:rPr>
          <w:rFonts w:asciiTheme="majorBidi" w:hAnsiTheme="majorBidi" w:cstheme="majorBidi"/>
          <w:lang w:bidi="fa-IR"/>
        </w:rPr>
        <w:t>).</w:t>
      </w: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132BE9" w:rsidRDefault="00132BE9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307B16" w:rsidRDefault="008B30FD" w:rsidP="002554FD">
      <w:pPr>
        <w:autoSpaceDE w:val="0"/>
        <w:autoSpaceDN w:val="0"/>
        <w:adjustRightInd w:val="0"/>
        <w:spacing w:after="0" w:line="276" w:lineRule="auto"/>
        <w:ind w:left="-284" w:right="-329"/>
        <w:jc w:val="center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88345" cy="3231940"/>
            <wp:effectExtent l="19050" t="0" r="0" b="0"/>
            <wp:docPr id="175" name="Picture 175" descr="D:\darc\@zedxenamas\PAYANnameh\New Paper 2\Trend Result for MSDI12\IDS Pics\arabe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D:\darc\@zedxenamas\PAYANnameh\New Paper 2\Trend Result for MSDI12\IDS Pics\arabel.tif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8" cy="323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0FD" w:rsidRPr="008B30FD" w:rsidRDefault="008B30FD" w:rsidP="00292247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  <w:r w:rsidRPr="008B30FD">
        <w:rPr>
          <w:rFonts w:asciiTheme="majorBidi" w:hAnsiTheme="majorBidi" w:cstheme="majorBidi"/>
          <w:lang w:bidi="fa-IR"/>
        </w:rPr>
        <w:t xml:space="preserve">Supplementary Figure </w:t>
      </w:r>
      <w:r w:rsidR="00292247">
        <w:rPr>
          <w:rFonts w:asciiTheme="majorBidi" w:hAnsiTheme="majorBidi" w:cstheme="majorBidi"/>
          <w:lang w:bidi="fa-IR"/>
        </w:rPr>
        <w:t>5</w:t>
      </w:r>
      <w:r w:rsidRPr="008B30FD">
        <w:rPr>
          <w:rFonts w:asciiTheme="majorBidi" w:hAnsiTheme="majorBidi" w:cstheme="majorBidi"/>
          <w:lang w:bidi="fa-IR"/>
        </w:rPr>
        <w:t>: Percentage of arable lands of IRAN</w:t>
      </w:r>
      <w:r>
        <w:rPr>
          <w:rFonts w:asciiTheme="majorBidi" w:hAnsiTheme="majorBidi" w:cstheme="majorBidi"/>
          <w:lang w:bidi="fa-IR"/>
        </w:rPr>
        <w:t xml:space="preserve">. Green and red bands refer to </w:t>
      </w:r>
      <w:r w:rsidR="00A262D1">
        <w:rPr>
          <w:rFonts w:asciiTheme="majorBidi" w:hAnsiTheme="majorBidi" w:cstheme="majorBidi"/>
          <w:lang w:bidi="fa-IR"/>
        </w:rPr>
        <w:t>increasing and decreasing periods, respectively.</w:t>
      </w:r>
      <w:r w:rsidRPr="008B30FD">
        <w:rPr>
          <w:rFonts w:asciiTheme="majorBidi" w:hAnsiTheme="majorBidi" w:cstheme="majorBidi"/>
          <w:lang w:bidi="fa-IR"/>
        </w:rPr>
        <w:t xml:space="preserve"> (Source:</w:t>
      </w:r>
      <w:r w:rsidRPr="008B30FD">
        <w:t xml:space="preserve"> </w:t>
      </w:r>
      <w:hyperlink r:id="rId40" w:history="1">
        <w:r w:rsidRPr="008B30FD">
          <w:rPr>
            <w:rStyle w:val="Hyperlink"/>
            <w:rFonts w:asciiTheme="majorBidi" w:hAnsiTheme="majorBidi" w:cstheme="majorBidi"/>
            <w:lang w:bidi="fa-IR"/>
          </w:rPr>
          <w:t>worldbank.org</w:t>
        </w:r>
      </w:hyperlink>
      <w:r w:rsidRPr="008B30FD">
        <w:rPr>
          <w:rFonts w:asciiTheme="majorBidi" w:hAnsiTheme="majorBidi" w:cstheme="majorBidi"/>
          <w:lang w:bidi="fa-IR"/>
        </w:rPr>
        <w:t>).</w:t>
      </w:r>
    </w:p>
    <w:p w:rsidR="008B30FD" w:rsidRDefault="008B30FD" w:rsidP="009A30C2">
      <w:pPr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lang w:bidi="fa-IR"/>
        </w:rPr>
      </w:pPr>
    </w:p>
    <w:p w:rsidR="00FA51FF" w:rsidRPr="008B30FD" w:rsidRDefault="008A4CDB" w:rsidP="00795415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Theme="majorBidi" w:hAnsiTheme="majorBidi" w:cstheme="majorBidi"/>
          <w:lang w:bidi="fa-IR"/>
        </w:rPr>
      </w:pPr>
      <w:r>
        <w:rPr>
          <w:noProof/>
        </w:rPr>
        <w:drawing>
          <wp:inline distT="0" distB="0" distL="0" distR="0">
            <wp:extent cx="5828856" cy="3465077"/>
            <wp:effectExtent l="19050" t="0" r="444" b="0"/>
            <wp:docPr id="165" name="Picture 165" descr="D:\darc\@zedxenamas\PAYANnameh\New Paper 2\Trend Result for MSDI12\IDS Pics\whea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D:\darc\@zedxenamas\PAYANnameh\New Paper 2\Trend Result for MSDI12\IDS Pics\wheat.tif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80" cy="346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1FF" w:rsidRPr="00FA51FF">
        <w:rPr>
          <w:rFonts w:asciiTheme="majorBidi" w:hAnsiTheme="majorBidi" w:cstheme="majorBidi"/>
          <w:lang w:bidi="fa-IR"/>
        </w:rPr>
        <w:t xml:space="preserve"> </w:t>
      </w:r>
      <w:r w:rsidR="00FA51FF" w:rsidRPr="008B30FD">
        <w:rPr>
          <w:rFonts w:asciiTheme="majorBidi" w:hAnsiTheme="majorBidi" w:cstheme="majorBidi"/>
          <w:lang w:bidi="fa-IR"/>
        </w:rPr>
        <w:t xml:space="preserve">Supplementary Figure </w:t>
      </w:r>
      <w:r w:rsidR="00292247">
        <w:rPr>
          <w:rFonts w:asciiTheme="majorBidi" w:hAnsiTheme="majorBidi" w:cstheme="majorBidi"/>
          <w:lang w:bidi="fa-IR"/>
        </w:rPr>
        <w:t>6</w:t>
      </w:r>
      <w:r w:rsidR="00FA51FF" w:rsidRPr="008B30FD">
        <w:rPr>
          <w:rFonts w:asciiTheme="majorBidi" w:hAnsiTheme="majorBidi" w:cstheme="majorBidi"/>
          <w:lang w:bidi="fa-IR"/>
        </w:rPr>
        <w:t xml:space="preserve">: </w:t>
      </w:r>
      <w:r w:rsidR="00FA51FF">
        <w:rPr>
          <w:rFonts w:asciiTheme="majorBidi" w:hAnsiTheme="majorBidi" w:cstheme="majorBidi"/>
          <w:lang w:bidi="fa-IR"/>
        </w:rPr>
        <w:t>IRAN’s wheat production and imports.</w:t>
      </w:r>
      <w:r w:rsidR="002554FD">
        <w:rPr>
          <w:rFonts w:asciiTheme="majorBidi" w:hAnsiTheme="majorBidi" w:cstheme="majorBidi"/>
          <w:lang w:bidi="fa-IR"/>
        </w:rPr>
        <w:t xml:space="preserve"> Green and red bands refer</w:t>
      </w:r>
      <w:r w:rsidR="00FA51FF">
        <w:rPr>
          <w:rFonts w:asciiTheme="majorBidi" w:hAnsiTheme="majorBidi" w:cstheme="majorBidi"/>
          <w:lang w:bidi="fa-IR"/>
        </w:rPr>
        <w:t xml:space="preserve"> to increasing and decreasing periods</w:t>
      </w:r>
      <w:r w:rsidR="002554FD">
        <w:rPr>
          <w:rFonts w:asciiTheme="majorBidi" w:hAnsiTheme="majorBidi" w:cstheme="majorBidi"/>
          <w:lang w:bidi="fa-IR"/>
        </w:rPr>
        <w:t xml:space="preserve"> </w:t>
      </w:r>
      <w:r w:rsidR="00795415">
        <w:rPr>
          <w:rFonts w:asciiTheme="majorBidi" w:hAnsiTheme="majorBidi" w:cstheme="majorBidi"/>
          <w:lang w:bidi="fa-IR"/>
        </w:rPr>
        <w:t>of</w:t>
      </w:r>
      <w:r w:rsidR="002554FD">
        <w:rPr>
          <w:rFonts w:asciiTheme="majorBidi" w:hAnsiTheme="majorBidi" w:cstheme="majorBidi"/>
          <w:lang w:bidi="fa-IR"/>
        </w:rPr>
        <w:t xml:space="preserve"> wheat production</w:t>
      </w:r>
      <w:r w:rsidR="00FA51FF">
        <w:rPr>
          <w:rFonts w:asciiTheme="majorBidi" w:hAnsiTheme="majorBidi" w:cstheme="majorBidi"/>
          <w:lang w:bidi="fa-IR"/>
        </w:rPr>
        <w:t>, respectively.</w:t>
      </w:r>
      <w:r w:rsidR="00FA51FF" w:rsidRPr="008B30FD">
        <w:rPr>
          <w:rFonts w:asciiTheme="majorBidi" w:hAnsiTheme="majorBidi" w:cstheme="majorBidi"/>
          <w:lang w:bidi="fa-IR"/>
        </w:rPr>
        <w:t xml:space="preserve"> (Source:</w:t>
      </w:r>
      <w:r w:rsidR="009670F4" w:rsidRPr="009670F4">
        <w:t xml:space="preserve"> </w:t>
      </w:r>
      <w:hyperlink r:id="rId42" w:history="1">
        <w:r w:rsidR="009670F4" w:rsidRPr="009670F4">
          <w:rPr>
            <w:rStyle w:val="Hyperlink"/>
            <w:rFonts w:asciiTheme="majorBidi" w:hAnsiTheme="majorBidi" w:cstheme="majorBidi"/>
            <w:lang w:bidi="fa-IR"/>
          </w:rPr>
          <w:t>https://www.fas.usda.gov/data</w:t>
        </w:r>
      </w:hyperlink>
      <w:r w:rsidR="009670F4">
        <w:t>)</w:t>
      </w:r>
      <w:r w:rsidR="00FA51FF" w:rsidRPr="008B30FD">
        <w:rPr>
          <w:rFonts w:asciiTheme="majorBidi" w:hAnsiTheme="majorBidi" w:cstheme="majorBidi"/>
          <w:lang w:bidi="fa-IR"/>
        </w:rPr>
        <w:t>.</w:t>
      </w:r>
    </w:p>
    <w:p w:rsidR="00BB4B74" w:rsidRDefault="00BB4B74" w:rsidP="00E67265"/>
    <w:p w:rsidR="00145D19" w:rsidRDefault="00145D19" w:rsidP="00E67265"/>
    <w:p w:rsidR="00145D19" w:rsidRDefault="00145D19" w:rsidP="00E67265"/>
    <w:p w:rsidR="00145D19" w:rsidRDefault="00145D19" w:rsidP="00E67265"/>
    <w:p w:rsidR="00145D19" w:rsidRDefault="00145D19" w:rsidP="00E67265"/>
    <w:p w:rsidR="00145D19" w:rsidRDefault="00145D19" w:rsidP="00E67265"/>
    <w:p w:rsidR="00145D19" w:rsidRDefault="00145D19" w:rsidP="00E67265"/>
    <w:p w:rsidR="00145D19" w:rsidRDefault="003932A4" w:rsidP="00E67265">
      <w:r>
        <w:rPr>
          <w:noProof/>
        </w:rPr>
        <w:drawing>
          <wp:inline distT="0" distB="0" distL="0" distR="0">
            <wp:extent cx="5732145" cy="2990850"/>
            <wp:effectExtent l="19050" t="0" r="1905" b="0"/>
            <wp:docPr id="22" name="Picture 22" descr="D:\darc\@zedxenamas\PAYANnameh\New Paper 2\Trend Result for MSDI12\IDS Pics\TFPW\Final modified\Monthly\dusev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arc\@zedxenamas\PAYANnameh\New Paper 2\Trend Result for MSDI12\IDS Pics\TFPW\Final modified\Monthly\dusevss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D3D" w:rsidRPr="00CC0D3D" w:rsidRDefault="00CC0D3D" w:rsidP="00CC0D3D">
      <w:pPr>
        <w:jc w:val="center"/>
        <w:rPr>
          <w:rFonts w:asciiTheme="majorBidi" w:hAnsiTheme="majorBidi" w:cstheme="majorBidi"/>
          <w:lang w:bidi="fa-IR"/>
        </w:rPr>
      </w:pPr>
    </w:p>
    <w:p w:rsidR="00145D19" w:rsidRDefault="00145D19" w:rsidP="00795415">
      <w:pPr>
        <w:jc w:val="center"/>
      </w:pPr>
      <w:r w:rsidRPr="00CC0D3D">
        <w:rPr>
          <w:rFonts w:asciiTheme="majorBidi" w:hAnsiTheme="majorBidi" w:cstheme="majorBidi"/>
          <w:lang w:bidi="fa-IR"/>
        </w:rPr>
        <w:t xml:space="preserve">Supplementary Figure 7: </w:t>
      </w:r>
      <w:r w:rsidRPr="00795415">
        <w:rPr>
          <w:rFonts w:asciiTheme="majorBidi" w:hAnsiTheme="majorBidi" w:cstheme="majorBidi"/>
        </w:rPr>
        <w:t xml:space="preserve">The Sen’s Slope statistics for </w:t>
      </w:r>
      <w:r w:rsidR="00795415">
        <w:rPr>
          <w:rFonts w:asciiTheme="majorBidi" w:hAnsiTheme="majorBidi" w:cstheme="majorBidi"/>
        </w:rPr>
        <w:t xml:space="preserve">agrometeorlogical </w:t>
      </w:r>
      <w:r w:rsidRPr="00795415">
        <w:rPr>
          <w:rFonts w:asciiTheme="majorBidi" w:hAnsiTheme="majorBidi" w:cstheme="majorBidi"/>
        </w:rPr>
        <w:t xml:space="preserve">drought </w:t>
      </w:r>
      <w:r w:rsidR="00CC0D3D" w:rsidRPr="00795415">
        <w:rPr>
          <w:rFonts w:asciiTheme="majorBidi" w:hAnsiTheme="majorBidi" w:cstheme="majorBidi"/>
        </w:rPr>
        <w:t>severity (</w:t>
      </w:r>
      <w:r w:rsidRPr="00795415">
        <w:rPr>
          <w:rFonts w:asciiTheme="majorBidi" w:hAnsiTheme="majorBidi" w:cstheme="majorBidi"/>
        </w:rPr>
        <w:t>a</w:t>
      </w:r>
      <w:r w:rsidR="00CC0D3D" w:rsidRPr="00795415">
        <w:rPr>
          <w:rFonts w:asciiTheme="majorBidi" w:hAnsiTheme="majorBidi" w:cstheme="majorBidi"/>
        </w:rPr>
        <w:t>)</w:t>
      </w:r>
      <w:r w:rsidRPr="00795415">
        <w:rPr>
          <w:rFonts w:asciiTheme="majorBidi" w:hAnsiTheme="majorBidi" w:cstheme="majorBidi"/>
        </w:rPr>
        <w:t xml:space="preserve"> and</w:t>
      </w:r>
      <w:r w:rsidR="00CC0D3D" w:rsidRPr="00795415">
        <w:rPr>
          <w:rFonts w:asciiTheme="majorBidi" w:hAnsiTheme="majorBidi" w:cstheme="majorBidi"/>
        </w:rPr>
        <w:t xml:space="preserve"> duration (</w:t>
      </w:r>
      <w:r w:rsidRPr="00795415">
        <w:rPr>
          <w:rFonts w:asciiTheme="majorBidi" w:hAnsiTheme="majorBidi" w:cstheme="majorBidi"/>
        </w:rPr>
        <w:t>b</w:t>
      </w:r>
      <w:r w:rsidR="00CC0D3D" w:rsidRPr="00795415">
        <w:rPr>
          <w:rFonts w:asciiTheme="majorBidi" w:hAnsiTheme="majorBidi" w:cstheme="majorBidi"/>
        </w:rPr>
        <w:t>)</w:t>
      </w:r>
      <w:r w:rsidR="00795415">
        <w:rPr>
          <w:rFonts w:asciiTheme="majorBidi" w:hAnsiTheme="majorBidi" w:cstheme="majorBidi"/>
        </w:rPr>
        <w:t xml:space="preserve"> in Iran</w:t>
      </w:r>
    </w:p>
    <w:p w:rsidR="00145D19" w:rsidRDefault="00145D19" w:rsidP="00E67265"/>
    <w:sectPr w:rsidR="00145D19" w:rsidSect="00BB4B7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402" w:rsidRDefault="00C13402" w:rsidP="00303B4D">
      <w:pPr>
        <w:spacing w:after="0" w:line="240" w:lineRule="auto"/>
      </w:pPr>
      <w:r>
        <w:separator/>
      </w:r>
    </w:p>
  </w:endnote>
  <w:endnote w:type="continuationSeparator" w:id="0">
    <w:p w:rsidR="00C13402" w:rsidRDefault="00C13402" w:rsidP="0030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402" w:rsidRDefault="00C13402" w:rsidP="00303B4D">
      <w:pPr>
        <w:spacing w:after="0" w:line="240" w:lineRule="auto"/>
      </w:pPr>
      <w:r>
        <w:separator/>
      </w:r>
    </w:p>
  </w:footnote>
  <w:footnote w:type="continuationSeparator" w:id="0">
    <w:p w:rsidR="00C13402" w:rsidRDefault="00C13402" w:rsidP="00303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B74"/>
    <w:rsid w:val="00011ED9"/>
    <w:rsid w:val="00043F9C"/>
    <w:rsid w:val="0007473A"/>
    <w:rsid w:val="000D057E"/>
    <w:rsid w:val="000D53DB"/>
    <w:rsid w:val="000D7335"/>
    <w:rsid w:val="00120033"/>
    <w:rsid w:val="00132BE9"/>
    <w:rsid w:val="001403E3"/>
    <w:rsid w:val="00145D19"/>
    <w:rsid w:val="001642E5"/>
    <w:rsid w:val="001747CF"/>
    <w:rsid w:val="001A7264"/>
    <w:rsid w:val="001D1459"/>
    <w:rsid w:val="001D7ABD"/>
    <w:rsid w:val="002554FD"/>
    <w:rsid w:val="00292247"/>
    <w:rsid w:val="002B4EE8"/>
    <w:rsid w:val="002C1CAA"/>
    <w:rsid w:val="002E3028"/>
    <w:rsid w:val="00303B4D"/>
    <w:rsid w:val="00307B16"/>
    <w:rsid w:val="00377516"/>
    <w:rsid w:val="003932A4"/>
    <w:rsid w:val="00436C28"/>
    <w:rsid w:val="00452A91"/>
    <w:rsid w:val="0046371A"/>
    <w:rsid w:val="004759C5"/>
    <w:rsid w:val="004C38C2"/>
    <w:rsid w:val="00551C4E"/>
    <w:rsid w:val="00584D9C"/>
    <w:rsid w:val="005E2266"/>
    <w:rsid w:val="00664C02"/>
    <w:rsid w:val="006C5D6C"/>
    <w:rsid w:val="006D0A23"/>
    <w:rsid w:val="006E2B70"/>
    <w:rsid w:val="006E4592"/>
    <w:rsid w:val="00700F12"/>
    <w:rsid w:val="00795415"/>
    <w:rsid w:val="007E55B1"/>
    <w:rsid w:val="00811CF7"/>
    <w:rsid w:val="008A4CDB"/>
    <w:rsid w:val="008B30FD"/>
    <w:rsid w:val="009149C2"/>
    <w:rsid w:val="009670F4"/>
    <w:rsid w:val="00986381"/>
    <w:rsid w:val="009A30C2"/>
    <w:rsid w:val="00A262D1"/>
    <w:rsid w:val="00A70E15"/>
    <w:rsid w:val="00AE729C"/>
    <w:rsid w:val="00BB2B97"/>
    <w:rsid w:val="00BB4B74"/>
    <w:rsid w:val="00BD0CB7"/>
    <w:rsid w:val="00BE315A"/>
    <w:rsid w:val="00C13402"/>
    <w:rsid w:val="00C14788"/>
    <w:rsid w:val="00C655D0"/>
    <w:rsid w:val="00CC0D3D"/>
    <w:rsid w:val="00CC31D1"/>
    <w:rsid w:val="00DA5970"/>
    <w:rsid w:val="00DF2BD1"/>
    <w:rsid w:val="00E342E2"/>
    <w:rsid w:val="00E34531"/>
    <w:rsid w:val="00E67265"/>
    <w:rsid w:val="00EB042C"/>
    <w:rsid w:val="00F20113"/>
    <w:rsid w:val="00F2697A"/>
    <w:rsid w:val="00FA45F8"/>
    <w:rsid w:val="00FA51FF"/>
    <w:rsid w:val="00FC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053F"/>
  <w15:docId w15:val="{7E091C41-A0BA-4C7F-BC77-E8A1ABAD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B74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2B4E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C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30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70F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0C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C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C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C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C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03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3B4D"/>
  </w:style>
  <w:style w:type="paragraph" w:styleId="Footer">
    <w:name w:val="footer"/>
    <w:basedOn w:val="Normal"/>
    <w:link w:val="FooterChar"/>
    <w:uiPriority w:val="99"/>
    <w:semiHidden/>
    <w:unhideWhenUsed/>
    <w:rsid w:val="00303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3B4D"/>
  </w:style>
  <w:style w:type="character" w:customStyle="1" w:styleId="Heading1Char">
    <w:name w:val="Heading 1 Char"/>
    <w:basedOn w:val="DefaultParagraphFont"/>
    <w:link w:val="Heading1"/>
    <w:uiPriority w:val="9"/>
    <w:rsid w:val="002B4EE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9.tif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png"/><Relationship Id="rId42" Type="http://schemas.openxmlformats.org/officeDocument/2006/relationships/hyperlink" Target="https://www.fas.usda.gov/data" TargetMode="Externa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hyperlink" Target="http://www.worldbank.or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20.tif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8.tiff"/><Relationship Id="rId40" Type="http://schemas.openxmlformats.org/officeDocument/2006/relationships/hyperlink" Target="http://www.worldbank.org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7.jpe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6.tiff"/><Relationship Id="rId43" Type="http://schemas.openxmlformats.org/officeDocument/2006/relationships/image" Target="media/image2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1737</TotalTime>
  <Pages>9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poria</dc:creator>
  <cp:keywords/>
  <dc:description/>
  <cp:lastModifiedBy>Modares</cp:lastModifiedBy>
  <cp:revision>26</cp:revision>
  <dcterms:created xsi:type="dcterms:W3CDTF">2020-07-31T18:36:00Z</dcterms:created>
  <dcterms:modified xsi:type="dcterms:W3CDTF">2022-02-23T08:49:00Z</dcterms:modified>
</cp:coreProperties>
</file>