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AF31B" w14:textId="77777777" w:rsidR="00977CDE" w:rsidRDefault="00977CDE" w:rsidP="00977CDE">
      <w:pPr>
        <w:pStyle w:val="EndNoteBibliography"/>
        <w:spacing w:line="360" w:lineRule="auto"/>
      </w:pPr>
      <w:r>
        <w:rPr>
          <w:b/>
          <w:bCs/>
        </w:rPr>
        <w:t xml:space="preserve">Supplementary </w:t>
      </w:r>
      <w:r w:rsidRPr="00B71AC3">
        <w:rPr>
          <w:b/>
          <w:bCs/>
        </w:rPr>
        <w:t>Table 1.</w:t>
      </w:r>
      <w:r w:rsidRPr="00B71AC3">
        <w:t xml:space="preserve"> Summary of Australian/New Zealand pharmacological gout management guidelines</w:t>
      </w:r>
      <w:r w:rsidRPr="00B71AC3">
        <w:fldChar w:fldCharType="begin">
          <w:fldData xml:space="preserve">PEVuZE5vdGU+PENpdGU+PEF1dGhvcj5HcmFmPC9BdXRob3I+PFllYXI+MjAxNTwvWWVhcj48UmVj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</w:fldData>
        </w:fldChar>
      </w:r>
      <w:r>
        <w:instrText xml:space="preserve"> ADDIN EN.CITE </w:instrText>
      </w:r>
      <w:r>
        <w:fldChar w:fldCharType="begin">
          <w:fldData xml:space="preserve">PEVuZE5vdGU+PENpdGU+PEF1dGhvcj5HcmFmPC9BdXRob3I+PFllYXI+MjAxNTwvWWVhcj48UmVj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</w:fldData>
        </w:fldChar>
      </w:r>
      <w:r>
        <w:instrText xml:space="preserve"> ADDIN EN.CITE.DATA </w:instrText>
      </w:r>
      <w:r>
        <w:fldChar w:fldCharType="end"/>
      </w:r>
      <w:r w:rsidRPr="00B71AC3">
        <w:fldChar w:fldCharType="separate"/>
      </w:r>
      <w:r>
        <w:rPr>
          <w:noProof/>
        </w:rPr>
        <w:t>(21)</w:t>
      </w:r>
      <w:r w:rsidRPr="00B71AC3">
        <w:fldChar w:fldCharType="end"/>
      </w:r>
    </w:p>
    <w:p w14:paraId="20BD102D" w14:textId="77777777" w:rsidR="00977CDE" w:rsidRPr="00054B0B" w:rsidRDefault="00977CDE" w:rsidP="00977CDE">
      <w:pPr>
        <w:pStyle w:val="EndNoteBibliography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page" w:horzAnchor="margin" w:tblpY="2331"/>
        <w:tblW w:w="847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4"/>
        <w:gridCol w:w="6779"/>
      </w:tblGrid>
      <w:tr w:rsidR="00977CDE" w:rsidRPr="00054B0B" w14:paraId="744BBDCA" w14:textId="77777777" w:rsidTr="00174ED5">
        <w:trPr>
          <w:trHeight w:val="392"/>
        </w:trPr>
        <w:tc>
          <w:tcPr>
            <w:tcW w:w="1694" w:type="dxa"/>
            <w:tcBorders>
              <w:top w:val="single" w:sz="12" w:space="0" w:color="auto"/>
              <w:bottom w:val="single" w:sz="12" w:space="0" w:color="auto"/>
            </w:tcBorders>
          </w:tcPr>
          <w:p w14:paraId="10225F20" w14:textId="77777777" w:rsidR="00977CDE" w:rsidRPr="00054B0B" w:rsidRDefault="00977CDE" w:rsidP="00174ED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4B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Area of management</w:t>
            </w:r>
          </w:p>
        </w:tc>
        <w:tc>
          <w:tcPr>
            <w:tcW w:w="6779" w:type="dxa"/>
            <w:tcBorders>
              <w:top w:val="single" w:sz="12" w:space="0" w:color="auto"/>
              <w:bottom w:val="single" w:sz="12" w:space="0" w:color="auto"/>
            </w:tcBorders>
          </w:tcPr>
          <w:p w14:paraId="11A7FAC3" w14:textId="77777777" w:rsidR="00977CDE" w:rsidRPr="00054B0B" w:rsidRDefault="00977CDE" w:rsidP="00174ED5">
            <w:pPr>
              <w:ind w:left="42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4B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Recommendations</w:t>
            </w:r>
          </w:p>
        </w:tc>
      </w:tr>
      <w:tr w:rsidR="00977CDE" w:rsidRPr="00054B0B" w14:paraId="205A517F" w14:textId="77777777" w:rsidTr="00174ED5">
        <w:trPr>
          <w:trHeight w:val="1714"/>
        </w:trPr>
        <w:tc>
          <w:tcPr>
            <w:tcW w:w="1694" w:type="dxa"/>
            <w:tcBorders>
              <w:top w:val="single" w:sz="12" w:space="0" w:color="auto"/>
            </w:tcBorders>
          </w:tcPr>
          <w:p w14:paraId="18BCDC01" w14:textId="77777777" w:rsidR="00977CDE" w:rsidRPr="00054B0B" w:rsidRDefault="00977CDE" w:rsidP="00174E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54B0B">
              <w:rPr>
                <w:rFonts w:asciiTheme="minorHAnsi" w:hAnsiTheme="minorHAnsi" w:cstheme="minorHAnsi"/>
                <w:sz w:val="20"/>
                <w:szCs w:val="20"/>
              </w:rPr>
              <w:t>Acute gout management</w:t>
            </w:r>
          </w:p>
        </w:tc>
        <w:tc>
          <w:tcPr>
            <w:tcW w:w="6779" w:type="dxa"/>
            <w:tcBorders>
              <w:top w:val="single" w:sz="12" w:space="0" w:color="auto"/>
            </w:tcBorders>
          </w:tcPr>
          <w:p w14:paraId="2050E250" w14:textId="77777777" w:rsidR="00977CDE" w:rsidRPr="00054B0B" w:rsidRDefault="00977CDE" w:rsidP="00174ED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>Low dose colchicine (total of 1.5 mg/day for 1 day only)</w:t>
            </w:r>
          </w:p>
          <w:p w14:paraId="5A06E9A2" w14:textId="77777777" w:rsidR="00977CDE" w:rsidRPr="00054B0B" w:rsidRDefault="00977CDE" w:rsidP="00174ED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>NSAIDs</w:t>
            </w:r>
          </w:p>
          <w:p w14:paraId="563DCC22" w14:textId="77777777" w:rsidR="00977CDE" w:rsidRPr="00054B0B" w:rsidRDefault="00977CDE" w:rsidP="00174ED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>Glucocorticoids</w:t>
            </w:r>
          </w:p>
          <w:p w14:paraId="1BCD1DDA" w14:textId="77777777" w:rsidR="00977CDE" w:rsidRPr="00054B0B" w:rsidRDefault="00977CDE" w:rsidP="00174ED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>Drug selection is influenced by comorbidities and concomitant medications</w:t>
            </w:r>
          </w:p>
          <w:p w14:paraId="26FF0472" w14:textId="77777777" w:rsidR="00977CDE" w:rsidRPr="00054B0B" w:rsidRDefault="00977CDE" w:rsidP="00174ED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>Combination therapy may be appropriate</w:t>
            </w:r>
          </w:p>
        </w:tc>
      </w:tr>
      <w:tr w:rsidR="00977CDE" w:rsidRPr="00054B0B" w14:paraId="226FA35B" w14:textId="77777777" w:rsidTr="00174ED5">
        <w:trPr>
          <w:trHeight w:val="392"/>
        </w:trPr>
        <w:tc>
          <w:tcPr>
            <w:tcW w:w="1694" w:type="dxa"/>
          </w:tcPr>
          <w:p w14:paraId="43F544EF" w14:textId="77777777" w:rsidR="00977CDE" w:rsidRPr="00054B0B" w:rsidRDefault="00977CDE" w:rsidP="00174E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54B0B">
              <w:rPr>
                <w:rFonts w:asciiTheme="minorHAnsi" w:hAnsiTheme="minorHAnsi" w:cstheme="minorHAnsi"/>
                <w:sz w:val="20"/>
                <w:szCs w:val="20"/>
              </w:rPr>
              <w:t>Target serum urate levels</w:t>
            </w:r>
          </w:p>
        </w:tc>
        <w:tc>
          <w:tcPr>
            <w:tcW w:w="6779" w:type="dxa"/>
          </w:tcPr>
          <w:p w14:paraId="33626FD3" w14:textId="77777777" w:rsidR="00977CDE" w:rsidRPr="00054B0B" w:rsidRDefault="00977CDE" w:rsidP="00174ED5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>Target SUA of &lt;0.36 mmol/l</w:t>
            </w:r>
          </w:p>
          <w:p w14:paraId="6268B3D0" w14:textId="77777777" w:rsidR="00977CDE" w:rsidRPr="00054B0B" w:rsidRDefault="00977CDE" w:rsidP="00174ED5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>Target SUA of &lt;0.3 mmol/l for tophaceous gout</w:t>
            </w:r>
          </w:p>
          <w:p w14:paraId="65C71B4F" w14:textId="77777777" w:rsidR="00977CDE" w:rsidRPr="00054B0B" w:rsidRDefault="00977CDE" w:rsidP="00174ED5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>Target SUA should be maintained in the long term and when reached should be monitored every 3-6 months</w:t>
            </w:r>
          </w:p>
        </w:tc>
      </w:tr>
      <w:tr w:rsidR="00977CDE" w:rsidRPr="00054B0B" w14:paraId="41772C50" w14:textId="77777777" w:rsidTr="00174ED5">
        <w:trPr>
          <w:trHeight w:val="423"/>
        </w:trPr>
        <w:tc>
          <w:tcPr>
            <w:tcW w:w="1694" w:type="dxa"/>
          </w:tcPr>
          <w:p w14:paraId="2FDAA4FD" w14:textId="77777777" w:rsidR="00977CDE" w:rsidRPr="00054B0B" w:rsidRDefault="00977CDE" w:rsidP="00174E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54B0B">
              <w:rPr>
                <w:rFonts w:asciiTheme="minorHAnsi" w:hAnsiTheme="minorHAnsi" w:cstheme="minorHAnsi"/>
                <w:sz w:val="20"/>
                <w:szCs w:val="20"/>
              </w:rPr>
              <w:t>Urate-lowering therapy</w:t>
            </w:r>
          </w:p>
        </w:tc>
        <w:tc>
          <w:tcPr>
            <w:tcW w:w="6779" w:type="dxa"/>
          </w:tcPr>
          <w:p w14:paraId="71F849F6" w14:textId="77777777" w:rsidR="00977CDE" w:rsidRPr="00054B0B" w:rsidRDefault="00977CDE" w:rsidP="00174ED5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>ULT dosage should be adjusted until target SUA is achieved</w:t>
            </w:r>
          </w:p>
          <w:p w14:paraId="5D3A4A37" w14:textId="77777777" w:rsidR="00977CDE" w:rsidRPr="00054B0B" w:rsidRDefault="00977CDE" w:rsidP="00174ED5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>Allopurinol is first-line ULT</w:t>
            </w:r>
          </w:p>
          <w:p w14:paraId="203E16E5" w14:textId="77777777" w:rsidR="00977CDE" w:rsidRPr="00054B0B" w:rsidRDefault="00977CDE" w:rsidP="00174ED5">
            <w:pPr>
              <w:pStyle w:val="ListParagraph"/>
              <w:numPr>
                <w:ilvl w:val="1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>During acute attacks, allopurinol should not be stopped</w:t>
            </w:r>
          </w:p>
          <w:p w14:paraId="09010CC9" w14:textId="77777777" w:rsidR="00977CDE" w:rsidRPr="00054B0B" w:rsidRDefault="00977CDE" w:rsidP="00174ED5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 xml:space="preserve">If allopurinol is not tolerated or cannot achieve target SUA, </w:t>
            </w:r>
            <w:proofErr w:type="gramStart"/>
            <w:r w:rsidRPr="00054B0B">
              <w:rPr>
                <w:rFonts w:cstheme="minorHAnsi"/>
                <w:sz w:val="20"/>
                <w:szCs w:val="20"/>
              </w:rPr>
              <w:t>second-line</w:t>
            </w:r>
            <w:proofErr w:type="gramEnd"/>
            <w:r w:rsidRPr="00054B0B">
              <w:rPr>
                <w:rFonts w:cstheme="minorHAnsi"/>
                <w:sz w:val="20"/>
                <w:szCs w:val="20"/>
              </w:rPr>
              <w:t xml:space="preserve"> ULT options are:</w:t>
            </w:r>
          </w:p>
          <w:p w14:paraId="08543A56" w14:textId="77777777" w:rsidR="00977CDE" w:rsidRPr="00054B0B" w:rsidRDefault="00977CDE" w:rsidP="00174ED5">
            <w:pPr>
              <w:pStyle w:val="ListParagraph"/>
              <w:numPr>
                <w:ilvl w:val="1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>Probenecid, benzbromarone* or febuxostat</w:t>
            </w:r>
          </w:p>
          <w:p w14:paraId="224EBB61" w14:textId="77777777" w:rsidR="00977CDE" w:rsidRPr="00054B0B" w:rsidRDefault="00977CDE" w:rsidP="00174ED5">
            <w:pPr>
              <w:pStyle w:val="ListParagraph"/>
              <w:numPr>
                <w:ilvl w:val="1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 xml:space="preserve">Choice of </w:t>
            </w:r>
            <w:proofErr w:type="gramStart"/>
            <w:r w:rsidRPr="00054B0B">
              <w:rPr>
                <w:rFonts w:cstheme="minorHAnsi"/>
                <w:sz w:val="20"/>
                <w:szCs w:val="20"/>
              </w:rPr>
              <w:t>second-line</w:t>
            </w:r>
            <w:proofErr w:type="gramEnd"/>
            <w:r w:rsidRPr="00054B0B">
              <w:rPr>
                <w:rFonts w:cstheme="minorHAnsi"/>
                <w:sz w:val="20"/>
                <w:szCs w:val="20"/>
              </w:rPr>
              <w:t xml:space="preserve"> ULT depends on patient comorbidities and/or concomitant medications</w:t>
            </w:r>
          </w:p>
        </w:tc>
      </w:tr>
      <w:tr w:rsidR="00977CDE" w:rsidRPr="00054B0B" w14:paraId="6D5DE8BF" w14:textId="77777777" w:rsidTr="00174ED5">
        <w:trPr>
          <w:trHeight w:val="392"/>
        </w:trPr>
        <w:tc>
          <w:tcPr>
            <w:tcW w:w="1694" w:type="dxa"/>
          </w:tcPr>
          <w:p w14:paraId="13EBDC1F" w14:textId="77777777" w:rsidR="00977CDE" w:rsidRPr="00054B0B" w:rsidRDefault="00977CDE" w:rsidP="00174E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54B0B">
              <w:rPr>
                <w:rFonts w:asciiTheme="minorHAnsi" w:hAnsiTheme="minorHAnsi" w:cstheme="minorHAnsi"/>
                <w:sz w:val="20"/>
                <w:szCs w:val="20"/>
              </w:rPr>
              <w:t>Prophylaxis when starting ULT</w:t>
            </w:r>
          </w:p>
        </w:tc>
        <w:tc>
          <w:tcPr>
            <w:tcW w:w="6779" w:type="dxa"/>
          </w:tcPr>
          <w:p w14:paraId="5A6849AE" w14:textId="77777777" w:rsidR="00977CDE" w:rsidRPr="00054B0B" w:rsidRDefault="00977CDE" w:rsidP="00174ED5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>Low-dose colchicine (0.5-1.0 mg/day for 6 months)</w:t>
            </w:r>
          </w:p>
          <w:p w14:paraId="6DDF8FCB" w14:textId="77777777" w:rsidR="00977CDE" w:rsidRPr="00054B0B" w:rsidRDefault="00977CDE" w:rsidP="00174ED5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>NSAIDs</w:t>
            </w:r>
          </w:p>
          <w:p w14:paraId="349C5B0E" w14:textId="77777777" w:rsidR="00977CDE" w:rsidRPr="00054B0B" w:rsidRDefault="00977CDE" w:rsidP="00174ED5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>Low-dose glucocorticoids</w:t>
            </w:r>
          </w:p>
        </w:tc>
      </w:tr>
      <w:tr w:rsidR="00977CDE" w:rsidRPr="00054B0B" w14:paraId="5390A8E7" w14:textId="77777777" w:rsidTr="00174ED5">
        <w:trPr>
          <w:trHeight w:val="392"/>
        </w:trPr>
        <w:tc>
          <w:tcPr>
            <w:tcW w:w="1694" w:type="dxa"/>
          </w:tcPr>
          <w:p w14:paraId="46B6DE39" w14:textId="77777777" w:rsidR="00977CDE" w:rsidRPr="00054B0B" w:rsidRDefault="00977CDE" w:rsidP="00174E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54B0B">
              <w:rPr>
                <w:rFonts w:asciiTheme="minorHAnsi" w:hAnsiTheme="minorHAnsi" w:cstheme="minorHAnsi"/>
                <w:sz w:val="20"/>
                <w:szCs w:val="20"/>
              </w:rPr>
              <w:t>Co-morbidities and related medications</w:t>
            </w:r>
          </w:p>
        </w:tc>
        <w:tc>
          <w:tcPr>
            <w:tcW w:w="6779" w:type="dxa"/>
          </w:tcPr>
          <w:p w14:paraId="70780DD7" w14:textId="77777777" w:rsidR="00977CDE" w:rsidRPr="00054B0B" w:rsidRDefault="00977CDE" w:rsidP="00174ED5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i/>
                <w:iCs/>
                <w:sz w:val="20"/>
                <w:szCs w:val="20"/>
              </w:rPr>
              <w:t>Impaired renal function:</w:t>
            </w:r>
            <w:r w:rsidRPr="00054B0B">
              <w:rPr>
                <w:rFonts w:cstheme="minorHAnsi"/>
                <w:sz w:val="20"/>
                <w:szCs w:val="20"/>
              </w:rPr>
              <w:t xml:space="preserve"> tolerance to allopurinol takes preference over renal function when escalating dosage from a low dose (maximum dose of 900 mg/day)</w:t>
            </w:r>
          </w:p>
          <w:p w14:paraId="48B7E8D7" w14:textId="77777777" w:rsidR="00977CDE" w:rsidRPr="00054B0B" w:rsidRDefault="00977CDE" w:rsidP="00174ED5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i/>
                <w:iCs/>
                <w:sz w:val="20"/>
                <w:szCs w:val="20"/>
              </w:rPr>
              <w:t xml:space="preserve">Impaired renal function, gastrointestinal </w:t>
            </w:r>
            <w:proofErr w:type="gramStart"/>
            <w:r w:rsidRPr="00054B0B">
              <w:rPr>
                <w:rFonts w:cstheme="minorHAnsi"/>
                <w:i/>
                <w:iCs/>
                <w:sz w:val="20"/>
                <w:szCs w:val="20"/>
              </w:rPr>
              <w:t>disease</w:t>
            </w:r>
            <w:proofErr w:type="gramEnd"/>
            <w:r w:rsidRPr="00054B0B">
              <w:rPr>
                <w:rFonts w:cstheme="minorHAnsi"/>
                <w:i/>
                <w:iCs/>
                <w:sz w:val="20"/>
                <w:szCs w:val="20"/>
              </w:rPr>
              <w:t xml:space="preserve"> or diabetes: </w:t>
            </w:r>
            <w:r w:rsidRPr="00054B0B">
              <w:rPr>
                <w:rFonts w:cstheme="minorHAnsi"/>
                <w:sz w:val="20"/>
                <w:szCs w:val="20"/>
              </w:rPr>
              <w:t>careful use of NSAIDs and glucocorticoids</w:t>
            </w:r>
          </w:p>
          <w:p w14:paraId="526C6422" w14:textId="77777777" w:rsidR="00977CDE" w:rsidRPr="00054B0B" w:rsidRDefault="00977CDE" w:rsidP="00174ED5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i/>
                <w:iCs/>
                <w:sz w:val="20"/>
                <w:szCs w:val="20"/>
              </w:rPr>
              <w:t>Renal impairment and strong CYP3A4 inhibitors</w:t>
            </w:r>
            <w:r w:rsidRPr="00054B0B">
              <w:rPr>
                <w:rFonts w:cstheme="minorHAnsi"/>
                <w:sz w:val="20"/>
                <w:szCs w:val="20"/>
              </w:rPr>
              <w:t>: reduce colchicine dose</w:t>
            </w:r>
          </w:p>
          <w:p w14:paraId="234A5900" w14:textId="77777777" w:rsidR="00977CDE" w:rsidRPr="00054B0B" w:rsidRDefault="00977CDE" w:rsidP="00174ED5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i/>
                <w:iCs/>
                <w:sz w:val="20"/>
                <w:szCs w:val="20"/>
              </w:rPr>
              <w:t>Azathioprine:</w:t>
            </w:r>
            <w:r w:rsidRPr="00054B0B">
              <w:rPr>
                <w:rFonts w:cstheme="minorHAnsi"/>
                <w:sz w:val="20"/>
                <w:szCs w:val="20"/>
              </w:rPr>
              <w:t xml:space="preserve"> if co-prescribed with allopurinol or febuxostat, azathioprine dosage should be reduced and carefully monitored</w:t>
            </w:r>
          </w:p>
          <w:p w14:paraId="76451702" w14:textId="77777777" w:rsidR="00977CDE" w:rsidRPr="00054B0B" w:rsidRDefault="00977CDE" w:rsidP="00174ED5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i/>
                <w:iCs/>
                <w:sz w:val="20"/>
                <w:szCs w:val="20"/>
              </w:rPr>
              <w:t>Nephrolithiasis:</w:t>
            </w:r>
            <w:r w:rsidRPr="00054B0B">
              <w:rPr>
                <w:rFonts w:cstheme="minorHAnsi"/>
                <w:sz w:val="20"/>
                <w:szCs w:val="20"/>
              </w:rPr>
              <w:t xml:space="preserve"> uricosurics should be used with caution</w:t>
            </w:r>
          </w:p>
        </w:tc>
      </w:tr>
      <w:tr w:rsidR="00977CDE" w:rsidRPr="00054B0B" w14:paraId="27EED98B" w14:textId="77777777" w:rsidTr="00174ED5">
        <w:trPr>
          <w:trHeight w:val="392"/>
        </w:trPr>
        <w:tc>
          <w:tcPr>
            <w:tcW w:w="1694" w:type="dxa"/>
          </w:tcPr>
          <w:p w14:paraId="6FAC8573" w14:textId="77777777" w:rsidR="00977CDE" w:rsidRPr="00054B0B" w:rsidRDefault="00977CDE" w:rsidP="00174E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54B0B">
              <w:rPr>
                <w:rFonts w:asciiTheme="minorHAnsi" w:hAnsiTheme="minorHAnsi" w:cstheme="minorHAnsi"/>
                <w:sz w:val="20"/>
                <w:szCs w:val="20"/>
              </w:rPr>
              <w:t>Tophi</w:t>
            </w:r>
          </w:p>
        </w:tc>
        <w:tc>
          <w:tcPr>
            <w:tcW w:w="6779" w:type="dxa"/>
          </w:tcPr>
          <w:p w14:paraId="48887D52" w14:textId="77777777" w:rsidR="00977CDE" w:rsidRPr="00054B0B" w:rsidRDefault="00977CDE" w:rsidP="00174ED5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>Tophi are a definite indication for intensive ULT, although surgery is not indicated in most cases</w:t>
            </w:r>
          </w:p>
          <w:p w14:paraId="373C8609" w14:textId="77777777" w:rsidR="00977CDE" w:rsidRPr="00054B0B" w:rsidRDefault="00977CDE" w:rsidP="00174ED5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4B0B">
              <w:rPr>
                <w:rFonts w:cstheme="minorHAnsi"/>
                <w:sz w:val="20"/>
                <w:szCs w:val="20"/>
              </w:rPr>
              <w:t>Short-term treatment of pegylated uricase recommended for refractory cases of tophi</w:t>
            </w:r>
          </w:p>
        </w:tc>
      </w:tr>
    </w:tbl>
    <w:p w14:paraId="111C6DE9" w14:textId="77777777" w:rsidR="00977CDE" w:rsidRPr="00054B0B" w:rsidRDefault="00977CDE" w:rsidP="00977CDE">
      <w:pPr>
        <w:pStyle w:val="EndNoteBibliography"/>
        <w:rPr>
          <w:rFonts w:asciiTheme="minorHAnsi" w:hAnsiTheme="minorHAnsi" w:cstheme="minorHAnsi"/>
        </w:rPr>
      </w:pPr>
    </w:p>
    <w:p w14:paraId="0AB130E8" w14:textId="77777777" w:rsidR="00977CDE" w:rsidRPr="001B0354" w:rsidRDefault="00977CDE" w:rsidP="00977CDE">
      <w:pPr>
        <w:spacing w:line="360" w:lineRule="auto"/>
      </w:pPr>
      <w:r w:rsidRPr="001B0354">
        <w:t>Abbreviations: NSAID, non-steroidal anti-inflammatory drug; SUA, serum urate; ULT, urate lowering therapy; CYP3A4; Cytochrome P450 3A4</w:t>
      </w:r>
    </w:p>
    <w:p w14:paraId="4AADDCAB" w14:textId="77777777" w:rsidR="00977CDE" w:rsidRPr="00054B0B" w:rsidRDefault="00977CDE" w:rsidP="00977CDE">
      <w:r w:rsidRPr="001B0354">
        <w:t>*</w:t>
      </w:r>
      <w:proofErr w:type="gramStart"/>
      <w:r w:rsidRPr="001B0354">
        <w:t>benzbromarone</w:t>
      </w:r>
      <w:proofErr w:type="gramEnd"/>
      <w:r w:rsidRPr="001B0354">
        <w:t xml:space="preserve"> not registered in Australia</w:t>
      </w:r>
      <w:r w:rsidRPr="00054B0B">
        <w:t>.</w:t>
      </w:r>
    </w:p>
    <w:sectPr w:rsidR="00977CDE" w:rsidRPr="00054B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952D6"/>
    <w:multiLevelType w:val="hybridMultilevel"/>
    <w:tmpl w:val="74D20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C8AD0">
      <w:start w:val="10"/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05C4E"/>
    <w:multiLevelType w:val="hybridMultilevel"/>
    <w:tmpl w:val="D1DA3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DE"/>
    <w:rsid w:val="006F4B70"/>
    <w:rsid w:val="0097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91B90"/>
  <w15:chartTrackingRefBased/>
  <w15:docId w15:val="{7B11B220-E48D-485F-A24C-6BB3C5EC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C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977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977CDE"/>
    <w:rPr>
      <w:rFonts w:eastAsiaTheme="minorHAnsi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77CDE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Nguyen</dc:creator>
  <cp:keywords/>
  <dc:description/>
  <cp:lastModifiedBy>Amy Nguyen</cp:lastModifiedBy>
  <cp:revision>1</cp:revision>
  <dcterms:created xsi:type="dcterms:W3CDTF">2021-10-12T05:53:00Z</dcterms:created>
  <dcterms:modified xsi:type="dcterms:W3CDTF">2021-10-12T05:58:00Z</dcterms:modified>
</cp:coreProperties>
</file>