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C58" w:rsidRPr="00E85C58" w:rsidRDefault="00E85C58" w:rsidP="00E85C5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E85C58">
        <w:rPr>
          <w:rFonts w:ascii="Arial" w:hAnsi="Arial" w:cs="Arial"/>
          <w:sz w:val="20"/>
          <w:szCs w:val="20"/>
          <w:lang w:val="en-US"/>
        </w:rPr>
        <w:t>Appendixes (Supplementary Tables 1 to 3)</w:t>
      </w:r>
    </w:p>
    <w:p w:rsidR="00E85C58" w:rsidRPr="00E85C58" w:rsidRDefault="00E85C58" w:rsidP="00E85C5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E85C58">
        <w:rPr>
          <w:rFonts w:ascii="Arial" w:hAnsi="Arial" w:cs="Arial"/>
          <w:sz w:val="20"/>
          <w:szCs w:val="20"/>
          <w:lang w:val="en-US"/>
        </w:rPr>
        <w:t>Supplementary Table A.1. Univariate Cox regression of overall survival and progression free survival total population</w:t>
      </w:r>
    </w:p>
    <w:tbl>
      <w:tblPr>
        <w:tblStyle w:val="Listentabelle6farbig"/>
        <w:tblW w:w="5000" w:type="pct"/>
        <w:jc w:val="center"/>
        <w:tblLook w:val="04A0" w:firstRow="1" w:lastRow="0" w:firstColumn="1" w:lastColumn="0" w:noHBand="0" w:noVBand="1"/>
      </w:tblPr>
      <w:tblGrid>
        <w:gridCol w:w="1990"/>
        <w:gridCol w:w="569"/>
        <w:gridCol w:w="854"/>
        <w:gridCol w:w="853"/>
        <w:gridCol w:w="1895"/>
        <w:gridCol w:w="853"/>
        <w:gridCol w:w="2274"/>
      </w:tblGrid>
      <w:tr w:rsidR="00E85C58" w:rsidRPr="00E85C58" w:rsidTr="00E85C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Total Population</w:t>
            </w: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450" w:type="pct"/>
            <w:shd w:val="clear" w:color="auto" w:fill="auto"/>
          </w:tcPr>
          <w:p w:rsidR="00E85C58" w:rsidRPr="00E85C58" w:rsidRDefault="00E85C58" w:rsidP="001136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1450" w:type="pct"/>
            <w:gridSpan w:val="2"/>
            <w:shd w:val="clear" w:color="auto" w:fill="auto"/>
          </w:tcPr>
          <w:p w:rsidR="00E85C58" w:rsidRPr="00E85C58" w:rsidRDefault="00E85C58" w:rsidP="001136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Overall Survival (59 events)</w:t>
            </w:r>
          </w:p>
        </w:tc>
        <w:tc>
          <w:tcPr>
            <w:tcW w:w="1650" w:type="pct"/>
            <w:gridSpan w:val="2"/>
            <w:shd w:val="clear" w:color="auto" w:fill="auto"/>
          </w:tcPr>
          <w:p w:rsidR="00E85C58" w:rsidRPr="00E85C58" w:rsidRDefault="00E85C58" w:rsidP="001136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Progression Free Survival (87 events)</w:t>
            </w:r>
          </w:p>
        </w:tc>
      </w:tr>
      <w:tr w:rsidR="00E85C58" w:rsidRPr="00E85C58" w:rsidTr="00E85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</w:p>
        </w:tc>
        <w:tc>
          <w:tcPr>
            <w:tcW w:w="450" w:type="pct"/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Mean or rate</w:t>
            </w:r>
          </w:p>
        </w:tc>
        <w:tc>
          <w:tcPr>
            <w:tcW w:w="450" w:type="pct"/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1000" w:type="pct"/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Hazard Ratio (95% CI)</w:t>
            </w:r>
          </w:p>
        </w:tc>
        <w:tc>
          <w:tcPr>
            <w:tcW w:w="450" w:type="pct"/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1150" w:type="pct"/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Hazard Ratio (95% CI)</w:t>
            </w:r>
          </w:p>
        </w:tc>
      </w:tr>
      <w:tr w:rsidR="00E85C58" w:rsidRPr="00E85C58" w:rsidTr="00E85C5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Therapy group: TKI</w:t>
            </w: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98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46/98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0.358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0.781 (0.468-1.307)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0.011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0.573 (0.373-0.881)</w:t>
            </w:r>
          </w:p>
        </w:tc>
      </w:tr>
      <w:tr w:rsidR="00E85C58" w:rsidRPr="00E85C58" w:rsidTr="00E85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No liver metastases</w:t>
            </w: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98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77/98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0.012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0.490 (0.282-0.853)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0.002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0.449 (0.269-0.748)</w:t>
            </w:r>
          </w:p>
        </w:tc>
      </w:tr>
      <w:tr w:rsidR="00E85C58" w:rsidRPr="00E85C58" w:rsidTr="00E85C5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ECOG &gt;0</w:t>
            </w: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43/95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0.017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1.887 (1.119-3.180)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0.019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1.694 (1.091-2.631)</w:t>
            </w:r>
          </w:p>
        </w:tc>
      </w:tr>
      <w:tr w:rsidR="00E85C58" w:rsidRPr="00E85C58" w:rsidTr="00E85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proofErr w:type="spellStart"/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Cyfra</w:t>
            </w:r>
            <w:proofErr w:type="spellEnd"/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 xml:space="preserve"> 21.1 [ng/ml]</w:t>
            </w: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84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9.1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1.036 (1.016-1.056)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1.029 (1.012-1.047)</w:t>
            </w:r>
          </w:p>
        </w:tc>
      </w:tr>
      <w:tr w:rsidR="00E85C58" w:rsidRPr="00E85C58" w:rsidTr="00E85C5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85C58" w:rsidRPr="00E85C58" w:rsidTr="00E85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Pre-therapeutic MRI</w:t>
            </w: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85C58" w:rsidRPr="00E85C58" w:rsidTr="00E85C5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40s post CM [SI/10]</w:t>
            </w: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98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14.62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0.125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0.930 (0.848-1.020)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0.031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0.921 (0.855-0.993)</w:t>
            </w:r>
          </w:p>
        </w:tc>
      </w:tr>
      <w:tr w:rsidR="00E85C58" w:rsidRPr="00E85C58" w:rsidTr="00E85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40s rel. uptake [%]</w:t>
            </w: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98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29.9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0.088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0.986 (0.971-1.002)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0.247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0.993 (0.981-1.005)</w:t>
            </w:r>
          </w:p>
        </w:tc>
      </w:tr>
      <w:tr w:rsidR="00E85C58" w:rsidRPr="00E85C58" w:rsidTr="00E85C5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Slope 0s-40s [*10]</w:t>
            </w: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98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8.32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0.058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0.948 (0.898-1.002)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0.105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0.966 (0.927-1.007)</w:t>
            </w:r>
          </w:p>
        </w:tc>
      </w:tr>
      <w:tr w:rsidR="00E85C58" w:rsidRPr="00E85C58" w:rsidTr="00E85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70s post CM [SI/10]</w:t>
            </w: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15.60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0.006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0.872 (0.791-0.962)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0.004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0.893 (0.826-0.965)</w:t>
            </w:r>
          </w:p>
        </w:tc>
      </w:tr>
      <w:tr w:rsidR="00E85C58" w:rsidRPr="00E85C58" w:rsidTr="00E85C5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70s rel. uptake [%]</w:t>
            </w: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39.6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0.011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0.984 (0.972-0.996)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0.158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0.993 (0.984-1.003)</w:t>
            </w:r>
          </w:p>
        </w:tc>
      </w:tr>
      <w:tr w:rsidR="00E85C58" w:rsidRPr="00E85C58" w:rsidTr="00E85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Slope 0s-70s [*10]</w:t>
            </w: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6.15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0.003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0.879 (0.808-0.957)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0.029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0.929 (0.869-0.993)</w:t>
            </w:r>
          </w:p>
        </w:tc>
      </w:tr>
      <w:tr w:rsidR="00E85C58" w:rsidRPr="00E85C58" w:rsidTr="00E85C5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85C58" w:rsidRPr="00E85C58" w:rsidTr="00E85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Post-therapeutic MRI</w:t>
            </w: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E85C58" w:rsidRPr="00E85C58" w:rsidTr="00E85C5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40s post CM [SI/10]</w:t>
            </w: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14.74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0.048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0.911 (0.830-0.999)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0.015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0.902 (0.831-0.980)</w:t>
            </w:r>
          </w:p>
        </w:tc>
      </w:tr>
      <w:tr w:rsidR="00E85C58" w:rsidRPr="00E85C58" w:rsidTr="00E85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40s rel. uptake [%]</w:t>
            </w: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27.6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0.017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0.986 (0.965-0.997)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0.003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0.981 (0.968-0.994)</w:t>
            </w:r>
          </w:p>
        </w:tc>
      </w:tr>
      <w:tr w:rsidR="00E85C58" w:rsidRPr="00E85C58" w:rsidTr="00E85C5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Slope 0s-40s [*10]</w:t>
            </w: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97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7.85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0.008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0.929 (0.880-0.981)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0.003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0.933 (0.892-0.977)</w:t>
            </w:r>
          </w:p>
        </w:tc>
      </w:tr>
      <w:tr w:rsidR="00E85C58" w:rsidRPr="00E85C58" w:rsidTr="00E85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70s post CM [SI/10]</w:t>
            </w: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96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15.65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0.028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0.899 (0.817-0.989)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0.007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0.898 (0.829-0.971)</w:t>
            </w:r>
          </w:p>
        </w:tc>
      </w:tr>
      <w:tr w:rsidR="00E85C58" w:rsidRPr="00E85C58" w:rsidTr="00E85C5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70s rel. uptake [%]</w:t>
            </w: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96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36.4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0.108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0.991 (0.979-1.002)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0.034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0.990 (0.981-0.999)</w:t>
            </w:r>
          </w:p>
        </w:tc>
      </w:tr>
      <w:tr w:rsidR="00E85C58" w:rsidRPr="00E85C58" w:rsidTr="00E85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Slope 0s-70s [*10]</w:t>
            </w:r>
          </w:p>
        </w:tc>
        <w:tc>
          <w:tcPr>
            <w:tcW w:w="300" w:type="pct"/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96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5.75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0.045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0.925 (0.858-0.998)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0.013</w:t>
            </w:r>
          </w:p>
        </w:tc>
        <w:tc>
          <w:tcPr>
            <w:tcW w:w="11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0.925 (0.869-0.984)</w:t>
            </w:r>
          </w:p>
        </w:tc>
      </w:tr>
    </w:tbl>
    <w:p w:rsidR="00E85C58" w:rsidRPr="00E85C58" w:rsidRDefault="00E85C58" w:rsidP="00E85C5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E85C58" w:rsidRPr="00E85C58" w:rsidRDefault="00E85C58" w:rsidP="00E85C5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E85C58">
        <w:rPr>
          <w:rFonts w:ascii="Arial" w:hAnsi="Arial" w:cs="Arial"/>
          <w:sz w:val="20"/>
          <w:szCs w:val="20"/>
          <w:lang w:val="en-US"/>
        </w:rPr>
        <w:t xml:space="preserve">Supplementary Table A.2. Multivariate Cox Regression of </w:t>
      </w:r>
      <w:proofErr w:type="spellStart"/>
      <w:r w:rsidRPr="00E85C58">
        <w:rPr>
          <w:rFonts w:ascii="Arial" w:hAnsi="Arial" w:cs="Arial"/>
          <w:sz w:val="20"/>
          <w:szCs w:val="20"/>
          <w:lang w:val="en-US"/>
        </w:rPr>
        <w:t>FAMoS</w:t>
      </w:r>
      <w:proofErr w:type="spellEnd"/>
      <w:r w:rsidRPr="00E85C58">
        <w:rPr>
          <w:rFonts w:ascii="Arial" w:hAnsi="Arial" w:cs="Arial"/>
          <w:sz w:val="20"/>
          <w:szCs w:val="20"/>
          <w:lang w:val="en-US"/>
        </w:rPr>
        <w:t xml:space="preserve"> selected variables referring to OS</w:t>
      </w:r>
    </w:p>
    <w:tbl>
      <w:tblPr>
        <w:tblStyle w:val="Listentabelle6farbig"/>
        <w:tblW w:w="5050" w:type="pct"/>
        <w:tblLayout w:type="fixed"/>
        <w:tblLook w:val="04A0" w:firstRow="1" w:lastRow="0" w:firstColumn="1" w:lastColumn="0" w:noHBand="0" w:noVBand="1"/>
      </w:tblPr>
      <w:tblGrid>
        <w:gridCol w:w="1628"/>
        <w:gridCol w:w="766"/>
        <w:gridCol w:w="1819"/>
        <w:gridCol w:w="862"/>
        <w:gridCol w:w="1723"/>
        <w:gridCol w:w="861"/>
        <w:gridCol w:w="1722"/>
      </w:tblGrid>
      <w:tr w:rsidR="00E85C58" w:rsidRPr="00E85C58" w:rsidTr="00E85C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pct"/>
            <w:tcBorders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bookmarkStart w:id="0" w:name="_Hlk70430335"/>
          </w:p>
        </w:tc>
        <w:tc>
          <w:tcPr>
            <w:tcW w:w="400" w:type="pct"/>
            <w:tcBorders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900" w:type="pct"/>
            <w:tcBorders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Hazard Ratio</w:t>
            </w:r>
          </w:p>
          <w:p w:rsidR="00E85C58" w:rsidRPr="00E85C58" w:rsidRDefault="00E85C58" w:rsidP="00113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450" w:type="pct"/>
            <w:tcBorders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900" w:type="pct"/>
            <w:tcBorders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Hazard Ratio</w:t>
            </w:r>
          </w:p>
          <w:p w:rsidR="00E85C58" w:rsidRPr="00E85C58" w:rsidRDefault="00E85C58" w:rsidP="00113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450" w:type="pct"/>
            <w:tcBorders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900" w:type="pct"/>
            <w:tcBorders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Hazard Ratio</w:t>
            </w:r>
          </w:p>
          <w:p w:rsidR="00E85C58" w:rsidRPr="00E85C58" w:rsidRDefault="00E85C58" w:rsidP="00113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(95% CI)</w:t>
            </w:r>
          </w:p>
        </w:tc>
      </w:tr>
      <w:tr w:rsidR="00E85C58" w:rsidRPr="00E85C58" w:rsidTr="00E85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135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 xml:space="preserve">Clinical model (n = 83; events = 53; AIC = </w:t>
            </w:r>
            <w:proofErr w:type="gramStart"/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394)</w:t>
            </w:r>
            <w:r w:rsidRPr="00E85C58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*</w:t>
            </w:r>
            <w:proofErr w:type="gramEnd"/>
          </w:p>
        </w:tc>
        <w:tc>
          <w:tcPr>
            <w:tcW w:w="135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Clinical model + pre-therapeutic MRI (n = 82; events =52; AIC = 383)</w:t>
            </w:r>
          </w:p>
        </w:tc>
        <w:tc>
          <w:tcPr>
            <w:tcW w:w="135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Clinical model + pre-therapeutic MRI + post-therapeutic MRI (n = 81; events = 51; AIC = 373)</w:t>
            </w:r>
          </w:p>
        </w:tc>
      </w:tr>
      <w:tr w:rsidR="00E85C58" w:rsidRPr="00E85C58" w:rsidTr="00E85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pct"/>
            <w:tcBorders>
              <w:top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Therapy group: TKI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0.283</w:t>
            </w:r>
          </w:p>
        </w:tc>
        <w:tc>
          <w:tcPr>
            <w:tcW w:w="900" w:type="pct"/>
            <w:tcBorders>
              <w:top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0.739 (0.425-1.284)</w:t>
            </w:r>
          </w:p>
        </w:tc>
        <w:tc>
          <w:tcPr>
            <w:tcW w:w="450" w:type="pct"/>
            <w:tcBorders>
              <w:top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0.875</w:t>
            </w:r>
          </w:p>
        </w:tc>
        <w:tc>
          <w:tcPr>
            <w:tcW w:w="900" w:type="pct"/>
            <w:tcBorders>
              <w:top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0.953 (0.526-1.729)</w:t>
            </w:r>
          </w:p>
        </w:tc>
        <w:tc>
          <w:tcPr>
            <w:tcW w:w="450" w:type="pct"/>
            <w:tcBorders>
              <w:top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0.724</w:t>
            </w:r>
          </w:p>
        </w:tc>
        <w:tc>
          <w:tcPr>
            <w:tcW w:w="900" w:type="pct"/>
            <w:tcBorders>
              <w:top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0.118 (0.603-2.072)</w:t>
            </w:r>
          </w:p>
        </w:tc>
      </w:tr>
      <w:tr w:rsidR="00E85C58" w:rsidRPr="00E85C58" w:rsidTr="00E85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Liver metastases</w:t>
            </w:r>
          </w:p>
        </w:tc>
        <w:tc>
          <w:tcPr>
            <w:tcW w:w="40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0.059</w:t>
            </w:r>
          </w:p>
        </w:tc>
        <w:tc>
          <w:tcPr>
            <w:tcW w:w="90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1.920 (0.974-3.787)</w:t>
            </w:r>
          </w:p>
        </w:tc>
        <w:tc>
          <w:tcPr>
            <w:tcW w:w="45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0.080</w:t>
            </w:r>
          </w:p>
        </w:tc>
        <w:tc>
          <w:tcPr>
            <w:tcW w:w="90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1.848 (0.929-3.677)</w:t>
            </w:r>
          </w:p>
        </w:tc>
        <w:tc>
          <w:tcPr>
            <w:tcW w:w="45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0.130</w:t>
            </w:r>
          </w:p>
        </w:tc>
        <w:tc>
          <w:tcPr>
            <w:tcW w:w="90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1.742 (0.850-3.569)</w:t>
            </w:r>
          </w:p>
        </w:tc>
      </w:tr>
      <w:tr w:rsidR="00E85C58" w:rsidRPr="00E85C58" w:rsidTr="00E85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proofErr w:type="spellStart"/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Cyfra</w:t>
            </w:r>
            <w:proofErr w:type="spellEnd"/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 xml:space="preserve"> 21.1</w:t>
            </w:r>
          </w:p>
        </w:tc>
        <w:tc>
          <w:tcPr>
            <w:tcW w:w="40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0.051</w:t>
            </w:r>
          </w:p>
        </w:tc>
        <w:tc>
          <w:tcPr>
            <w:tcW w:w="90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1.024 (0.999-1.048)</w:t>
            </w:r>
          </w:p>
        </w:tc>
        <w:tc>
          <w:tcPr>
            <w:tcW w:w="45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0.134</w:t>
            </w:r>
          </w:p>
        </w:tc>
        <w:tc>
          <w:tcPr>
            <w:tcW w:w="90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1.019 (0.994-1.044)</w:t>
            </w:r>
          </w:p>
        </w:tc>
        <w:tc>
          <w:tcPr>
            <w:tcW w:w="45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0.096</w:t>
            </w:r>
          </w:p>
        </w:tc>
        <w:tc>
          <w:tcPr>
            <w:tcW w:w="90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1.022 (0.996-1.049)</w:t>
            </w:r>
          </w:p>
        </w:tc>
      </w:tr>
      <w:tr w:rsidR="00E85C58" w:rsidRPr="00E85C58" w:rsidTr="00E85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ECOG = 0</w:t>
            </w:r>
          </w:p>
        </w:tc>
        <w:tc>
          <w:tcPr>
            <w:tcW w:w="40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0.025</w:t>
            </w:r>
          </w:p>
        </w:tc>
        <w:tc>
          <w:tcPr>
            <w:tcW w:w="90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0.532 (0.306-0.925)</w:t>
            </w:r>
          </w:p>
        </w:tc>
        <w:tc>
          <w:tcPr>
            <w:tcW w:w="45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0.048</w:t>
            </w:r>
          </w:p>
        </w:tc>
        <w:tc>
          <w:tcPr>
            <w:tcW w:w="90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0.568 (0.324-0.985)</w:t>
            </w:r>
          </w:p>
        </w:tc>
        <w:tc>
          <w:tcPr>
            <w:tcW w:w="45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0.050</w:t>
            </w:r>
          </w:p>
        </w:tc>
        <w:tc>
          <w:tcPr>
            <w:tcW w:w="90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0.568 (0.322-1.000)</w:t>
            </w:r>
          </w:p>
        </w:tc>
      </w:tr>
      <w:tr w:rsidR="00E85C58" w:rsidRPr="00E85C58" w:rsidTr="00E85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Tumor pre-therapeutic MRI</w:t>
            </w:r>
          </w:p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Slope 0s-70s [*10]</w:t>
            </w:r>
          </w:p>
        </w:tc>
        <w:tc>
          <w:tcPr>
            <w:tcW w:w="40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0.025</w:t>
            </w:r>
          </w:p>
        </w:tc>
        <w:tc>
          <w:tcPr>
            <w:tcW w:w="9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0.889 (0.801-0.985)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0.090</w:t>
            </w:r>
          </w:p>
        </w:tc>
        <w:tc>
          <w:tcPr>
            <w:tcW w:w="9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0.911 (0.817-1.015)</w:t>
            </w:r>
          </w:p>
        </w:tc>
      </w:tr>
      <w:tr w:rsidR="00E85C58" w:rsidRPr="00E85C58" w:rsidTr="00E85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 xml:space="preserve">Tumor post-therapeutic MRI </w:t>
            </w:r>
          </w:p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Slope 0s-40s [*10]</w:t>
            </w:r>
          </w:p>
        </w:tc>
        <w:tc>
          <w:tcPr>
            <w:tcW w:w="40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0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0.117</w:t>
            </w:r>
          </w:p>
        </w:tc>
        <w:tc>
          <w:tcPr>
            <w:tcW w:w="900" w:type="pct"/>
            <w:shd w:val="clear" w:color="auto" w:fill="auto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0.940 (0.870-1.016)</w:t>
            </w:r>
          </w:p>
        </w:tc>
      </w:tr>
      <w:bookmarkEnd w:id="0"/>
    </w:tbl>
    <w:p w:rsidR="00E85C58" w:rsidRPr="00E85C58" w:rsidRDefault="00E85C58" w:rsidP="00E85C5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:rsidR="00E85C58" w:rsidRPr="00E85C58" w:rsidRDefault="00E85C58" w:rsidP="00E85C58">
      <w:pPr>
        <w:spacing w:after="160" w:line="259" w:lineRule="auto"/>
        <w:rPr>
          <w:rFonts w:ascii="Arial" w:hAnsi="Arial" w:cs="Arial"/>
          <w:sz w:val="20"/>
          <w:szCs w:val="20"/>
          <w:lang w:val="en-US"/>
        </w:rPr>
      </w:pPr>
      <w:r w:rsidRPr="00E85C58">
        <w:rPr>
          <w:rFonts w:ascii="Arial" w:hAnsi="Arial" w:cs="Arial"/>
          <w:sz w:val="20"/>
          <w:szCs w:val="20"/>
          <w:lang w:val="en-US"/>
        </w:rPr>
        <w:br w:type="page"/>
      </w:r>
      <w:bookmarkStart w:id="1" w:name="_GoBack"/>
      <w:bookmarkEnd w:id="1"/>
    </w:p>
    <w:p w:rsidR="00E85C58" w:rsidRPr="00E85C58" w:rsidRDefault="00E85C58" w:rsidP="00E85C58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E85C58">
        <w:rPr>
          <w:rFonts w:ascii="Arial" w:hAnsi="Arial" w:cs="Arial"/>
          <w:sz w:val="20"/>
          <w:szCs w:val="20"/>
          <w:lang w:val="en-US"/>
        </w:rPr>
        <w:lastRenderedPageBreak/>
        <w:t xml:space="preserve">Supplementary Table A.3. Multivariate Cox Regression of </w:t>
      </w:r>
      <w:proofErr w:type="spellStart"/>
      <w:r w:rsidRPr="00E85C58">
        <w:rPr>
          <w:rFonts w:ascii="Arial" w:hAnsi="Arial" w:cs="Arial"/>
          <w:sz w:val="20"/>
          <w:szCs w:val="20"/>
          <w:lang w:val="en-US"/>
        </w:rPr>
        <w:t>FAMoS</w:t>
      </w:r>
      <w:proofErr w:type="spellEnd"/>
      <w:r w:rsidRPr="00E85C58">
        <w:rPr>
          <w:rFonts w:ascii="Arial" w:hAnsi="Arial" w:cs="Arial"/>
          <w:sz w:val="20"/>
          <w:szCs w:val="20"/>
          <w:lang w:val="en-US"/>
        </w:rPr>
        <w:t xml:space="preserve"> selected variables referring to PFS</w:t>
      </w:r>
    </w:p>
    <w:tbl>
      <w:tblPr>
        <w:tblStyle w:val="Listentabelle1hell"/>
        <w:tblW w:w="5050" w:type="pct"/>
        <w:jc w:val="center"/>
        <w:tblLook w:val="04A0" w:firstRow="1" w:lastRow="0" w:firstColumn="1" w:lastColumn="0" w:noHBand="0" w:noVBand="1"/>
      </w:tblPr>
      <w:tblGrid>
        <w:gridCol w:w="1628"/>
        <w:gridCol w:w="766"/>
        <w:gridCol w:w="1915"/>
        <w:gridCol w:w="958"/>
        <w:gridCol w:w="1244"/>
        <w:gridCol w:w="765"/>
        <w:gridCol w:w="2105"/>
      </w:tblGrid>
      <w:tr w:rsidR="00E85C58" w:rsidRPr="00E85C58" w:rsidTr="00E85C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pct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400" w:type="pct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1000" w:type="pct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Hazard Ratio (95% CI)</w:t>
            </w:r>
          </w:p>
        </w:tc>
        <w:tc>
          <w:tcPr>
            <w:tcW w:w="500" w:type="pct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650" w:type="pct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HR</w:t>
            </w:r>
          </w:p>
        </w:tc>
        <w:tc>
          <w:tcPr>
            <w:tcW w:w="400" w:type="pct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1050" w:type="pct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Hazard Ratio (95% CI)</w:t>
            </w:r>
          </w:p>
        </w:tc>
      </w:tr>
      <w:tr w:rsidR="00E85C58" w:rsidRPr="00E85C58" w:rsidTr="00E85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140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Clinical model (n = 83; events = 76; AIC = 529)</w:t>
            </w:r>
          </w:p>
        </w:tc>
        <w:tc>
          <w:tcPr>
            <w:tcW w:w="115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Clinical model + pre-therapeutic MRI</w:t>
            </w:r>
          </w:p>
        </w:tc>
        <w:tc>
          <w:tcPr>
            <w:tcW w:w="150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Clinical model + pre-therapeutic MRI + post-therapeutic MRI (n = 96, events = 85; AIC = 618)</w:t>
            </w:r>
          </w:p>
        </w:tc>
      </w:tr>
      <w:tr w:rsidR="00E85C58" w:rsidRPr="00E85C58" w:rsidTr="00E85C5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pct"/>
            <w:tcBorders>
              <w:top w:val="single" w:sz="1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Therapy group: TKI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0.003</w:t>
            </w:r>
          </w:p>
        </w:tc>
        <w:tc>
          <w:tcPr>
            <w:tcW w:w="100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0.477 (0.295-0.773)</w:t>
            </w:r>
          </w:p>
        </w:tc>
        <w:tc>
          <w:tcPr>
            <w:tcW w:w="50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5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0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0.028</w:t>
            </w:r>
          </w:p>
        </w:tc>
        <w:tc>
          <w:tcPr>
            <w:tcW w:w="1050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0.608 (0.390-0.946)</w:t>
            </w:r>
          </w:p>
        </w:tc>
      </w:tr>
      <w:tr w:rsidR="00E85C58" w:rsidRPr="00E85C58" w:rsidTr="00E85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Liver metastases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0.028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2.055 (1.082-3.904)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3.079 (1.757-5.396)</w:t>
            </w:r>
          </w:p>
        </w:tc>
      </w:tr>
      <w:tr w:rsidR="00E85C58" w:rsidRPr="00E85C58" w:rsidTr="00E85C5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proofErr w:type="spellStart"/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Cyfra</w:t>
            </w:r>
            <w:proofErr w:type="spellEnd"/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 xml:space="preserve"> 21.1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0.077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1.018 (0.998-1.038)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00" w:type="pct"/>
            <w:gridSpan w:val="2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Cyfra</w:t>
            </w:r>
            <w:proofErr w:type="spellEnd"/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 xml:space="preserve"> 21.1 no benefit</w:t>
            </w:r>
          </w:p>
        </w:tc>
      </w:tr>
      <w:tr w:rsidR="00E85C58" w:rsidRPr="00E85C58" w:rsidTr="00E85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ECOG = 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0.035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0.595 (0.368-0.964)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0.012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0.568 (0.322-1.000)</w:t>
            </w:r>
          </w:p>
        </w:tc>
      </w:tr>
      <w:tr w:rsidR="00E85C58" w:rsidRPr="00E85C58" w:rsidTr="00E85C5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pct"/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0" w:type="pct"/>
            <w:gridSpan w:val="2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Pre-therapeutic MRI no benefit</w:t>
            </w:r>
          </w:p>
        </w:tc>
        <w:tc>
          <w:tcPr>
            <w:tcW w:w="1500" w:type="pct"/>
            <w:gridSpan w:val="2"/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Pre-therapeutic MRI no benefit</w:t>
            </w:r>
          </w:p>
        </w:tc>
      </w:tr>
      <w:tr w:rsidR="00E85C58" w:rsidRPr="00E85C58" w:rsidTr="00E85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pct"/>
            <w:tcBorders>
              <w:bottom w:val="single" w:sz="2" w:space="0" w:color="auto"/>
            </w:tcBorders>
            <w:shd w:val="clear" w:color="auto" w:fill="auto"/>
          </w:tcPr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 xml:space="preserve">Tumor post-therapeutic MRI </w:t>
            </w:r>
          </w:p>
          <w:p w:rsidR="00E85C58" w:rsidRPr="00E85C58" w:rsidRDefault="00E85C58" w:rsidP="0011364E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b w:val="0"/>
                <w:sz w:val="16"/>
                <w:szCs w:val="16"/>
                <w:lang w:val="en-US"/>
              </w:rPr>
              <w:t>Rel. Uptake 40s</w:t>
            </w:r>
          </w:p>
        </w:tc>
        <w:tc>
          <w:tcPr>
            <w:tcW w:w="400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00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0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50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00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1050" w:type="pct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E85C58" w:rsidRPr="00E85C58" w:rsidRDefault="00E85C58" w:rsidP="001136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85C58">
              <w:rPr>
                <w:rFonts w:ascii="Arial" w:hAnsi="Arial" w:cs="Arial"/>
                <w:sz w:val="16"/>
                <w:szCs w:val="16"/>
                <w:lang w:val="en-US"/>
              </w:rPr>
              <w:t>0.976 (0.963-0.990)</w:t>
            </w:r>
          </w:p>
        </w:tc>
      </w:tr>
    </w:tbl>
    <w:p w:rsidR="00E85C58" w:rsidRPr="00E85C58" w:rsidRDefault="00E85C58" w:rsidP="00E85C58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</w:p>
    <w:p w:rsidR="006D2198" w:rsidRPr="00E85C58" w:rsidRDefault="006D2198"/>
    <w:sectPr w:rsidR="006D2198" w:rsidRPr="00E85C5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C58"/>
    <w:rsid w:val="00062E7B"/>
    <w:rsid w:val="006A689C"/>
    <w:rsid w:val="006D2198"/>
    <w:rsid w:val="006F2CF3"/>
    <w:rsid w:val="00E8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F068B1-4FCC-4681-A169-241ABB6CD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85C5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Listentabelle6farbig">
    <w:name w:val="List Table 6 Colorful"/>
    <w:basedOn w:val="NormaleTabelle"/>
    <w:uiPriority w:val="51"/>
    <w:rsid w:val="00E85C5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">
    <w:name w:val="List Table 1 Light"/>
    <w:basedOn w:val="NormaleTabelle"/>
    <w:uiPriority w:val="46"/>
    <w:rsid w:val="00E85C5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Rheinheimer, Stephan</dc:creator>
  <cp:keywords/>
  <dc:description/>
  <cp:lastModifiedBy>Rheinheimer, Stephan</cp:lastModifiedBy>
  <cp:revision>1</cp:revision>
  <dcterms:created xsi:type="dcterms:W3CDTF">2022-03-14T11:54:00Z</dcterms:created>
  <dcterms:modified xsi:type="dcterms:W3CDTF">2022-03-14T12:25:00Z</dcterms:modified>
</cp:coreProperties>
</file>