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0D8B5" w14:textId="19F0A5FB" w:rsidR="00F15670" w:rsidRPr="00D54599" w:rsidRDefault="00A86042" w:rsidP="00CC4592">
      <w:pPr>
        <w:spacing w:after="0" w:line="240" w:lineRule="auto"/>
        <w:rPr>
          <w:rFonts w:ascii="Times New Roman" w:hAnsi="Times New Roman" w:cs="Times New Roman"/>
        </w:rPr>
      </w:pPr>
      <w:r w:rsidRPr="00D54599">
        <w:rPr>
          <w:rFonts w:ascii="Times New Roman" w:hAnsi="Times New Roman" w:cs="Times New Roman"/>
          <w:b/>
        </w:rPr>
        <w:t>T</w:t>
      </w:r>
      <w:r w:rsidR="00CC4592" w:rsidRPr="00D54599">
        <w:rPr>
          <w:rFonts w:ascii="Times New Roman" w:hAnsi="Times New Roman" w:cs="Times New Roman"/>
          <w:b/>
        </w:rPr>
        <w:t>able S1</w:t>
      </w:r>
      <w:r w:rsidR="00CC4592" w:rsidRPr="00D54599">
        <w:rPr>
          <w:rFonts w:ascii="Times New Roman" w:hAnsi="Times New Roman" w:cs="Times New Roman"/>
        </w:rPr>
        <w:t xml:space="preserve">. Age- and sex- specific reference daily values for </w:t>
      </w:r>
      <w:r w:rsidR="005667DC" w:rsidRPr="00D54599">
        <w:rPr>
          <w:rFonts w:ascii="Times New Roman" w:hAnsi="Times New Roman" w:cs="Times New Roman"/>
          <w:b/>
        </w:rPr>
        <w:t>young age group</w:t>
      </w:r>
      <w:r w:rsidR="00CC4592" w:rsidRPr="00D54599">
        <w:rPr>
          <w:rFonts w:ascii="Times New Roman" w:hAnsi="Times New Roman" w:cs="Times New Roman"/>
        </w:rPr>
        <w:t xml:space="preserve"> used for the calculation of NRF 9.3</w:t>
      </w:r>
    </w:p>
    <w:tbl>
      <w:tblPr>
        <w:tblStyle w:val="TableGrid"/>
        <w:tblW w:w="13698" w:type="dxa"/>
        <w:tblLook w:val="04A0" w:firstRow="1" w:lastRow="0" w:firstColumn="1" w:lastColumn="0" w:noHBand="0" w:noVBand="1"/>
      </w:tblPr>
      <w:tblGrid>
        <w:gridCol w:w="2340"/>
        <w:gridCol w:w="1110"/>
        <w:gridCol w:w="1464"/>
        <w:gridCol w:w="1464"/>
        <w:gridCol w:w="1464"/>
        <w:gridCol w:w="1464"/>
        <w:gridCol w:w="1464"/>
        <w:gridCol w:w="1464"/>
        <w:gridCol w:w="1464"/>
      </w:tblGrid>
      <w:tr w:rsidR="00785BA1" w:rsidRPr="00D54599" w14:paraId="683CF022" w14:textId="77777777" w:rsidTr="005667DC">
        <w:tc>
          <w:tcPr>
            <w:tcW w:w="2340" w:type="dxa"/>
            <w:vMerge w:val="restart"/>
            <w:tcBorders>
              <w:left w:val="nil"/>
              <w:right w:val="nil"/>
            </w:tcBorders>
          </w:tcPr>
          <w:p w14:paraId="79067FE7" w14:textId="77777777" w:rsidR="00FA5C19" w:rsidRPr="00D54599" w:rsidRDefault="00FA5C19" w:rsidP="00CC4592">
            <w:pPr>
              <w:jc w:val="center"/>
              <w:rPr>
                <w:rFonts w:ascii="Times New Roman" w:hAnsi="Times New Roman" w:cs="Times New Roman"/>
              </w:rPr>
            </w:pPr>
          </w:p>
        </w:tc>
        <w:tc>
          <w:tcPr>
            <w:tcW w:w="2574" w:type="dxa"/>
            <w:gridSpan w:val="2"/>
            <w:tcBorders>
              <w:left w:val="nil"/>
              <w:bottom w:val="single" w:sz="4" w:space="0" w:color="auto"/>
              <w:right w:val="nil"/>
            </w:tcBorders>
          </w:tcPr>
          <w:p w14:paraId="0965C432" w14:textId="77777777" w:rsidR="00FA5C19" w:rsidRPr="00D54599" w:rsidRDefault="00FA5C19" w:rsidP="00CC4592">
            <w:pPr>
              <w:jc w:val="center"/>
              <w:rPr>
                <w:rFonts w:ascii="Times New Roman" w:hAnsi="Times New Roman" w:cs="Times New Roman"/>
              </w:rPr>
            </w:pPr>
            <w:r w:rsidRPr="00D54599">
              <w:rPr>
                <w:rFonts w:ascii="Times New Roman" w:hAnsi="Times New Roman" w:cs="Times New Roman"/>
              </w:rPr>
              <w:t>6 – 9 years old</w:t>
            </w:r>
          </w:p>
        </w:tc>
        <w:tc>
          <w:tcPr>
            <w:tcW w:w="2928" w:type="dxa"/>
            <w:gridSpan w:val="2"/>
            <w:tcBorders>
              <w:left w:val="nil"/>
              <w:bottom w:val="single" w:sz="4" w:space="0" w:color="auto"/>
              <w:right w:val="nil"/>
            </w:tcBorders>
          </w:tcPr>
          <w:p w14:paraId="20246EA2" w14:textId="77777777" w:rsidR="00FA5C19" w:rsidRPr="00D54599" w:rsidRDefault="00FA5C19" w:rsidP="00CC4592">
            <w:pPr>
              <w:jc w:val="center"/>
              <w:rPr>
                <w:rFonts w:ascii="Times New Roman" w:hAnsi="Times New Roman" w:cs="Times New Roman"/>
              </w:rPr>
            </w:pPr>
            <w:r w:rsidRPr="00D54599">
              <w:rPr>
                <w:rFonts w:ascii="Times New Roman" w:hAnsi="Times New Roman" w:cs="Times New Roman"/>
              </w:rPr>
              <w:t>10 – 12 years old</w:t>
            </w:r>
          </w:p>
        </w:tc>
        <w:tc>
          <w:tcPr>
            <w:tcW w:w="2928" w:type="dxa"/>
            <w:gridSpan w:val="2"/>
            <w:tcBorders>
              <w:left w:val="nil"/>
              <w:bottom w:val="single" w:sz="4" w:space="0" w:color="auto"/>
              <w:right w:val="nil"/>
            </w:tcBorders>
          </w:tcPr>
          <w:p w14:paraId="30B506BB" w14:textId="77777777" w:rsidR="00FA5C19" w:rsidRPr="00D54599" w:rsidRDefault="00FA5C19" w:rsidP="00CC4592">
            <w:pPr>
              <w:jc w:val="center"/>
              <w:rPr>
                <w:rFonts w:ascii="Times New Roman" w:hAnsi="Times New Roman" w:cs="Times New Roman"/>
              </w:rPr>
            </w:pPr>
            <w:r w:rsidRPr="00D54599">
              <w:rPr>
                <w:rFonts w:ascii="Times New Roman" w:hAnsi="Times New Roman" w:cs="Times New Roman"/>
              </w:rPr>
              <w:t>13 – 15 years old</w:t>
            </w:r>
          </w:p>
        </w:tc>
        <w:tc>
          <w:tcPr>
            <w:tcW w:w="2928" w:type="dxa"/>
            <w:gridSpan w:val="2"/>
            <w:tcBorders>
              <w:left w:val="nil"/>
              <w:bottom w:val="single" w:sz="4" w:space="0" w:color="auto"/>
              <w:right w:val="nil"/>
            </w:tcBorders>
          </w:tcPr>
          <w:p w14:paraId="2BD01185" w14:textId="77777777" w:rsidR="00FA5C19" w:rsidRPr="00D54599" w:rsidRDefault="00FA5C19" w:rsidP="00CC4592">
            <w:pPr>
              <w:jc w:val="center"/>
              <w:rPr>
                <w:rFonts w:ascii="Times New Roman" w:hAnsi="Times New Roman" w:cs="Times New Roman"/>
              </w:rPr>
            </w:pPr>
            <w:r w:rsidRPr="00D54599">
              <w:rPr>
                <w:rFonts w:ascii="Times New Roman" w:hAnsi="Times New Roman" w:cs="Times New Roman"/>
              </w:rPr>
              <w:t>16 – 18 years old</w:t>
            </w:r>
          </w:p>
        </w:tc>
      </w:tr>
      <w:tr w:rsidR="00785BA1" w:rsidRPr="00D54599" w14:paraId="311F2A17" w14:textId="77777777" w:rsidTr="005667DC">
        <w:tc>
          <w:tcPr>
            <w:tcW w:w="2340" w:type="dxa"/>
            <w:vMerge/>
            <w:tcBorders>
              <w:left w:val="nil"/>
              <w:bottom w:val="single" w:sz="4" w:space="0" w:color="auto"/>
              <w:right w:val="nil"/>
            </w:tcBorders>
          </w:tcPr>
          <w:p w14:paraId="04D539DF" w14:textId="77777777" w:rsidR="001B14EB" w:rsidRPr="00D54599" w:rsidRDefault="001B14EB" w:rsidP="00CC4592">
            <w:pPr>
              <w:jc w:val="center"/>
              <w:rPr>
                <w:rFonts w:ascii="Times New Roman" w:hAnsi="Times New Roman" w:cs="Times New Roman"/>
              </w:rPr>
            </w:pPr>
          </w:p>
        </w:tc>
        <w:tc>
          <w:tcPr>
            <w:tcW w:w="1110" w:type="dxa"/>
            <w:tcBorders>
              <w:top w:val="single" w:sz="4" w:space="0" w:color="auto"/>
              <w:left w:val="nil"/>
              <w:bottom w:val="single" w:sz="4" w:space="0" w:color="auto"/>
              <w:right w:val="nil"/>
            </w:tcBorders>
          </w:tcPr>
          <w:p w14:paraId="0319DA9C" w14:textId="77777777" w:rsidR="001B14EB" w:rsidRPr="00D54599" w:rsidRDefault="001B14EB" w:rsidP="00CC4592">
            <w:pPr>
              <w:jc w:val="center"/>
              <w:rPr>
                <w:rFonts w:ascii="Times New Roman" w:hAnsi="Times New Roman" w:cs="Times New Roman"/>
              </w:rPr>
            </w:pPr>
            <w:r w:rsidRPr="00D54599">
              <w:rPr>
                <w:rFonts w:ascii="Times New Roman" w:hAnsi="Times New Roman" w:cs="Times New Roman"/>
              </w:rPr>
              <w:t>Male</w:t>
            </w:r>
          </w:p>
        </w:tc>
        <w:tc>
          <w:tcPr>
            <w:tcW w:w="1464" w:type="dxa"/>
            <w:tcBorders>
              <w:top w:val="single" w:sz="4" w:space="0" w:color="auto"/>
              <w:left w:val="nil"/>
              <w:bottom w:val="single" w:sz="4" w:space="0" w:color="auto"/>
              <w:right w:val="nil"/>
            </w:tcBorders>
          </w:tcPr>
          <w:p w14:paraId="11E447CD" w14:textId="77777777" w:rsidR="001B14EB" w:rsidRPr="00D54599" w:rsidRDefault="001B14EB" w:rsidP="00CC4592">
            <w:pPr>
              <w:jc w:val="center"/>
              <w:rPr>
                <w:rFonts w:ascii="Times New Roman" w:hAnsi="Times New Roman" w:cs="Times New Roman"/>
              </w:rPr>
            </w:pPr>
            <w:r w:rsidRPr="00D54599">
              <w:rPr>
                <w:rFonts w:ascii="Times New Roman" w:hAnsi="Times New Roman" w:cs="Times New Roman"/>
              </w:rPr>
              <w:t>Female</w:t>
            </w:r>
          </w:p>
        </w:tc>
        <w:tc>
          <w:tcPr>
            <w:tcW w:w="1464" w:type="dxa"/>
            <w:tcBorders>
              <w:top w:val="single" w:sz="4" w:space="0" w:color="auto"/>
              <w:left w:val="nil"/>
              <w:bottom w:val="single" w:sz="4" w:space="0" w:color="auto"/>
              <w:right w:val="nil"/>
            </w:tcBorders>
          </w:tcPr>
          <w:p w14:paraId="7DA32EA1"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1464" w:type="dxa"/>
            <w:tcBorders>
              <w:top w:val="single" w:sz="4" w:space="0" w:color="auto"/>
              <w:left w:val="nil"/>
              <w:bottom w:val="single" w:sz="4" w:space="0" w:color="auto"/>
              <w:right w:val="nil"/>
            </w:tcBorders>
          </w:tcPr>
          <w:p w14:paraId="7840DF4E"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c>
          <w:tcPr>
            <w:tcW w:w="1464" w:type="dxa"/>
            <w:tcBorders>
              <w:top w:val="single" w:sz="4" w:space="0" w:color="auto"/>
              <w:left w:val="nil"/>
              <w:bottom w:val="single" w:sz="4" w:space="0" w:color="auto"/>
              <w:right w:val="nil"/>
            </w:tcBorders>
          </w:tcPr>
          <w:p w14:paraId="6BC3A73F"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1464" w:type="dxa"/>
            <w:tcBorders>
              <w:top w:val="single" w:sz="4" w:space="0" w:color="auto"/>
              <w:left w:val="nil"/>
              <w:bottom w:val="single" w:sz="4" w:space="0" w:color="auto"/>
              <w:right w:val="nil"/>
            </w:tcBorders>
          </w:tcPr>
          <w:p w14:paraId="4BF41C17"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c>
          <w:tcPr>
            <w:tcW w:w="1464" w:type="dxa"/>
            <w:tcBorders>
              <w:top w:val="single" w:sz="4" w:space="0" w:color="auto"/>
              <w:left w:val="nil"/>
              <w:bottom w:val="single" w:sz="4" w:space="0" w:color="auto"/>
              <w:right w:val="nil"/>
            </w:tcBorders>
          </w:tcPr>
          <w:p w14:paraId="6EE6701A"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1464" w:type="dxa"/>
            <w:tcBorders>
              <w:top w:val="single" w:sz="4" w:space="0" w:color="auto"/>
              <w:left w:val="nil"/>
              <w:bottom w:val="single" w:sz="4" w:space="0" w:color="auto"/>
              <w:right w:val="nil"/>
            </w:tcBorders>
          </w:tcPr>
          <w:p w14:paraId="196775CE"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r>
      <w:tr w:rsidR="00785BA1" w:rsidRPr="00D54599" w14:paraId="3630D884" w14:textId="77777777" w:rsidTr="005667DC">
        <w:tc>
          <w:tcPr>
            <w:tcW w:w="2340" w:type="dxa"/>
            <w:tcBorders>
              <w:top w:val="single" w:sz="4" w:space="0" w:color="auto"/>
              <w:left w:val="nil"/>
              <w:bottom w:val="nil"/>
              <w:right w:val="nil"/>
            </w:tcBorders>
          </w:tcPr>
          <w:p w14:paraId="139E8E6C" w14:textId="77777777" w:rsidR="00CC4592" w:rsidRPr="00D54599" w:rsidRDefault="00CC4592" w:rsidP="00CC4592">
            <w:pPr>
              <w:rPr>
                <w:rFonts w:ascii="Times New Roman" w:hAnsi="Times New Roman" w:cs="Times New Roman"/>
              </w:rPr>
            </w:pPr>
            <w:r w:rsidRPr="00D54599">
              <w:rPr>
                <w:rFonts w:ascii="Times New Roman" w:hAnsi="Times New Roman" w:cs="Times New Roman"/>
              </w:rPr>
              <w:t>Energy (kcal)</w:t>
            </w:r>
            <w:r w:rsidR="00631DDB" w:rsidRPr="00D54599">
              <w:rPr>
                <w:rFonts w:ascii="Times New Roman" w:hAnsi="Times New Roman" w:cs="Times New Roman"/>
                <w:vertAlign w:val="superscript"/>
              </w:rPr>
              <w:t xml:space="preserve"> a</w:t>
            </w:r>
          </w:p>
        </w:tc>
        <w:tc>
          <w:tcPr>
            <w:tcW w:w="1110" w:type="dxa"/>
            <w:tcBorders>
              <w:top w:val="single" w:sz="4" w:space="0" w:color="auto"/>
              <w:left w:val="nil"/>
              <w:bottom w:val="nil"/>
              <w:right w:val="nil"/>
            </w:tcBorders>
          </w:tcPr>
          <w:p w14:paraId="44CA8573"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1600</w:t>
            </w:r>
          </w:p>
        </w:tc>
        <w:tc>
          <w:tcPr>
            <w:tcW w:w="1464" w:type="dxa"/>
            <w:tcBorders>
              <w:top w:val="single" w:sz="4" w:space="0" w:color="auto"/>
              <w:left w:val="nil"/>
              <w:bottom w:val="nil"/>
              <w:right w:val="nil"/>
            </w:tcBorders>
          </w:tcPr>
          <w:p w14:paraId="286E59CE"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1470</w:t>
            </w:r>
          </w:p>
        </w:tc>
        <w:tc>
          <w:tcPr>
            <w:tcW w:w="1464" w:type="dxa"/>
            <w:tcBorders>
              <w:top w:val="single" w:sz="4" w:space="0" w:color="auto"/>
              <w:left w:val="nil"/>
              <w:bottom w:val="nil"/>
              <w:right w:val="nil"/>
            </w:tcBorders>
          </w:tcPr>
          <w:p w14:paraId="2C780330"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2060</w:t>
            </w:r>
          </w:p>
        </w:tc>
        <w:tc>
          <w:tcPr>
            <w:tcW w:w="1464" w:type="dxa"/>
            <w:tcBorders>
              <w:top w:val="single" w:sz="4" w:space="0" w:color="auto"/>
              <w:left w:val="nil"/>
              <w:bottom w:val="nil"/>
              <w:right w:val="nil"/>
            </w:tcBorders>
          </w:tcPr>
          <w:p w14:paraId="131F09A1"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1980</w:t>
            </w:r>
          </w:p>
        </w:tc>
        <w:tc>
          <w:tcPr>
            <w:tcW w:w="1464" w:type="dxa"/>
            <w:tcBorders>
              <w:top w:val="single" w:sz="4" w:space="0" w:color="auto"/>
              <w:left w:val="nil"/>
              <w:bottom w:val="nil"/>
              <w:right w:val="nil"/>
            </w:tcBorders>
          </w:tcPr>
          <w:p w14:paraId="28C11A04"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2700</w:t>
            </w:r>
          </w:p>
        </w:tc>
        <w:tc>
          <w:tcPr>
            <w:tcW w:w="1464" w:type="dxa"/>
            <w:tcBorders>
              <w:top w:val="single" w:sz="4" w:space="0" w:color="auto"/>
              <w:left w:val="nil"/>
              <w:bottom w:val="nil"/>
              <w:right w:val="nil"/>
            </w:tcBorders>
          </w:tcPr>
          <w:p w14:paraId="130FCB98"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2170</w:t>
            </w:r>
          </w:p>
        </w:tc>
        <w:tc>
          <w:tcPr>
            <w:tcW w:w="1464" w:type="dxa"/>
            <w:tcBorders>
              <w:top w:val="single" w:sz="4" w:space="0" w:color="auto"/>
              <w:left w:val="nil"/>
              <w:bottom w:val="nil"/>
              <w:right w:val="nil"/>
            </w:tcBorders>
          </w:tcPr>
          <w:p w14:paraId="60024C46"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3010</w:t>
            </w:r>
          </w:p>
        </w:tc>
        <w:tc>
          <w:tcPr>
            <w:tcW w:w="1464" w:type="dxa"/>
            <w:tcBorders>
              <w:top w:val="single" w:sz="4" w:space="0" w:color="auto"/>
              <w:left w:val="nil"/>
              <w:bottom w:val="nil"/>
              <w:right w:val="nil"/>
            </w:tcBorders>
          </w:tcPr>
          <w:p w14:paraId="53351343"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2280</w:t>
            </w:r>
          </w:p>
        </w:tc>
      </w:tr>
      <w:tr w:rsidR="00785BA1" w:rsidRPr="00D54599" w14:paraId="76F33071" w14:textId="77777777" w:rsidTr="005667DC">
        <w:tc>
          <w:tcPr>
            <w:tcW w:w="2340" w:type="dxa"/>
            <w:tcBorders>
              <w:top w:val="nil"/>
              <w:left w:val="nil"/>
              <w:bottom w:val="nil"/>
              <w:right w:val="nil"/>
            </w:tcBorders>
          </w:tcPr>
          <w:p w14:paraId="0AEF1E5E" w14:textId="77777777" w:rsidR="00CC4592" w:rsidRPr="00D54599" w:rsidRDefault="00CC4592" w:rsidP="00CC4592">
            <w:pPr>
              <w:rPr>
                <w:rFonts w:ascii="Times New Roman" w:hAnsi="Times New Roman" w:cs="Times New Roman"/>
              </w:rPr>
            </w:pPr>
            <w:r w:rsidRPr="00D54599">
              <w:rPr>
                <w:rFonts w:ascii="Times New Roman" w:hAnsi="Times New Roman" w:cs="Times New Roman"/>
              </w:rPr>
              <w:t>Energy (kJ)</w:t>
            </w:r>
            <w:r w:rsidR="00631DDB" w:rsidRPr="00D54599">
              <w:rPr>
                <w:rFonts w:ascii="Times New Roman" w:hAnsi="Times New Roman" w:cs="Times New Roman"/>
                <w:vertAlign w:val="superscript"/>
              </w:rPr>
              <w:t xml:space="preserve"> a</w:t>
            </w:r>
          </w:p>
        </w:tc>
        <w:tc>
          <w:tcPr>
            <w:tcW w:w="1110" w:type="dxa"/>
            <w:tcBorders>
              <w:top w:val="nil"/>
              <w:left w:val="nil"/>
              <w:bottom w:val="nil"/>
              <w:right w:val="nil"/>
            </w:tcBorders>
          </w:tcPr>
          <w:p w14:paraId="126CAA88" w14:textId="77777777" w:rsidR="00CC4592" w:rsidRPr="00D54599" w:rsidRDefault="006E2A60" w:rsidP="006E2A60">
            <w:pPr>
              <w:jc w:val="center"/>
              <w:rPr>
                <w:rFonts w:ascii="Times New Roman" w:hAnsi="Times New Roman" w:cs="Times New Roman"/>
              </w:rPr>
            </w:pPr>
            <w:r w:rsidRPr="00D54599">
              <w:rPr>
                <w:rFonts w:ascii="Times New Roman" w:hAnsi="Times New Roman" w:cs="Times New Roman"/>
              </w:rPr>
              <w:t>6694</w:t>
            </w:r>
          </w:p>
        </w:tc>
        <w:tc>
          <w:tcPr>
            <w:tcW w:w="1464" w:type="dxa"/>
            <w:tcBorders>
              <w:top w:val="nil"/>
              <w:left w:val="nil"/>
              <w:bottom w:val="nil"/>
              <w:right w:val="nil"/>
            </w:tcBorders>
          </w:tcPr>
          <w:p w14:paraId="6DD6E797" w14:textId="77777777" w:rsidR="00CC4592" w:rsidRPr="00D54599" w:rsidRDefault="006E2A60" w:rsidP="001B14EB">
            <w:pPr>
              <w:jc w:val="center"/>
              <w:rPr>
                <w:rFonts w:ascii="Times New Roman" w:hAnsi="Times New Roman" w:cs="Times New Roman"/>
              </w:rPr>
            </w:pPr>
            <w:r w:rsidRPr="00D54599">
              <w:rPr>
                <w:rFonts w:ascii="Times New Roman" w:hAnsi="Times New Roman" w:cs="Times New Roman"/>
              </w:rPr>
              <w:t>6151</w:t>
            </w:r>
          </w:p>
        </w:tc>
        <w:tc>
          <w:tcPr>
            <w:tcW w:w="1464" w:type="dxa"/>
            <w:tcBorders>
              <w:top w:val="nil"/>
              <w:left w:val="nil"/>
              <w:bottom w:val="nil"/>
              <w:right w:val="nil"/>
            </w:tcBorders>
          </w:tcPr>
          <w:p w14:paraId="687F70EE" w14:textId="77777777" w:rsidR="00CC4592" w:rsidRPr="00D54599" w:rsidRDefault="006E2A60" w:rsidP="001B14EB">
            <w:pPr>
              <w:jc w:val="center"/>
              <w:rPr>
                <w:rFonts w:ascii="Times New Roman" w:hAnsi="Times New Roman" w:cs="Times New Roman"/>
              </w:rPr>
            </w:pPr>
            <w:r w:rsidRPr="00D54599">
              <w:rPr>
                <w:rFonts w:ascii="Times New Roman" w:hAnsi="Times New Roman" w:cs="Times New Roman"/>
              </w:rPr>
              <w:t>8619</w:t>
            </w:r>
          </w:p>
        </w:tc>
        <w:tc>
          <w:tcPr>
            <w:tcW w:w="1464" w:type="dxa"/>
            <w:tcBorders>
              <w:top w:val="nil"/>
              <w:left w:val="nil"/>
              <w:bottom w:val="nil"/>
              <w:right w:val="nil"/>
            </w:tcBorders>
          </w:tcPr>
          <w:p w14:paraId="7C1C5C02" w14:textId="77777777" w:rsidR="00CC4592" w:rsidRPr="00D54599" w:rsidRDefault="006E2A60" w:rsidP="001B14EB">
            <w:pPr>
              <w:jc w:val="center"/>
              <w:rPr>
                <w:rFonts w:ascii="Times New Roman" w:hAnsi="Times New Roman" w:cs="Times New Roman"/>
              </w:rPr>
            </w:pPr>
            <w:r w:rsidRPr="00D54599">
              <w:rPr>
                <w:rFonts w:ascii="Times New Roman" w:hAnsi="Times New Roman" w:cs="Times New Roman"/>
              </w:rPr>
              <w:t>8284</w:t>
            </w:r>
          </w:p>
        </w:tc>
        <w:tc>
          <w:tcPr>
            <w:tcW w:w="1464" w:type="dxa"/>
            <w:tcBorders>
              <w:top w:val="nil"/>
              <w:left w:val="nil"/>
              <w:bottom w:val="nil"/>
              <w:right w:val="nil"/>
            </w:tcBorders>
          </w:tcPr>
          <w:p w14:paraId="6702BB1A" w14:textId="77777777" w:rsidR="00CC4592" w:rsidRPr="00D54599" w:rsidRDefault="006E2A60" w:rsidP="001B14EB">
            <w:pPr>
              <w:jc w:val="center"/>
              <w:rPr>
                <w:rFonts w:ascii="Times New Roman" w:hAnsi="Times New Roman" w:cs="Times New Roman"/>
              </w:rPr>
            </w:pPr>
            <w:r w:rsidRPr="00D54599">
              <w:rPr>
                <w:rFonts w:ascii="Times New Roman" w:hAnsi="Times New Roman" w:cs="Times New Roman"/>
              </w:rPr>
              <w:t>11297</w:t>
            </w:r>
          </w:p>
        </w:tc>
        <w:tc>
          <w:tcPr>
            <w:tcW w:w="1464" w:type="dxa"/>
            <w:tcBorders>
              <w:top w:val="nil"/>
              <w:left w:val="nil"/>
              <w:bottom w:val="nil"/>
              <w:right w:val="nil"/>
            </w:tcBorders>
          </w:tcPr>
          <w:p w14:paraId="6ED0B061" w14:textId="77777777" w:rsidR="00CC4592" w:rsidRPr="00D54599" w:rsidRDefault="006E2A60" w:rsidP="001B14EB">
            <w:pPr>
              <w:jc w:val="center"/>
              <w:rPr>
                <w:rFonts w:ascii="Times New Roman" w:hAnsi="Times New Roman" w:cs="Times New Roman"/>
              </w:rPr>
            </w:pPr>
            <w:r w:rsidRPr="00D54599">
              <w:rPr>
                <w:rFonts w:ascii="Times New Roman" w:hAnsi="Times New Roman" w:cs="Times New Roman"/>
              </w:rPr>
              <w:t>9079</w:t>
            </w:r>
          </w:p>
        </w:tc>
        <w:tc>
          <w:tcPr>
            <w:tcW w:w="1464" w:type="dxa"/>
            <w:tcBorders>
              <w:top w:val="nil"/>
              <w:left w:val="nil"/>
              <w:bottom w:val="nil"/>
              <w:right w:val="nil"/>
            </w:tcBorders>
          </w:tcPr>
          <w:p w14:paraId="570B7492" w14:textId="77777777" w:rsidR="00CC4592" w:rsidRPr="00D54599" w:rsidRDefault="006E2A60" w:rsidP="001B14EB">
            <w:pPr>
              <w:jc w:val="center"/>
              <w:rPr>
                <w:rFonts w:ascii="Times New Roman" w:hAnsi="Times New Roman" w:cs="Times New Roman"/>
              </w:rPr>
            </w:pPr>
            <w:r w:rsidRPr="00D54599">
              <w:rPr>
                <w:rFonts w:ascii="Times New Roman" w:hAnsi="Times New Roman" w:cs="Times New Roman"/>
              </w:rPr>
              <w:t>12594</w:t>
            </w:r>
          </w:p>
        </w:tc>
        <w:tc>
          <w:tcPr>
            <w:tcW w:w="1464" w:type="dxa"/>
            <w:tcBorders>
              <w:top w:val="nil"/>
              <w:left w:val="nil"/>
              <w:bottom w:val="nil"/>
              <w:right w:val="nil"/>
            </w:tcBorders>
          </w:tcPr>
          <w:p w14:paraId="6D83DE47" w14:textId="77777777" w:rsidR="00CC4592" w:rsidRPr="00D54599" w:rsidRDefault="006E2A60" w:rsidP="001B14EB">
            <w:pPr>
              <w:jc w:val="center"/>
              <w:rPr>
                <w:rFonts w:ascii="Times New Roman" w:hAnsi="Times New Roman" w:cs="Times New Roman"/>
              </w:rPr>
            </w:pPr>
            <w:r w:rsidRPr="00D54599">
              <w:rPr>
                <w:rFonts w:ascii="Times New Roman" w:hAnsi="Times New Roman" w:cs="Times New Roman"/>
              </w:rPr>
              <w:t>9540</w:t>
            </w:r>
          </w:p>
        </w:tc>
      </w:tr>
      <w:tr w:rsidR="005667DC" w:rsidRPr="00D54599" w14:paraId="76C0A114" w14:textId="77777777" w:rsidTr="005667DC">
        <w:tc>
          <w:tcPr>
            <w:tcW w:w="13698" w:type="dxa"/>
            <w:gridSpan w:val="9"/>
            <w:tcBorders>
              <w:top w:val="nil"/>
              <w:left w:val="nil"/>
              <w:bottom w:val="nil"/>
              <w:right w:val="nil"/>
            </w:tcBorders>
            <w:vAlign w:val="center"/>
          </w:tcPr>
          <w:p w14:paraId="630FF897" w14:textId="7BCE5988" w:rsidR="005667DC" w:rsidRPr="00D54599" w:rsidRDefault="005667DC" w:rsidP="005667DC">
            <w:pPr>
              <w:spacing w:before="240"/>
              <w:rPr>
                <w:rFonts w:ascii="Times New Roman" w:hAnsi="Times New Roman" w:cs="Times New Roman"/>
              </w:rPr>
            </w:pPr>
            <w:r w:rsidRPr="00D54599">
              <w:rPr>
                <w:rFonts w:ascii="Times New Roman" w:hAnsi="Times New Roman" w:cs="Times New Roman"/>
                <w:i/>
              </w:rPr>
              <w:t>Nutrients to Encourage</w:t>
            </w:r>
          </w:p>
        </w:tc>
      </w:tr>
      <w:tr w:rsidR="00785BA1" w:rsidRPr="00D54599" w14:paraId="4F1748D2" w14:textId="77777777" w:rsidTr="005667DC">
        <w:tc>
          <w:tcPr>
            <w:tcW w:w="2340" w:type="dxa"/>
            <w:tcBorders>
              <w:top w:val="nil"/>
              <w:left w:val="nil"/>
              <w:bottom w:val="nil"/>
              <w:right w:val="nil"/>
            </w:tcBorders>
          </w:tcPr>
          <w:p w14:paraId="56F06F81" w14:textId="77777777" w:rsidR="00CC4592" w:rsidRPr="00D54599" w:rsidRDefault="00CC4592" w:rsidP="00631DDB">
            <w:pPr>
              <w:rPr>
                <w:rFonts w:ascii="Times New Roman" w:hAnsi="Times New Roman" w:cs="Times New Roman"/>
              </w:rPr>
            </w:pPr>
            <w:r w:rsidRPr="00D54599">
              <w:rPr>
                <w:rFonts w:ascii="Times New Roman" w:hAnsi="Times New Roman" w:cs="Times New Roman"/>
              </w:rPr>
              <w:t>Protein</w:t>
            </w:r>
            <w:r w:rsidR="00FA5C19" w:rsidRPr="00D54599">
              <w:rPr>
                <w:rFonts w:ascii="Times New Roman" w:hAnsi="Times New Roman" w:cs="Times New Roman"/>
              </w:rPr>
              <w:t xml:space="preserve"> (g)</w:t>
            </w:r>
            <w:r w:rsidR="00631DDB" w:rsidRPr="00D54599">
              <w:rPr>
                <w:rFonts w:ascii="Times New Roman" w:hAnsi="Times New Roman" w:cs="Times New Roman"/>
                <w:vertAlign w:val="superscript"/>
              </w:rPr>
              <w:t>b</w:t>
            </w:r>
          </w:p>
        </w:tc>
        <w:tc>
          <w:tcPr>
            <w:tcW w:w="1110" w:type="dxa"/>
            <w:tcBorders>
              <w:top w:val="nil"/>
              <w:left w:val="nil"/>
              <w:bottom w:val="nil"/>
              <w:right w:val="nil"/>
            </w:tcBorders>
          </w:tcPr>
          <w:p w14:paraId="60F28FCA" w14:textId="462BA4A5" w:rsidR="00CC4592" w:rsidRPr="00D54599" w:rsidRDefault="002C6D85" w:rsidP="001B14EB">
            <w:pPr>
              <w:jc w:val="center"/>
              <w:rPr>
                <w:rFonts w:ascii="Times New Roman" w:hAnsi="Times New Roman" w:cs="Times New Roman"/>
              </w:rPr>
            </w:pPr>
            <w:r w:rsidRPr="00D54599">
              <w:rPr>
                <w:rFonts w:ascii="Times New Roman" w:hAnsi="Times New Roman" w:cs="Times New Roman"/>
              </w:rPr>
              <w:t>30</w:t>
            </w:r>
          </w:p>
        </w:tc>
        <w:tc>
          <w:tcPr>
            <w:tcW w:w="1464" w:type="dxa"/>
            <w:tcBorders>
              <w:top w:val="nil"/>
              <w:left w:val="nil"/>
              <w:bottom w:val="nil"/>
              <w:right w:val="nil"/>
            </w:tcBorders>
          </w:tcPr>
          <w:p w14:paraId="54830FC0" w14:textId="37955750" w:rsidR="00CC4592" w:rsidRPr="00D54599" w:rsidRDefault="002C6D85" w:rsidP="001B14EB">
            <w:pPr>
              <w:jc w:val="center"/>
              <w:rPr>
                <w:rFonts w:ascii="Times New Roman" w:hAnsi="Times New Roman" w:cs="Times New Roman"/>
              </w:rPr>
            </w:pPr>
            <w:r w:rsidRPr="00D54599">
              <w:rPr>
                <w:rFonts w:ascii="Times New Roman" w:hAnsi="Times New Roman" w:cs="Times New Roman"/>
              </w:rPr>
              <w:t>29</w:t>
            </w:r>
          </w:p>
        </w:tc>
        <w:tc>
          <w:tcPr>
            <w:tcW w:w="1464" w:type="dxa"/>
            <w:tcBorders>
              <w:top w:val="nil"/>
              <w:left w:val="nil"/>
              <w:bottom w:val="nil"/>
              <w:right w:val="nil"/>
            </w:tcBorders>
          </w:tcPr>
          <w:p w14:paraId="43000AA6" w14:textId="1C55E94C" w:rsidR="00CC4592" w:rsidRPr="00D54599" w:rsidRDefault="002C6D85" w:rsidP="001B14EB">
            <w:pPr>
              <w:jc w:val="center"/>
              <w:rPr>
                <w:rFonts w:ascii="Times New Roman" w:hAnsi="Times New Roman" w:cs="Times New Roman"/>
              </w:rPr>
            </w:pPr>
            <w:r w:rsidRPr="00D54599">
              <w:rPr>
                <w:rFonts w:ascii="Times New Roman" w:hAnsi="Times New Roman" w:cs="Times New Roman"/>
              </w:rPr>
              <w:t>43</w:t>
            </w:r>
          </w:p>
        </w:tc>
        <w:tc>
          <w:tcPr>
            <w:tcW w:w="1464" w:type="dxa"/>
            <w:tcBorders>
              <w:top w:val="nil"/>
              <w:left w:val="nil"/>
              <w:bottom w:val="nil"/>
              <w:right w:val="nil"/>
            </w:tcBorders>
          </w:tcPr>
          <w:p w14:paraId="73A54A3C" w14:textId="602B83BF" w:rsidR="00CC4592" w:rsidRPr="00D54599" w:rsidRDefault="002C6D85" w:rsidP="001B14EB">
            <w:pPr>
              <w:jc w:val="center"/>
              <w:rPr>
                <w:rFonts w:ascii="Times New Roman" w:hAnsi="Times New Roman" w:cs="Times New Roman"/>
              </w:rPr>
            </w:pPr>
            <w:r w:rsidRPr="00D54599">
              <w:rPr>
                <w:rFonts w:ascii="Times New Roman" w:hAnsi="Times New Roman" w:cs="Times New Roman"/>
              </w:rPr>
              <w:t>46</w:t>
            </w:r>
          </w:p>
        </w:tc>
        <w:tc>
          <w:tcPr>
            <w:tcW w:w="1464" w:type="dxa"/>
            <w:tcBorders>
              <w:top w:val="nil"/>
              <w:left w:val="nil"/>
              <w:bottom w:val="nil"/>
              <w:right w:val="nil"/>
            </w:tcBorders>
          </w:tcPr>
          <w:p w14:paraId="271DC806" w14:textId="75307156" w:rsidR="00CC4592" w:rsidRPr="00D54599" w:rsidRDefault="002C6D85" w:rsidP="001B14EB">
            <w:pPr>
              <w:jc w:val="center"/>
              <w:rPr>
                <w:rFonts w:ascii="Times New Roman" w:hAnsi="Times New Roman" w:cs="Times New Roman"/>
              </w:rPr>
            </w:pPr>
            <w:r w:rsidRPr="00D54599">
              <w:rPr>
                <w:rFonts w:ascii="Times New Roman" w:hAnsi="Times New Roman" w:cs="Times New Roman"/>
              </w:rPr>
              <w:t>62</w:t>
            </w:r>
          </w:p>
        </w:tc>
        <w:tc>
          <w:tcPr>
            <w:tcW w:w="1464" w:type="dxa"/>
            <w:tcBorders>
              <w:top w:val="nil"/>
              <w:left w:val="nil"/>
              <w:bottom w:val="nil"/>
              <w:right w:val="nil"/>
            </w:tcBorders>
          </w:tcPr>
          <w:p w14:paraId="3C8F5B22" w14:textId="79D2B9C9" w:rsidR="00CC4592" w:rsidRPr="00D54599" w:rsidRDefault="002C6D85" w:rsidP="001B14EB">
            <w:pPr>
              <w:jc w:val="center"/>
              <w:rPr>
                <w:rFonts w:ascii="Times New Roman" w:hAnsi="Times New Roman" w:cs="Times New Roman"/>
              </w:rPr>
            </w:pPr>
            <w:r w:rsidRPr="00D54599">
              <w:rPr>
                <w:rFonts w:ascii="Times New Roman" w:hAnsi="Times New Roman" w:cs="Times New Roman"/>
              </w:rPr>
              <w:t>57</w:t>
            </w:r>
          </w:p>
        </w:tc>
        <w:tc>
          <w:tcPr>
            <w:tcW w:w="1464" w:type="dxa"/>
            <w:tcBorders>
              <w:top w:val="nil"/>
              <w:left w:val="nil"/>
              <w:bottom w:val="nil"/>
              <w:right w:val="nil"/>
            </w:tcBorders>
          </w:tcPr>
          <w:p w14:paraId="62A7EFBB" w14:textId="387A8D89" w:rsidR="00CC4592" w:rsidRPr="00D54599" w:rsidRDefault="002C6D85" w:rsidP="001B14EB">
            <w:pPr>
              <w:jc w:val="center"/>
              <w:rPr>
                <w:rFonts w:ascii="Times New Roman" w:hAnsi="Times New Roman" w:cs="Times New Roman"/>
              </w:rPr>
            </w:pPr>
            <w:r w:rsidRPr="00D54599">
              <w:rPr>
                <w:rFonts w:ascii="Times New Roman" w:hAnsi="Times New Roman" w:cs="Times New Roman"/>
              </w:rPr>
              <w:t>73</w:t>
            </w:r>
          </w:p>
        </w:tc>
        <w:tc>
          <w:tcPr>
            <w:tcW w:w="1464" w:type="dxa"/>
            <w:tcBorders>
              <w:top w:val="nil"/>
              <w:left w:val="nil"/>
              <w:bottom w:val="nil"/>
              <w:right w:val="nil"/>
            </w:tcBorders>
          </w:tcPr>
          <w:p w14:paraId="5FA4C49B" w14:textId="513A0F78" w:rsidR="00CC4592" w:rsidRPr="00D54599" w:rsidRDefault="002C6D85" w:rsidP="001B14EB">
            <w:pPr>
              <w:jc w:val="center"/>
              <w:rPr>
                <w:rFonts w:ascii="Times New Roman" w:hAnsi="Times New Roman" w:cs="Times New Roman"/>
              </w:rPr>
            </w:pPr>
            <w:r w:rsidRPr="00D54599">
              <w:rPr>
                <w:rFonts w:ascii="Times New Roman" w:hAnsi="Times New Roman" w:cs="Times New Roman"/>
              </w:rPr>
              <w:t>61</w:t>
            </w:r>
          </w:p>
        </w:tc>
      </w:tr>
      <w:tr w:rsidR="00785BA1" w:rsidRPr="00D54599" w14:paraId="4EAAECD9" w14:textId="77777777" w:rsidTr="005667DC">
        <w:tc>
          <w:tcPr>
            <w:tcW w:w="2340" w:type="dxa"/>
            <w:tcBorders>
              <w:top w:val="nil"/>
              <w:left w:val="nil"/>
              <w:bottom w:val="nil"/>
              <w:right w:val="nil"/>
            </w:tcBorders>
          </w:tcPr>
          <w:p w14:paraId="4B518A50" w14:textId="77777777" w:rsidR="00CC4592" w:rsidRPr="00D54599" w:rsidRDefault="00CC4592" w:rsidP="00BD2F5A">
            <w:pPr>
              <w:rPr>
                <w:rFonts w:ascii="Times New Roman" w:hAnsi="Times New Roman" w:cs="Times New Roman"/>
              </w:rPr>
            </w:pPr>
            <w:r w:rsidRPr="00D54599">
              <w:rPr>
                <w:rFonts w:ascii="Times New Roman" w:hAnsi="Times New Roman" w:cs="Times New Roman"/>
              </w:rPr>
              <w:t xml:space="preserve">Dietary </w:t>
            </w:r>
            <w:r w:rsidR="00456A9A" w:rsidRPr="00D54599">
              <w:rPr>
                <w:rFonts w:ascii="Times New Roman" w:hAnsi="Times New Roman" w:cs="Times New Roman"/>
              </w:rPr>
              <w:t>f</w:t>
            </w:r>
            <w:r w:rsidRPr="00D54599">
              <w:rPr>
                <w:rFonts w:ascii="Times New Roman" w:hAnsi="Times New Roman" w:cs="Times New Roman"/>
              </w:rPr>
              <w:t>ibre</w:t>
            </w:r>
            <w:r w:rsidR="00FA5C19" w:rsidRPr="00D54599">
              <w:rPr>
                <w:rFonts w:ascii="Times New Roman" w:hAnsi="Times New Roman" w:cs="Times New Roman"/>
              </w:rPr>
              <w:t xml:space="preserve"> (g)</w:t>
            </w:r>
            <w:r w:rsidR="00BD2F5A" w:rsidRPr="00D54599">
              <w:rPr>
                <w:rFonts w:ascii="Times New Roman" w:hAnsi="Times New Roman" w:cs="Times New Roman"/>
                <w:vertAlign w:val="superscript"/>
              </w:rPr>
              <w:t>c</w:t>
            </w:r>
          </w:p>
        </w:tc>
        <w:tc>
          <w:tcPr>
            <w:tcW w:w="1110" w:type="dxa"/>
            <w:tcBorders>
              <w:top w:val="nil"/>
              <w:left w:val="nil"/>
              <w:bottom w:val="nil"/>
              <w:right w:val="nil"/>
            </w:tcBorders>
          </w:tcPr>
          <w:p w14:paraId="1233F9BB" w14:textId="77777777" w:rsidR="00CC4592" w:rsidRPr="00D54599" w:rsidRDefault="009E7979" w:rsidP="001B14EB">
            <w:pPr>
              <w:jc w:val="center"/>
              <w:rPr>
                <w:rFonts w:ascii="Times New Roman" w:hAnsi="Times New Roman" w:cs="Times New Roman"/>
              </w:rPr>
            </w:pPr>
            <w:r w:rsidRPr="00D54599">
              <w:rPr>
                <w:rFonts w:ascii="Times New Roman" w:hAnsi="Times New Roman" w:cs="Times New Roman"/>
              </w:rPr>
              <w:t>22.4</w:t>
            </w:r>
          </w:p>
        </w:tc>
        <w:tc>
          <w:tcPr>
            <w:tcW w:w="1464" w:type="dxa"/>
            <w:tcBorders>
              <w:top w:val="nil"/>
              <w:left w:val="nil"/>
              <w:bottom w:val="nil"/>
              <w:right w:val="nil"/>
            </w:tcBorders>
          </w:tcPr>
          <w:p w14:paraId="6F00262A" w14:textId="77777777" w:rsidR="00CC4592" w:rsidRPr="00D54599" w:rsidRDefault="00634A52" w:rsidP="001B14EB">
            <w:pPr>
              <w:jc w:val="center"/>
              <w:rPr>
                <w:rFonts w:ascii="Times New Roman" w:hAnsi="Times New Roman" w:cs="Times New Roman"/>
              </w:rPr>
            </w:pPr>
            <w:r w:rsidRPr="00D54599">
              <w:rPr>
                <w:rFonts w:ascii="Times New Roman" w:hAnsi="Times New Roman" w:cs="Times New Roman"/>
              </w:rPr>
              <w:t>20.6</w:t>
            </w:r>
          </w:p>
        </w:tc>
        <w:tc>
          <w:tcPr>
            <w:tcW w:w="1464" w:type="dxa"/>
            <w:tcBorders>
              <w:top w:val="nil"/>
              <w:left w:val="nil"/>
              <w:bottom w:val="nil"/>
              <w:right w:val="nil"/>
            </w:tcBorders>
          </w:tcPr>
          <w:p w14:paraId="73C5120A" w14:textId="77777777" w:rsidR="00CC4592" w:rsidRPr="00D54599" w:rsidRDefault="009E7979" w:rsidP="001B14EB">
            <w:pPr>
              <w:jc w:val="center"/>
              <w:rPr>
                <w:rFonts w:ascii="Times New Roman" w:hAnsi="Times New Roman" w:cs="Times New Roman"/>
              </w:rPr>
            </w:pPr>
            <w:r w:rsidRPr="00D54599">
              <w:rPr>
                <w:rFonts w:ascii="Times New Roman" w:hAnsi="Times New Roman" w:cs="Times New Roman"/>
              </w:rPr>
              <w:t>28.8</w:t>
            </w:r>
          </w:p>
        </w:tc>
        <w:tc>
          <w:tcPr>
            <w:tcW w:w="1464" w:type="dxa"/>
            <w:tcBorders>
              <w:top w:val="nil"/>
              <w:left w:val="nil"/>
              <w:bottom w:val="nil"/>
              <w:right w:val="nil"/>
            </w:tcBorders>
          </w:tcPr>
          <w:p w14:paraId="6A520257" w14:textId="77777777" w:rsidR="00CC4592" w:rsidRPr="00D54599" w:rsidRDefault="009E7979" w:rsidP="001B14EB">
            <w:pPr>
              <w:jc w:val="center"/>
              <w:rPr>
                <w:rFonts w:ascii="Times New Roman" w:hAnsi="Times New Roman" w:cs="Times New Roman"/>
              </w:rPr>
            </w:pPr>
            <w:r w:rsidRPr="00D54599">
              <w:rPr>
                <w:rFonts w:ascii="Times New Roman" w:hAnsi="Times New Roman" w:cs="Times New Roman"/>
              </w:rPr>
              <w:t>27.7</w:t>
            </w:r>
          </w:p>
        </w:tc>
        <w:tc>
          <w:tcPr>
            <w:tcW w:w="1464" w:type="dxa"/>
            <w:tcBorders>
              <w:top w:val="nil"/>
              <w:left w:val="nil"/>
              <w:bottom w:val="nil"/>
              <w:right w:val="nil"/>
            </w:tcBorders>
          </w:tcPr>
          <w:p w14:paraId="6730B56B" w14:textId="77777777" w:rsidR="00CC4592" w:rsidRPr="00D54599" w:rsidRDefault="00634A52" w:rsidP="001B14EB">
            <w:pPr>
              <w:jc w:val="center"/>
              <w:rPr>
                <w:rFonts w:ascii="Times New Roman" w:hAnsi="Times New Roman" w:cs="Times New Roman"/>
              </w:rPr>
            </w:pPr>
            <w:r w:rsidRPr="00D54599">
              <w:rPr>
                <w:rFonts w:ascii="Times New Roman" w:hAnsi="Times New Roman" w:cs="Times New Roman"/>
              </w:rPr>
              <w:t>37.8</w:t>
            </w:r>
          </w:p>
        </w:tc>
        <w:tc>
          <w:tcPr>
            <w:tcW w:w="1464" w:type="dxa"/>
            <w:tcBorders>
              <w:top w:val="nil"/>
              <w:left w:val="nil"/>
              <w:bottom w:val="nil"/>
              <w:right w:val="nil"/>
            </w:tcBorders>
          </w:tcPr>
          <w:p w14:paraId="52ACC6B3" w14:textId="77777777" w:rsidR="00CC4592" w:rsidRPr="00D54599" w:rsidRDefault="00634A52" w:rsidP="001B14EB">
            <w:pPr>
              <w:jc w:val="center"/>
              <w:rPr>
                <w:rFonts w:ascii="Times New Roman" w:hAnsi="Times New Roman" w:cs="Times New Roman"/>
              </w:rPr>
            </w:pPr>
            <w:r w:rsidRPr="00D54599">
              <w:rPr>
                <w:rFonts w:ascii="Times New Roman" w:hAnsi="Times New Roman" w:cs="Times New Roman"/>
              </w:rPr>
              <w:t>30.4</w:t>
            </w:r>
          </w:p>
        </w:tc>
        <w:tc>
          <w:tcPr>
            <w:tcW w:w="1464" w:type="dxa"/>
            <w:tcBorders>
              <w:top w:val="nil"/>
              <w:left w:val="nil"/>
              <w:bottom w:val="nil"/>
              <w:right w:val="nil"/>
            </w:tcBorders>
          </w:tcPr>
          <w:p w14:paraId="494FB265" w14:textId="77777777" w:rsidR="00CC4592" w:rsidRPr="00D54599" w:rsidRDefault="00634A52" w:rsidP="009E7979">
            <w:pPr>
              <w:jc w:val="center"/>
              <w:rPr>
                <w:rFonts w:ascii="Times New Roman" w:hAnsi="Times New Roman" w:cs="Times New Roman"/>
              </w:rPr>
            </w:pPr>
            <w:r w:rsidRPr="00D54599">
              <w:rPr>
                <w:rFonts w:ascii="Times New Roman" w:hAnsi="Times New Roman" w:cs="Times New Roman"/>
              </w:rPr>
              <w:t>42.1</w:t>
            </w:r>
          </w:p>
        </w:tc>
        <w:tc>
          <w:tcPr>
            <w:tcW w:w="1464" w:type="dxa"/>
            <w:tcBorders>
              <w:top w:val="nil"/>
              <w:left w:val="nil"/>
              <w:bottom w:val="nil"/>
              <w:right w:val="nil"/>
            </w:tcBorders>
          </w:tcPr>
          <w:p w14:paraId="117B9FB7" w14:textId="77777777" w:rsidR="00CC4592" w:rsidRPr="00D54599" w:rsidRDefault="00634A52" w:rsidP="001B14EB">
            <w:pPr>
              <w:jc w:val="center"/>
              <w:rPr>
                <w:rFonts w:ascii="Times New Roman" w:hAnsi="Times New Roman" w:cs="Times New Roman"/>
              </w:rPr>
            </w:pPr>
            <w:r w:rsidRPr="00D54599">
              <w:rPr>
                <w:rFonts w:ascii="Times New Roman" w:hAnsi="Times New Roman" w:cs="Times New Roman"/>
              </w:rPr>
              <w:t>31.9</w:t>
            </w:r>
          </w:p>
        </w:tc>
      </w:tr>
      <w:tr w:rsidR="00785BA1" w:rsidRPr="00D54599" w14:paraId="74672556" w14:textId="77777777" w:rsidTr="005667DC">
        <w:tc>
          <w:tcPr>
            <w:tcW w:w="2340" w:type="dxa"/>
            <w:tcBorders>
              <w:top w:val="nil"/>
              <w:left w:val="nil"/>
              <w:bottom w:val="nil"/>
              <w:right w:val="nil"/>
            </w:tcBorders>
          </w:tcPr>
          <w:p w14:paraId="0E4D119C" w14:textId="77777777" w:rsidR="00CC4592" w:rsidRPr="00D54599" w:rsidRDefault="00CC4592" w:rsidP="00631DDB">
            <w:pPr>
              <w:rPr>
                <w:rFonts w:ascii="Times New Roman" w:hAnsi="Times New Roman" w:cs="Times New Roman"/>
              </w:rPr>
            </w:pPr>
            <w:r w:rsidRPr="00D54599">
              <w:rPr>
                <w:rFonts w:ascii="Times New Roman" w:hAnsi="Times New Roman" w:cs="Times New Roman"/>
              </w:rPr>
              <w:t>Vitamin A</w:t>
            </w:r>
            <w:r w:rsidR="00631DDB" w:rsidRPr="00D54599">
              <w:rPr>
                <w:rFonts w:ascii="Times New Roman" w:hAnsi="Times New Roman" w:cs="Times New Roman"/>
              </w:rPr>
              <w:t xml:space="preserve"> </w:t>
            </w:r>
            <w:r w:rsidR="00FA5C19" w:rsidRPr="00D54599">
              <w:rPr>
                <w:rFonts w:ascii="Times New Roman" w:hAnsi="Times New Roman" w:cs="Times New Roman"/>
              </w:rPr>
              <w:t>(μg RAE</w:t>
            </w:r>
            <w:r w:rsidR="00631DDB" w:rsidRPr="00D54599">
              <w:rPr>
                <w:rFonts w:ascii="Times New Roman" w:hAnsi="Times New Roman" w:cs="Times New Roman"/>
              </w:rPr>
              <w:t xml:space="preserve">) </w:t>
            </w:r>
            <w:r w:rsidR="00631DDB" w:rsidRPr="00D54599">
              <w:rPr>
                <w:rFonts w:ascii="Times New Roman" w:hAnsi="Times New Roman" w:cs="Times New Roman"/>
                <w:vertAlign w:val="superscript"/>
              </w:rPr>
              <w:t>b</w:t>
            </w:r>
          </w:p>
        </w:tc>
        <w:tc>
          <w:tcPr>
            <w:tcW w:w="1110" w:type="dxa"/>
            <w:tcBorders>
              <w:top w:val="nil"/>
              <w:left w:val="nil"/>
              <w:bottom w:val="nil"/>
              <w:right w:val="nil"/>
            </w:tcBorders>
          </w:tcPr>
          <w:p w14:paraId="3DA939CE" w14:textId="6D03017D" w:rsidR="00CC4592" w:rsidRPr="00D54599" w:rsidRDefault="002C6D85" w:rsidP="001B14EB">
            <w:pPr>
              <w:jc w:val="center"/>
              <w:rPr>
                <w:rFonts w:ascii="Times New Roman" w:hAnsi="Times New Roman" w:cs="Times New Roman"/>
              </w:rPr>
            </w:pPr>
            <w:r w:rsidRPr="00D54599">
              <w:rPr>
                <w:rFonts w:ascii="Times New Roman" w:hAnsi="Times New Roman" w:cs="Times New Roman"/>
              </w:rPr>
              <w:t>400</w:t>
            </w:r>
          </w:p>
        </w:tc>
        <w:tc>
          <w:tcPr>
            <w:tcW w:w="1464" w:type="dxa"/>
            <w:tcBorders>
              <w:top w:val="nil"/>
              <w:left w:val="nil"/>
              <w:bottom w:val="nil"/>
              <w:right w:val="nil"/>
            </w:tcBorders>
          </w:tcPr>
          <w:p w14:paraId="201B6D27" w14:textId="42530620" w:rsidR="00CC4592" w:rsidRPr="00D54599" w:rsidRDefault="002C6D85" w:rsidP="001B14EB">
            <w:pPr>
              <w:jc w:val="center"/>
              <w:rPr>
                <w:rFonts w:ascii="Times New Roman" w:hAnsi="Times New Roman" w:cs="Times New Roman"/>
              </w:rPr>
            </w:pPr>
            <w:r w:rsidRPr="00D54599">
              <w:rPr>
                <w:rFonts w:ascii="Times New Roman" w:hAnsi="Times New Roman" w:cs="Times New Roman"/>
              </w:rPr>
              <w:t>400</w:t>
            </w:r>
          </w:p>
        </w:tc>
        <w:tc>
          <w:tcPr>
            <w:tcW w:w="1464" w:type="dxa"/>
            <w:tcBorders>
              <w:top w:val="nil"/>
              <w:left w:val="nil"/>
              <w:bottom w:val="nil"/>
              <w:right w:val="nil"/>
            </w:tcBorders>
          </w:tcPr>
          <w:p w14:paraId="5737386C" w14:textId="39044A5D" w:rsidR="00CC4592" w:rsidRPr="00D54599" w:rsidRDefault="002C6D85" w:rsidP="001B14EB">
            <w:pPr>
              <w:jc w:val="center"/>
              <w:rPr>
                <w:rFonts w:ascii="Times New Roman" w:hAnsi="Times New Roman" w:cs="Times New Roman"/>
              </w:rPr>
            </w:pPr>
            <w:r w:rsidRPr="00D54599">
              <w:rPr>
                <w:rFonts w:ascii="Times New Roman" w:hAnsi="Times New Roman" w:cs="Times New Roman"/>
              </w:rPr>
              <w:t>500</w:t>
            </w:r>
          </w:p>
        </w:tc>
        <w:tc>
          <w:tcPr>
            <w:tcW w:w="1464" w:type="dxa"/>
            <w:tcBorders>
              <w:top w:val="nil"/>
              <w:left w:val="nil"/>
              <w:bottom w:val="nil"/>
              <w:right w:val="nil"/>
            </w:tcBorders>
          </w:tcPr>
          <w:p w14:paraId="7C7C7D78" w14:textId="50E9EBB4" w:rsidR="00CC4592" w:rsidRPr="00D54599" w:rsidRDefault="002C6D85" w:rsidP="001B14EB">
            <w:pPr>
              <w:jc w:val="center"/>
              <w:rPr>
                <w:rFonts w:ascii="Times New Roman" w:hAnsi="Times New Roman" w:cs="Times New Roman"/>
              </w:rPr>
            </w:pPr>
            <w:r w:rsidRPr="00D54599">
              <w:rPr>
                <w:rFonts w:ascii="Times New Roman" w:hAnsi="Times New Roman" w:cs="Times New Roman"/>
              </w:rPr>
              <w:t>500</w:t>
            </w:r>
          </w:p>
        </w:tc>
        <w:tc>
          <w:tcPr>
            <w:tcW w:w="1464" w:type="dxa"/>
            <w:tcBorders>
              <w:top w:val="nil"/>
              <w:left w:val="nil"/>
              <w:bottom w:val="nil"/>
              <w:right w:val="nil"/>
            </w:tcBorders>
          </w:tcPr>
          <w:p w14:paraId="4EE6568F" w14:textId="0099079B" w:rsidR="00CC4592" w:rsidRPr="00D54599" w:rsidRDefault="002C6D85" w:rsidP="001B14EB">
            <w:pPr>
              <w:jc w:val="center"/>
              <w:rPr>
                <w:rFonts w:ascii="Times New Roman" w:hAnsi="Times New Roman" w:cs="Times New Roman"/>
              </w:rPr>
            </w:pPr>
            <w:r w:rsidRPr="00D54599">
              <w:rPr>
                <w:rFonts w:ascii="Times New Roman" w:hAnsi="Times New Roman" w:cs="Times New Roman"/>
              </w:rPr>
              <w:t>700</w:t>
            </w:r>
          </w:p>
        </w:tc>
        <w:tc>
          <w:tcPr>
            <w:tcW w:w="1464" w:type="dxa"/>
            <w:tcBorders>
              <w:top w:val="nil"/>
              <w:left w:val="nil"/>
              <w:bottom w:val="nil"/>
              <w:right w:val="nil"/>
            </w:tcBorders>
          </w:tcPr>
          <w:p w14:paraId="7593906D" w14:textId="21B8ABA1" w:rsidR="00CC4592" w:rsidRPr="00D54599" w:rsidRDefault="002C6D85" w:rsidP="001B14EB">
            <w:pPr>
              <w:jc w:val="center"/>
              <w:rPr>
                <w:rFonts w:ascii="Times New Roman" w:hAnsi="Times New Roman" w:cs="Times New Roman"/>
              </w:rPr>
            </w:pPr>
            <w:r w:rsidRPr="00D54599">
              <w:rPr>
                <w:rFonts w:ascii="Times New Roman" w:hAnsi="Times New Roman" w:cs="Times New Roman"/>
              </w:rPr>
              <w:t>500</w:t>
            </w:r>
          </w:p>
        </w:tc>
        <w:tc>
          <w:tcPr>
            <w:tcW w:w="1464" w:type="dxa"/>
            <w:tcBorders>
              <w:top w:val="nil"/>
              <w:left w:val="nil"/>
              <w:bottom w:val="nil"/>
              <w:right w:val="nil"/>
            </w:tcBorders>
          </w:tcPr>
          <w:p w14:paraId="391895B1" w14:textId="3A3B037A" w:rsidR="00CC4592" w:rsidRPr="00D54599" w:rsidRDefault="002C6D85" w:rsidP="001B14EB">
            <w:pPr>
              <w:jc w:val="center"/>
              <w:rPr>
                <w:rFonts w:ascii="Times New Roman" w:hAnsi="Times New Roman" w:cs="Times New Roman"/>
              </w:rPr>
            </w:pPr>
            <w:r w:rsidRPr="00D54599">
              <w:rPr>
                <w:rFonts w:ascii="Times New Roman" w:hAnsi="Times New Roman" w:cs="Times New Roman"/>
              </w:rPr>
              <w:t>800</w:t>
            </w:r>
          </w:p>
        </w:tc>
        <w:tc>
          <w:tcPr>
            <w:tcW w:w="1464" w:type="dxa"/>
            <w:tcBorders>
              <w:top w:val="nil"/>
              <w:left w:val="nil"/>
              <w:bottom w:val="nil"/>
              <w:right w:val="nil"/>
            </w:tcBorders>
          </w:tcPr>
          <w:p w14:paraId="7F3376F2" w14:textId="3F456F22" w:rsidR="00CC4592" w:rsidRPr="00D54599" w:rsidRDefault="002C6D85" w:rsidP="001B14EB">
            <w:pPr>
              <w:jc w:val="center"/>
              <w:rPr>
                <w:rFonts w:ascii="Times New Roman" w:hAnsi="Times New Roman" w:cs="Times New Roman"/>
              </w:rPr>
            </w:pPr>
            <w:r w:rsidRPr="00D54599">
              <w:rPr>
                <w:rFonts w:ascii="Times New Roman" w:hAnsi="Times New Roman" w:cs="Times New Roman"/>
              </w:rPr>
              <w:t>600</w:t>
            </w:r>
          </w:p>
        </w:tc>
      </w:tr>
      <w:tr w:rsidR="00785BA1" w:rsidRPr="00D54599" w14:paraId="20039556" w14:textId="77777777" w:rsidTr="005667DC">
        <w:tc>
          <w:tcPr>
            <w:tcW w:w="2340" w:type="dxa"/>
            <w:tcBorders>
              <w:top w:val="nil"/>
              <w:left w:val="nil"/>
              <w:bottom w:val="nil"/>
              <w:right w:val="nil"/>
            </w:tcBorders>
          </w:tcPr>
          <w:p w14:paraId="34104529" w14:textId="77777777" w:rsidR="00CC4592" w:rsidRPr="00D54599" w:rsidRDefault="00CC4592" w:rsidP="00CC4592">
            <w:pPr>
              <w:rPr>
                <w:rFonts w:ascii="Times New Roman" w:hAnsi="Times New Roman" w:cs="Times New Roman"/>
              </w:rPr>
            </w:pPr>
            <w:r w:rsidRPr="00D54599">
              <w:rPr>
                <w:rFonts w:ascii="Times New Roman" w:hAnsi="Times New Roman" w:cs="Times New Roman"/>
              </w:rPr>
              <w:t>Vitamin C</w:t>
            </w:r>
            <w:r w:rsidR="00FA5C19" w:rsidRPr="00D54599">
              <w:rPr>
                <w:rFonts w:ascii="Times New Roman" w:hAnsi="Times New Roman" w:cs="Times New Roman"/>
              </w:rPr>
              <w:t xml:space="preserve"> (mg)</w:t>
            </w:r>
            <w:r w:rsidR="00631DDB" w:rsidRPr="00D54599">
              <w:rPr>
                <w:rFonts w:ascii="Times New Roman" w:hAnsi="Times New Roman" w:cs="Times New Roman"/>
                <w:vertAlign w:val="superscript"/>
              </w:rPr>
              <w:t xml:space="preserve"> b</w:t>
            </w:r>
          </w:p>
        </w:tc>
        <w:tc>
          <w:tcPr>
            <w:tcW w:w="1110" w:type="dxa"/>
            <w:tcBorders>
              <w:top w:val="nil"/>
              <w:left w:val="nil"/>
              <w:bottom w:val="nil"/>
              <w:right w:val="nil"/>
            </w:tcBorders>
          </w:tcPr>
          <w:p w14:paraId="6F3A058A" w14:textId="71D7E59D" w:rsidR="00CC4592" w:rsidRPr="00D54599" w:rsidRDefault="00D35CF6" w:rsidP="001B14EB">
            <w:pPr>
              <w:jc w:val="center"/>
              <w:rPr>
                <w:rFonts w:ascii="Times New Roman" w:hAnsi="Times New Roman" w:cs="Times New Roman"/>
              </w:rPr>
            </w:pPr>
            <w:r w:rsidRPr="00D54599">
              <w:rPr>
                <w:rFonts w:ascii="Times New Roman" w:hAnsi="Times New Roman" w:cs="Times New Roman"/>
              </w:rPr>
              <w:t>45</w:t>
            </w:r>
          </w:p>
        </w:tc>
        <w:tc>
          <w:tcPr>
            <w:tcW w:w="1464" w:type="dxa"/>
            <w:tcBorders>
              <w:top w:val="nil"/>
              <w:left w:val="nil"/>
              <w:bottom w:val="nil"/>
              <w:right w:val="nil"/>
            </w:tcBorders>
          </w:tcPr>
          <w:p w14:paraId="1FF3828F" w14:textId="48C8FD21" w:rsidR="00CC4592" w:rsidRPr="00D54599" w:rsidRDefault="00D35CF6" w:rsidP="001B14EB">
            <w:pPr>
              <w:jc w:val="center"/>
              <w:rPr>
                <w:rFonts w:ascii="Times New Roman" w:hAnsi="Times New Roman" w:cs="Times New Roman"/>
              </w:rPr>
            </w:pPr>
            <w:r w:rsidRPr="00D54599">
              <w:rPr>
                <w:rFonts w:ascii="Times New Roman" w:hAnsi="Times New Roman" w:cs="Times New Roman"/>
              </w:rPr>
              <w:t>45</w:t>
            </w:r>
          </w:p>
        </w:tc>
        <w:tc>
          <w:tcPr>
            <w:tcW w:w="1464" w:type="dxa"/>
            <w:tcBorders>
              <w:top w:val="nil"/>
              <w:left w:val="nil"/>
              <w:bottom w:val="nil"/>
              <w:right w:val="nil"/>
            </w:tcBorders>
          </w:tcPr>
          <w:p w14:paraId="5BE47280" w14:textId="063AEFA3" w:rsidR="00CC4592" w:rsidRPr="00D54599" w:rsidRDefault="00D35CF6" w:rsidP="001B14EB">
            <w:pPr>
              <w:jc w:val="center"/>
              <w:rPr>
                <w:rFonts w:ascii="Times New Roman" w:hAnsi="Times New Roman" w:cs="Times New Roman"/>
              </w:rPr>
            </w:pPr>
            <w:r w:rsidRPr="00D54599">
              <w:rPr>
                <w:rFonts w:ascii="Times New Roman" w:hAnsi="Times New Roman" w:cs="Times New Roman"/>
              </w:rPr>
              <w:t>45</w:t>
            </w:r>
          </w:p>
        </w:tc>
        <w:tc>
          <w:tcPr>
            <w:tcW w:w="1464" w:type="dxa"/>
            <w:tcBorders>
              <w:top w:val="nil"/>
              <w:left w:val="nil"/>
              <w:bottom w:val="nil"/>
              <w:right w:val="nil"/>
            </w:tcBorders>
          </w:tcPr>
          <w:p w14:paraId="66098E6F" w14:textId="6621F1A6" w:rsidR="00CC4592" w:rsidRPr="00D54599" w:rsidRDefault="00D35CF6" w:rsidP="001B14EB">
            <w:pPr>
              <w:jc w:val="center"/>
              <w:rPr>
                <w:rFonts w:ascii="Times New Roman" w:hAnsi="Times New Roman" w:cs="Times New Roman"/>
              </w:rPr>
            </w:pPr>
            <w:r w:rsidRPr="00D54599">
              <w:rPr>
                <w:rFonts w:ascii="Times New Roman" w:hAnsi="Times New Roman" w:cs="Times New Roman"/>
              </w:rPr>
              <w:t>45</w:t>
            </w:r>
          </w:p>
        </w:tc>
        <w:tc>
          <w:tcPr>
            <w:tcW w:w="1464" w:type="dxa"/>
            <w:tcBorders>
              <w:top w:val="nil"/>
              <w:left w:val="nil"/>
              <w:bottom w:val="nil"/>
              <w:right w:val="nil"/>
            </w:tcBorders>
          </w:tcPr>
          <w:p w14:paraId="17AA34C8" w14:textId="494C280F" w:rsidR="00CC4592" w:rsidRPr="00D54599" w:rsidRDefault="00D35CF6" w:rsidP="001B14EB">
            <w:pPr>
              <w:jc w:val="center"/>
              <w:rPr>
                <w:rFonts w:ascii="Times New Roman" w:hAnsi="Times New Roman" w:cs="Times New Roman"/>
              </w:rPr>
            </w:pPr>
            <w:r w:rsidRPr="00D54599">
              <w:rPr>
                <w:rFonts w:ascii="Times New Roman" w:hAnsi="Times New Roman" w:cs="Times New Roman"/>
              </w:rPr>
              <w:t>60</w:t>
            </w:r>
          </w:p>
        </w:tc>
        <w:tc>
          <w:tcPr>
            <w:tcW w:w="1464" w:type="dxa"/>
            <w:tcBorders>
              <w:top w:val="nil"/>
              <w:left w:val="nil"/>
              <w:bottom w:val="nil"/>
              <w:right w:val="nil"/>
            </w:tcBorders>
          </w:tcPr>
          <w:p w14:paraId="77B7AB2E" w14:textId="5D6F2712" w:rsidR="00CC4592" w:rsidRPr="00D54599" w:rsidRDefault="00D35CF6" w:rsidP="001B14EB">
            <w:pPr>
              <w:jc w:val="center"/>
              <w:rPr>
                <w:rFonts w:ascii="Times New Roman" w:hAnsi="Times New Roman" w:cs="Times New Roman"/>
              </w:rPr>
            </w:pPr>
            <w:r w:rsidRPr="00D54599">
              <w:rPr>
                <w:rFonts w:ascii="Times New Roman" w:hAnsi="Times New Roman" w:cs="Times New Roman"/>
              </w:rPr>
              <w:t>55</w:t>
            </w:r>
          </w:p>
        </w:tc>
        <w:tc>
          <w:tcPr>
            <w:tcW w:w="1464" w:type="dxa"/>
            <w:tcBorders>
              <w:top w:val="nil"/>
              <w:left w:val="nil"/>
              <w:bottom w:val="nil"/>
              <w:right w:val="nil"/>
            </w:tcBorders>
          </w:tcPr>
          <w:p w14:paraId="5C2EEB56" w14:textId="12D42AC8" w:rsidR="00CC4592" w:rsidRPr="00D54599" w:rsidRDefault="00D35CF6" w:rsidP="001B14EB">
            <w:pPr>
              <w:jc w:val="center"/>
              <w:rPr>
                <w:rFonts w:ascii="Times New Roman" w:hAnsi="Times New Roman" w:cs="Times New Roman"/>
              </w:rPr>
            </w:pPr>
            <w:r w:rsidRPr="00D54599">
              <w:rPr>
                <w:rFonts w:ascii="Times New Roman" w:hAnsi="Times New Roman" w:cs="Times New Roman"/>
              </w:rPr>
              <w:t>70</w:t>
            </w:r>
          </w:p>
        </w:tc>
        <w:tc>
          <w:tcPr>
            <w:tcW w:w="1464" w:type="dxa"/>
            <w:tcBorders>
              <w:top w:val="nil"/>
              <w:left w:val="nil"/>
              <w:bottom w:val="nil"/>
              <w:right w:val="nil"/>
            </w:tcBorders>
          </w:tcPr>
          <w:p w14:paraId="0F07242D" w14:textId="01280F5C" w:rsidR="00CC4592" w:rsidRPr="00D54599" w:rsidRDefault="00D35CF6" w:rsidP="001B14EB">
            <w:pPr>
              <w:jc w:val="center"/>
              <w:rPr>
                <w:rFonts w:ascii="Times New Roman" w:hAnsi="Times New Roman" w:cs="Times New Roman"/>
              </w:rPr>
            </w:pPr>
            <w:r w:rsidRPr="00D54599">
              <w:rPr>
                <w:rFonts w:ascii="Times New Roman" w:hAnsi="Times New Roman" w:cs="Times New Roman"/>
              </w:rPr>
              <w:t>60</w:t>
            </w:r>
          </w:p>
        </w:tc>
      </w:tr>
      <w:tr w:rsidR="00785BA1" w:rsidRPr="00D54599" w14:paraId="598D26E4" w14:textId="77777777" w:rsidTr="005667DC">
        <w:tc>
          <w:tcPr>
            <w:tcW w:w="2340" w:type="dxa"/>
            <w:tcBorders>
              <w:top w:val="nil"/>
              <w:left w:val="nil"/>
              <w:bottom w:val="nil"/>
              <w:right w:val="nil"/>
            </w:tcBorders>
          </w:tcPr>
          <w:p w14:paraId="4484C68E" w14:textId="76262590" w:rsidR="00B427E3" w:rsidRPr="00D54599" w:rsidRDefault="00B427E3" w:rsidP="007E77E3">
            <w:pPr>
              <w:rPr>
                <w:rFonts w:ascii="Times New Roman" w:hAnsi="Times New Roman" w:cs="Times New Roman"/>
              </w:rPr>
            </w:pPr>
            <w:r w:rsidRPr="00D54599">
              <w:rPr>
                <w:rFonts w:ascii="Times New Roman" w:hAnsi="Times New Roman" w:cs="Times New Roman"/>
              </w:rPr>
              <w:t xml:space="preserve">Vitamin </w:t>
            </w:r>
            <w:r w:rsidR="00844287" w:rsidRPr="00D54599">
              <w:rPr>
                <w:rFonts w:ascii="Times New Roman" w:hAnsi="Times New Roman" w:cs="Times New Roman"/>
              </w:rPr>
              <w:t>D</w:t>
            </w:r>
            <w:r w:rsidRPr="00D54599">
              <w:rPr>
                <w:rFonts w:ascii="Times New Roman" w:hAnsi="Times New Roman" w:cs="Times New Roman"/>
              </w:rPr>
              <w:t xml:space="preserve"> (</w:t>
            </w:r>
            <w:r w:rsidR="00844287" w:rsidRPr="00D54599">
              <w:rPr>
                <w:rFonts w:ascii="Times New Roman" w:hAnsi="Times New Roman" w:cs="Times New Roman"/>
              </w:rPr>
              <w:t>µg</w:t>
            </w:r>
            <w:r w:rsidRPr="00D54599">
              <w:rPr>
                <w:rFonts w:ascii="Times New Roman" w:hAnsi="Times New Roman" w:cs="Times New Roman"/>
              </w:rPr>
              <w:t>)</w:t>
            </w:r>
            <w:r w:rsidR="00D35CF6" w:rsidRPr="00D54599">
              <w:rPr>
                <w:rFonts w:ascii="Times New Roman" w:hAnsi="Times New Roman" w:cs="Times New Roman"/>
                <w:vertAlign w:val="superscript"/>
              </w:rPr>
              <w:t>b</w:t>
            </w:r>
          </w:p>
        </w:tc>
        <w:tc>
          <w:tcPr>
            <w:tcW w:w="1110" w:type="dxa"/>
            <w:tcBorders>
              <w:top w:val="nil"/>
              <w:left w:val="nil"/>
              <w:bottom w:val="nil"/>
              <w:right w:val="nil"/>
            </w:tcBorders>
          </w:tcPr>
          <w:p w14:paraId="34C205E9"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c>
          <w:tcPr>
            <w:tcW w:w="1464" w:type="dxa"/>
            <w:tcBorders>
              <w:top w:val="nil"/>
              <w:left w:val="nil"/>
              <w:bottom w:val="nil"/>
              <w:right w:val="nil"/>
            </w:tcBorders>
          </w:tcPr>
          <w:p w14:paraId="12698AB2"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c>
          <w:tcPr>
            <w:tcW w:w="1464" w:type="dxa"/>
            <w:tcBorders>
              <w:top w:val="nil"/>
              <w:left w:val="nil"/>
              <w:bottom w:val="nil"/>
              <w:right w:val="nil"/>
            </w:tcBorders>
          </w:tcPr>
          <w:p w14:paraId="75FA9A57"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c>
          <w:tcPr>
            <w:tcW w:w="1464" w:type="dxa"/>
            <w:tcBorders>
              <w:top w:val="nil"/>
              <w:left w:val="nil"/>
              <w:bottom w:val="nil"/>
              <w:right w:val="nil"/>
            </w:tcBorders>
          </w:tcPr>
          <w:p w14:paraId="29FFE6FB"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c>
          <w:tcPr>
            <w:tcW w:w="1464" w:type="dxa"/>
            <w:tcBorders>
              <w:top w:val="nil"/>
              <w:left w:val="nil"/>
              <w:bottom w:val="nil"/>
              <w:right w:val="nil"/>
            </w:tcBorders>
          </w:tcPr>
          <w:p w14:paraId="594CE9E6"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c>
          <w:tcPr>
            <w:tcW w:w="1464" w:type="dxa"/>
            <w:tcBorders>
              <w:top w:val="nil"/>
              <w:left w:val="nil"/>
              <w:bottom w:val="nil"/>
              <w:right w:val="nil"/>
            </w:tcBorders>
          </w:tcPr>
          <w:p w14:paraId="76B5F7AA"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c>
          <w:tcPr>
            <w:tcW w:w="1464" w:type="dxa"/>
            <w:tcBorders>
              <w:top w:val="nil"/>
              <w:left w:val="nil"/>
              <w:bottom w:val="nil"/>
              <w:right w:val="nil"/>
            </w:tcBorders>
          </w:tcPr>
          <w:p w14:paraId="3DEB302A"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c>
          <w:tcPr>
            <w:tcW w:w="1464" w:type="dxa"/>
            <w:tcBorders>
              <w:top w:val="nil"/>
              <w:left w:val="nil"/>
              <w:bottom w:val="nil"/>
              <w:right w:val="nil"/>
            </w:tcBorders>
          </w:tcPr>
          <w:p w14:paraId="02A39B65" w14:textId="77777777" w:rsidR="00B427E3" w:rsidRPr="00D54599" w:rsidRDefault="00844287" w:rsidP="001B14EB">
            <w:pPr>
              <w:jc w:val="center"/>
              <w:rPr>
                <w:rFonts w:ascii="Times New Roman" w:hAnsi="Times New Roman" w:cs="Times New Roman"/>
              </w:rPr>
            </w:pPr>
            <w:r w:rsidRPr="00D54599">
              <w:rPr>
                <w:rFonts w:ascii="Times New Roman" w:hAnsi="Times New Roman" w:cs="Times New Roman"/>
              </w:rPr>
              <w:t>5</w:t>
            </w:r>
          </w:p>
        </w:tc>
      </w:tr>
      <w:tr w:rsidR="00785BA1" w:rsidRPr="00D54599" w14:paraId="1D5BED8D" w14:textId="77777777" w:rsidTr="005667DC">
        <w:tc>
          <w:tcPr>
            <w:tcW w:w="2340" w:type="dxa"/>
            <w:tcBorders>
              <w:top w:val="nil"/>
              <w:left w:val="nil"/>
              <w:bottom w:val="nil"/>
              <w:right w:val="nil"/>
            </w:tcBorders>
          </w:tcPr>
          <w:p w14:paraId="1719D153" w14:textId="77777777" w:rsidR="00CC4592" w:rsidRPr="00D54599" w:rsidRDefault="00CC4592" w:rsidP="00CC4592">
            <w:pPr>
              <w:rPr>
                <w:rFonts w:ascii="Times New Roman" w:hAnsi="Times New Roman" w:cs="Times New Roman"/>
              </w:rPr>
            </w:pPr>
            <w:r w:rsidRPr="00D54599">
              <w:rPr>
                <w:rFonts w:ascii="Times New Roman" w:hAnsi="Times New Roman" w:cs="Times New Roman"/>
              </w:rPr>
              <w:t>Calcium</w:t>
            </w:r>
            <w:r w:rsidR="001B14EB" w:rsidRPr="00D54599">
              <w:rPr>
                <w:rFonts w:ascii="Times New Roman" w:hAnsi="Times New Roman" w:cs="Times New Roman"/>
              </w:rPr>
              <w:t xml:space="preserve"> (mg)</w:t>
            </w:r>
            <w:r w:rsidR="00631DDB" w:rsidRPr="00D54599">
              <w:rPr>
                <w:rFonts w:ascii="Times New Roman" w:hAnsi="Times New Roman" w:cs="Times New Roman"/>
                <w:vertAlign w:val="superscript"/>
              </w:rPr>
              <w:t xml:space="preserve"> b</w:t>
            </w:r>
          </w:p>
        </w:tc>
        <w:tc>
          <w:tcPr>
            <w:tcW w:w="1110" w:type="dxa"/>
            <w:tcBorders>
              <w:top w:val="nil"/>
              <w:left w:val="nil"/>
              <w:bottom w:val="nil"/>
              <w:right w:val="nil"/>
            </w:tcBorders>
          </w:tcPr>
          <w:p w14:paraId="5480151F" w14:textId="4F5725C6" w:rsidR="00CC4592" w:rsidRPr="00D54599" w:rsidRDefault="00D35CF6" w:rsidP="001B14EB">
            <w:pPr>
              <w:jc w:val="center"/>
              <w:rPr>
                <w:rFonts w:ascii="Times New Roman" w:hAnsi="Times New Roman" w:cs="Times New Roman"/>
              </w:rPr>
            </w:pPr>
            <w:r w:rsidRPr="00D54599">
              <w:rPr>
                <w:rFonts w:ascii="Times New Roman" w:hAnsi="Times New Roman" w:cs="Times New Roman"/>
              </w:rPr>
              <w:t>700</w:t>
            </w:r>
          </w:p>
        </w:tc>
        <w:tc>
          <w:tcPr>
            <w:tcW w:w="1464" w:type="dxa"/>
            <w:tcBorders>
              <w:top w:val="nil"/>
              <w:left w:val="nil"/>
              <w:bottom w:val="nil"/>
              <w:right w:val="nil"/>
            </w:tcBorders>
          </w:tcPr>
          <w:p w14:paraId="50B73A66" w14:textId="1ECA0DD2" w:rsidR="00CC4592" w:rsidRPr="00D54599" w:rsidRDefault="00D35CF6" w:rsidP="001B14EB">
            <w:pPr>
              <w:jc w:val="center"/>
              <w:rPr>
                <w:rFonts w:ascii="Times New Roman" w:hAnsi="Times New Roman" w:cs="Times New Roman"/>
              </w:rPr>
            </w:pPr>
            <w:r w:rsidRPr="00D54599">
              <w:rPr>
                <w:rFonts w:ascii="Times New Roman" w:hAnsi="Times New Roman" w:cs="Times New Roman"/>
              </w:rPr>
              <w:t>700</w:t>
            </w:r>
          </w:p>
        </w:tc>
        <w:tc>
          <w:tcPr>
            <w:tcW w:w="1464" w:type="dxa"/>
            <w:tcBorders>
              <w:top w:val="nil"/>
              <w:left w:val="nil"/>
              <w:bottom w:val="nil"/>
              <w:right w:val="nil"/>
            </w:tcBorders>
          </w:tcPr>
          <w:p w14:paraId="204849BA" w14:textId="088ABA1E"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1000</w:t>
            </w:r>
          </w:p>
        </w:tc>
        <w:tc>
          <w:tcPr>
            <w:tcW w:w="1464" w:type="dxa"/>
            <w:tcBorders>
              <w:top w:val="nil"/>
              <w:left w:val="nil"/>
              <w:bottom w:val="nil"/>
              <w:right w:val="nil"/>
            </w:tcBorders>
          </w:tcPr>
          <w:p w14:paraId="104122EA" w14:textId="2A59DC3D"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1000</w:t>
            </w:r>
          </w:p>
        </w:tc>
        <w:tc>
          <w:tcPr>
            <w:tcW w:w="1464" w:type="dxa"/>
            <w:tcBorders>
              <w:top w:val="nil"/>
              <w:left w:val="nil"/>
              <w:bottom w:val="nil"/>
              <w:right w:val="nil"/>
            </w:tcBorders>
          </w:tcPr>
          <w:p w14:paraId="2DE52348" w14:textId="569E3E8B"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1000</w:t>
            </w:r>
          </w:p>
        </w:tc>
        <w:tc>
          <w:tcPr>
            <w:tcW w:w="1464" w:type="dxa"/>
            <w:tcBorders>
              <w:top w:val="nil"/>
              <w:left w:val="nil"/>
              <w:bottom w:val="nil"/>
              <w:right w:val="nil"/>
            </w:tcBorders>
          </w:tcPr>
          <w:p w14:paraId="4A874471" w14:textId="3769C377"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1000</w:t>
            </w:r>
          </w:p>
        </w:tc>
        <w:tc>
          <w:tcPr>
            <w:tcW w:w="1464" w:type="dxa"/>
            <w:tcBorders>
              <w:top w:val="nil"/>
              <w:left w:val="nil"/>
              <w:bottom w:val="nil"/>
              <w:right w:val="nil"/>
            </w:tcBorders>
          </w:tcPr>
          <w:p w14:paraId="4259813C" w14:textId="37C71E03"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1000</w:t>
            </w:r>
          </w:p>
        </w:tc>
        <w:tc>
          <w:tcPr>
            <w:tcW w:w="1464" w:type="dxa"/>
            <w:tcBorders>
              <w:top w:val="nil"/>
              <w:left w:val="nil"/>
              <w:bottom w:val="nil"/>
              <w:right w:val="nil"/>
            </w:tcBorders>
          </w:tcPr>
          <w:p w14:paraId="7EBFC0FF" w14:textId="2C713F75"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1000</w:t>
            </w:r>
          </w:p>
        </w:tc>
      </w:tr>
      <w:tr w:rsidR="00785BA1" w:rsidRPr="00D54599" w14:paraId="0894B7A1" w14:textId="77777777" w:rsidTr="005667DC">
        <w:tc>
          <w:tcPr>
            <w:tcW w:w="2340" w:type="dxa"/>
            <w:tcBorders>
              <w:top w:val="nil"/>
              <w:left w:val="nil"/>
              <w:bottom w:val="nil"/>
              <w:right w:val="nil"/>
            </w:tcBorders>
          </w:tcPr>
          <w:p w14:paraId="6AB4F7E3" w14:textId="77777777" w:rsidR="00CC4592" w:rsidRPr="00D54599" w:rsidRDefault="00CC4592" w:rsidP="00CC4592">
            <w:pPr>
              <w:rPr>
                <w:rFonts w:ascii="Times New Roman" w:hAnsi="Times New Roman" w:cs="Times New Roman"/>
              </w:rPr>
            </w:pPr>
            <w:r w:rsidRPr="00D54599">
              <w:rPr>
                <w:rFonts w:ascii="Times New Roman" w:hAnsi="Times New Roman" w:cs="Times New Roman"/>
              </w:rPr>
              <w:t>Iron</w:t>
            </w:r>
            <w:r w:rsidR="001B14EB" w:rsidRPr="00D54599">
              <w:rPr>
                <w:rFonts w:ascii="Times New Roman" w:hAnsi="Times New Roman" w:cs="Times New Roman"/>
              </w:rPr>
              <w:t xml:space="preserve"> (mg)</w:t>
            </w:r>
            <w:r w:rsidR="00631DDB" w:rsidRPr="00D54599">
              <w:rPr>
                <w:rFonts w:ascii="Times New Roman" w:hAnsi="Times New Roman" w:cs="Times New Roman"/>
                <w:vertAlign w:val="superscript"/>
              </w:rPr>
              <w:t xml:space="preserve"> b</w:t>
            </w:r>
          </w:p>
        </w:tc>
        <w:tc>
          <w:tcPr>
            <w:tcW w:w="1110" w:type="dxa"/>
            <w:tcBorders>
              <w:top w:val="nil"/>
              <w:left w:val="nil"/>
              <w:bottom w:val="nil"/>
              <w:right w:val="nil"/>
            </w:tcBorders>
          </w:tcPr>
          <w:p w14:paraId="3B96AC1D" w14:textId="7F3FAB5A"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10</w:t>
            </w:r>
          </w:p>
        </w:tc>
        <w:tc>
          <w:tcPr>
            <w:tcW w:w="1464" w:type="dxa"/>
            <w:tcBorders>
              <w:top w:val="nil"/>
              <w:left w:val="nil"/>
              <w:bottom w:val="nil"/>
              <w:right w:val="nil"/>
            </w:tcBorders>
          </w:tcPr>
          <w:p w14:paraId="1E55968D" w14:textId="6025274D" w:rsidR="00CC4592" w:rsidRPr="00D54599" w:rsidRDefault="00D35CF6" w:rsidP="001B14EB">
            <w:pPr>
              <w:jc w:val="center"/>
              <w:rPr>
                <w:rFonts w:ascii="Times New Roman" w:hAnsi="Times New Roman" w:cs="Times New Roman"/>
              </w:rPr>
            </w:pPr>
            <w:r w:rsidRPr="00D54599">
              <w:rPr>
                <w:rFonts w:ascii="Times New Roman" w:hAnsi="Times New Roman" w:cs="Times New Roman"/>
              </w:rPr>
              <w:t>9</w:t>
            </w:r>
          </w:p>
        </w:tc>
        <w:tc>
          <w:tcPr>
            <w:tcW w:w="1464" w:type="dxa"/>
            <w:tcBorders>
              <w:top w:val="nil"/>
              <w:left w:val="nil"/>
              <w:bottom w:val="nil"/>
              <w:right w:val="nil"/>
            </w:tcBorders>
          </w:tcPr>
          <w:p w14:paraId="547D53AC" w14:textId="54E4D8DF"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12</w:t>
            </w:r>
          </w:p>
        </w:tc>
        <w:tc>
          <w:tcPr>
            <w:tcW w:w="1464" w:type="dxa"/>
            <w:tcBorders>
              <w:top w:val="nil"/>
              <w:left w:val="nil"/>
              <w:bottom w:val="nil"/>
              <w:right w:val="nil"/>
            </w:tcBorders>
          </w:tcPr>
          <w:p w14:paraId="66FFCD04" w14:textId="32F45659" w:rsidR="00CC4592" w:rsidRPr="00D54599" w:rsidRDefault="00D35CF6" w:rsidP="001B14EB">
            <w:pPr>
              <w:jc w:val="center"/>
              <w:rPr>
                <w:rFonts w:ascii="Times New Roman" w:hAnsi="Times New Roman" w:cs="Times New Roman"/>
              </w:rPr>
            </w:pPr>
            <w:r w:rsidRPr="00D54599">
              <w:rPr>
                <w:rFonts w:ascii="Times New Roman" w:hAnsi="Times New Roman" w:cs="Times New Roman"/>
              </w:rPr>
              <w:t>20</w:t>
            </w:r>
          </w:p>
        </w:tc>
        <w:tc>
          <w:tcPr>
            <w:tcW w:w="1464" w:type="dxa"/>
            <w:tcBorders>
              <w:top w:val="nil"/>
              <w:left w:val="nil"/>
              <w:bottom w:val="nil"/>
              <w:right w:val="nil"/>
            </w:tcBorders>
          </w:tcPr>
          <w:p w14:paraId="7E6902FE" w14:textId="1B6B05F0"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19</w:t>
            </w:r>
          </w:p>
        </w:tc>
        <w:tc>
          <w:tcPr>
            <w:tcW w:w="1464" w:type="dxa"/>
            <w:tcBorders>
              <w:top w:val="nil"/>
              <w:left w:val="nil"/>
              <w:bottom w:val="nil"/>
              <w:right w:val="nil"/>
            </w:tcBorders>
          </w:tcPr>
          <w:p w14:paraId="1DA4C3BC" w14:textId="466F40E4" w:rsidR="00CC4592" w:rsidRPr="00D54599" w:rsidRDefault="00D35CF6" w:rsidP="001B14EB">
            <w:pPr>
              <w:jc w:val="center"/>
              <w:rPr>
                <w:rFonts w:ascii="Times New Roman" w:hAnsi="Times New Roman" w:cs="Times New Roman"/>
              </w:rPr>
            </w:pPr>
            <w:r w:rsidRPr="00D54599">
              <w:rPr>
                <w:rFonts w:ascii="Times New Roman" w:hAnsi="Times New Roman" w:cs="Times New Roman"/>
              </w:rPr>
              <w:t>28</w:t>
            </w:r>
          </w:p>
        </w:tc>
        <w:tc>
          <w:tcPr>
            <w:tcW w:w="1464" w:type="dxa"/>
            <w:tcBorders>
              <w:top w:val="nil"/>
              <w:left w:val="nil"/>
              <w:bottom w:val="nil"/>
              <w:right w:val="nil"/>
            </w:tcBorders>
          </w:tcPr>
          <w:p w14:paraId="54F5C7B5" w14:textId="09BFF2A4" w:rsidR="00CC4592" w:rsidRPr="00D54599" w:rsidRDefault="00D35CF6" w:rsidP="001B14EB">
            <w:pPr>
              <w:jc w:val="center"/>
              <w:rPr>
                <w:rFonts w:ascii="Times New Roman" w:hAnsi="Times New Roman" w:cs="Times New Roman"/>
              </w:rPr>
            </w:pPr>
            <w:r w:rsidRPr="00D54599">
              <w:rPr>
                <w:rFonts w:ascii="Times New Roman" w:hAnsi="Times New Roman" w:cs="Times New Roman"/>
              </w:rPr>
              <w:t>14</w:t>
            </w:r>
          </w:p>
        </w:tc>
        <w:tc>
          <w:tcPr>
            <w:tcW w:w="1464" w:type="dxa"/>
            <w:tcBorders>
              <w:top w:val="nil"/>
              <w:left w:val="nil"/>
              <w:bottom w:val="nil"/>
              <w:right w:val="nil"/>
            </w:tcBorders>
          </w:tcPr>
          <w:p w14:paraId="73FB3E5F" w14:textId="38307852" w:rsidR="00CC4592" w:rsidRPr="00D54599" w:rsidRDefault="00D35CF6" w:rsidP="001B14EB">
            <w:pPr>
              <w:jc w:val="center"/>
              <w:rPr>
                <w:rFonts w:ascii="Times New Roman" w:hAnsi="Times New Roman" w:cs="Times New Roman"/>
              </w:rPr>
            </w:pPr>
            <w:r w:rsidRPr="00D54599">
              <w:rPr>
                <w:rFonts w:ascii="Times New Roman" w:hAnsi="Times New Roman" w:cs="Times New Roman"/>
              </w:rPr>
              <w:t>28</w:t>
            </w:r>
          </w:p>
        </w:tc>
      </w:tr>
      <w:tr w:rsidR="00785BA1" w:rsidRPr="00D54599" w14:paraId="55F0C88C" w14:textId="77777777" w:rsidTr="005667DC">
        <w:tc>
          <w:tcPr>
            <w:tcW w:w="2340" w:type="dxa"/>
            <w:tcBorders>
              <w:top w:val="nil"/>
              <w:left w:val="nil"/>
              <w:bottom w:val="nil"/>
              <w:right w:val="nil"/>
            </w:tcBorders>
          </w:tcPr>
          <w:p w14:paraId="4C554B5E" w14:textId="77777777" w:rsidR="00CC4592" w:rsidRPr="00D54599" w:rsidRDefault="00CC4592" w:rsidP="00814B73">
            <w:pPr>
              <w:rPr>
                <w:rFonts w:ascii="Times New Roman" w:hAnsi="Times New Roman" w:cs="Times New Roman"/>
              </w:rPr>
            </w:pPr>
            <w:r w:rsidRPr="00D54599">
              <w:rPr>
                <w:rFonts w:ascii="Times New Roman" w:hAnsi="Times New Roman" w:cs="Times New Roman"/>
              </w:rPr>
              <w:t>Potassium</w:t>
            </w:r>
            <w:r w:rsidR="001B14EB" w:rsidRPr="00D54599">
              <w:rPr>
                <w:rFonts w:ascii="Times New Roman" w:hAnsi="Times New Roman" w:cs="Times New Roman"/>
              </w:rPr>
              <w:t xml:space="preserve"> (mg)</w:t>
            </w:r>
            <w:r w:rsidR="00631DDB" w:rsidRPr="00D54599">
              <w:rPr>
                <w:rFonts w:ascii="Times New Roman" w:hAnsi="Times New Roman" w:cs="Times New Roman"/>
                <w:vertAlign w:val="superscript"/>
              </w:rPr>
              <w:t xml:space="preserve"> </w:t>
            </w:r>
            <w:r w:rsidR="00814B73" w:rsidRPr="00D54599">
              <w:rPr>
                <w:rFonts w:ascii="Times New Roman" w:hAnsi="Times New Roman" w:cs="Times New Roman"/>
                <w:vertAlign w:val="superscript"/>
              </w:rPr>
              <w:t>d</w:t>
            </w:r>
          </w:p>
        </w:tc>
        <w:tc>
          <w:tcPr>
            <w:tcW w:w="1110" w:type="dxa"/>
            <w:tcBorders>
              <w:top w:val="nil"/>
              <w:left w:val="nil"/>
              <w:bottom w:val="nil"/>
              <w:right w:val="nil"/>
            </w:tcBorders>
          </w:tcPr>
          <w:p w14:paraId="7F39319B"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1600</w:t>
            </w:r>
          </w:p>
        </w:tc>
        <w:tc>
          <w:tcPr>
            <w:tcW w:w="1464" w:type="dxa"/>
            <w:tcBorders>
              <w:top w:val="nil"/>
              <w:left w:val="nil"/>
              <w:bottom w:val="nil"/>
              <w:right w:val="nil"/>
            </w:tcBorders>
          </w:tcPr>
          <w:p w14:paraId="50310D0E"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1600</w:t>
            </w:r>
          </w:p>
        </w:tc>
        <w:tc>
          <w:tcPr>
            <w:tcW w:w="1464" w:type="dxa"/>
            <w:tcBorders>
              <w:top w:val="nil"/>
              <w:left w:val="nil"/>
              <w:bottom w:val="nil"/>
              <w:right w:val="nil"/>
            </w:tcBorders>
          </w:tcPr>
          <w:p w14:paraId="04CEB4C5"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2000</w:t>
            </w:r>
          </w:p>
        </w:tc>
        <w:tc>
          <w:tcPr>
            <w:tcW w:w="1464" w:type="dxa"/>
            <w:tcBorders>
              <w:top w:val="nil"/>
              <w:left w:val="nil"/>
              <w:bottom w:val="nil"/>
              <w:right w:val="nil"/>
            </w:tcBorders>
          </w:tcPr>
          <w:p w14:paraId="08F9A583"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2000</w:t>
            </w:r>
          </w:p>
        </w:tc>
        <w:tc>
          <w:tcPr>
            <w:tcW w:w="1464" w:type="dxa"/>
            <w:tcBorders>
              <w:top w:val="nil"/>
              <w:left w:val="nil"/>
              <w:bottom w:val="nil"/>
              <w:right w:val="nil"/>
            </w:tcBorders>
          </w:tcPr>
          <w:p w14:paraId="6C4F520D"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2000</w:t>
            </w:r>
          </w:p>
        </w:tc>
        <w:tc>
          <w:tcPr>
            <w:tcW w:w="1464" w:type="dxa"/>
            <w:tcBorders>
              <w:top w:val="nil"/>
              <w:left w:val="nil"/>
              <w:bottom w:val="nil"/>
              <w:right w:val="nil"/>
            </w:tcBorders>
          </w:tcPr>
          <w:p w14:paraId="3A0BB728"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2000</w:t>
            </w:r>
          </w:p>
        </w:tc>
        <w:tc>
          <w:tcPr>
            <w:tcW w:w="1464" w:type="dxa"/>
            <w:tcBorders>
              <w:top w:val="nil"/>
              <w:left w:val="nil"/>
              <w:bottom w:val="nil"/>
              <w:right w:val="nil"/>
            </w:tcBorders>
          </w:tcPr>
          <w:p w14:paraId="6E7E4BE0"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2000</w:t>
            </w:r>
          </w:p>
        </w:tc>
        <w:tc>
          <w:tcPr>
            <w:tcW w:w="1464" w:type="dxa"/>
            <w:tcBorders>
              <w:top w:val="nil"/>
              <w:left w:val="nil"/>
              <w:bottom w:val="nil"/>
              <w:right w:val="nil"/>
            </w:tcBorders>
          </w:tcPr>
          <w:p w14:paraId="7E31C21D"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2000</w:t>
            </w:r>
          </w:p>
        </w:tc>
      </w:tr>
      <w:tr w:rsidR="00785BA1" w:rsidRPr="00D54599" w14:paraId="3B574506" w14:textId="77777777" w:rsidTr="005667DC">
        <w:tc>
          <w:tcPr>
            <w:tcW w:w="2340" w:type="dxa"/>
            <w:tcBorders>
              <w:top w:val="nil"/>
              <w:left w:val="nil"/>
              <w:bottom w:val="nil"/>
              <w:right w:val="nil"/>
            </w:tcBorders>
          </w:tcPr>
          <w:p w14:paraId="114A8000" w14:textId="21D82019" w:rsidR="00CC4592" w:rsidRPr="00D54599" w:rsidRDefault="00CC4592" w:rsidP="007E77E3">
            <w:pPr>
              <w:rPr>
                <w:rFonts w:ascii="Times New Roman" w:hAnsi="Times New Roman" w:cs="Times New Roman"/>
              </w:rPr>
            </w:pPr>
            <w:r w:rsidRPr="00D54599">
              <w:rPr>
                <w:rFonts w:ascii="Times New Roman" w:hAnsi="Times New Roman" w:cs="Times New Roman"/>
              </w:rPr>
              <w:t>Magnesium</w:t>
            </w:r>
            <w:r w:rsidR="001B14EB" w:rsidRPr="00D54599">
              <w:rPr>
                <w:rFonts w:ascii="Times New Roman" w:hAnsi="Times New Roman" w:cs="Times New Roman"/>
              </w:rPr>
              <w:t xml:space="preserve"> (mg)</w:t>
            </w:r>
            <w:r w:rsidR="00631DDB" w:rsidRPr="00D54599">
              <w:rPr>
                <w:rFonts w:ascii="Times New Roman" w:hAnsi="Times New Roman" w:cs="Times New Roman"/>
                <w:vertAlign w:val="superscript"/>
              </w:rPr>
              <w:t xml:space="preserve"> </w:t>
            </w:r>
            <w:r w:rsidR="00D35CF6" w:rsidRPr="00D54599">
              <w:rPr>
                <w:rFonts w:ascii="Times New Roman" w:hAnsi="Times New Roman" w:cs="Times New Roman"/>
                <w:vertAlign w:val="superscript"/>
              </w:rPr>
              <w:t>b</w:t>
            </w:r>
          </w:p>
        </w:tc>
        <w:tc>
          <w:tcPr>
            <w:tcW w:w="1110" w:type="dxa"/>
            <w:tcBorders>
              <w:top w:val="nil"/>
              <w:left w:val="nil"/>
              <w:bottom w:val="nil"/>
              <w:right w:val="nil"/>
            </w:tcBorders>
          </w:tcPr>
          <w:p w14:paraId="721D2B02"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90</w:t>
            </w:r>
          </w:p>
        </w:tc>
        <w:tc>
          <w:tcPr>
            <w:tcW w:w="1464" w:type="dxa"/>
            <w:tcBorders>
              <w:top w:val="nil"/>
              <w:left w:val="nil"/>
              <w:bottom w:val="nil"/>
              <w:right w:val="nil"/>
            </w:tcBorders>
          </w:tcPr>
          <w:p w14:paraId="6407CF9B"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90</w:t>
            </w:r>
          </w:p>
        </w:tc>
        <w:tc>
          <w:tcPr>
            <w:tcW w:w="1464" w:type="dxa"/>
            <w:tcBorders>
              <w:top w:val="nil"/>
              <w:left w:val="nil"/>
              <w:bottom w:val="nil"/>
              <w:right w:val="nil"/>
            </w:tcBorders>
          </w:tcPr>
          <w:p w14:paraId="1AB44C18"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150</w:t>
            </w:r>
          </w:p>
        </w:tc>
        <w:tc>
          <w:tcPr>
            <w:tcW w:w="1464" w:type="dxa"/>
            <w:tcBorders>
              <w:top w:val="nil"/>
              <w:left w:val="nil"/>
              <w:bottom w:val="nil"/>
              <w:right w:val="nil"/>
            </w:tcBorders>
          </w:tcPr>
          <w:p w14:paraId="11D805F2"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160</w:t>
            </w:r>
          </w:p>
        </w:tc>
        <w:tc>
          <w:tcPr>
            <w:tcW w:w="1464" w:type="dxa"/>
            <w:tcBorders>
              <w:top w:val="nil"/>
              <w:left w:val="nil"/>
              <w:bottom w:val="nil"/>
              <w:right w:val="nil"/>
            </w:tcBorders>
          </w:tcPr>
          <w:p w14:paraId="2768C47F"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220</w:t>
            </w:r>
          </w:p>
        </w:tc>
        <w:tc>
          <w:tcPr>
            <w:tcW w:w="1464" w:type="dxa"/>
            <w:tcBorders>
              <w:top w:val="nil"/>
              <w:left w:val="nil"/>
              <w:bottom w:val="nil"/>
              <w:right w:val="nil"/>
            </w:tcBorders>
          </w:tcPr>
          <w:p w14:paraId="7946FCB9"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210</w:t>
            </w:r>
          </w:p>
        </w:tc>
        <w:tc>
          <w:tcPr>
            <w:tcW w:w="1464" w:type="dxa"/>
            <w:tcBorders>
              <w:top w:val="nil"/>
              <w:left w:val="nil"/>
              <w:bottom w:val="nil"/>
              <w:right w:val="nil"/>
            </w:tcBorders>
          </w:tcPr>
          <w:p w14:paraId="335A3513"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265</w:t>
            </w:r>
          </w:p>
        </w:tc>
        <w:tc>
          <w:tcPr>
            <w:tcW w:w="1464" w:type="dxa"/>
            <w:tcBorders>
              <w:top w:val="nil"/>
              <w:left w:val="nil"/>
              <w:bottom w:val="nil"/>
              <w:right w:val="nil"/>
            </w:tcBorders>
          </w:tcPr>
          <w:p w14:paraId="26B2FB16" w14:textId="77777777" w:rsidR="00CC4592" w:rsidRPr="00D54599" w:rsidRDefault="00631DDB" w:rsidP="001B14EB">
            <w:pPr>
              <w:jc w:val="center"/>
              <w:rPr>
                <w:rFonts w:ascii="Times New Roman" w:hAnsi="Times New Roman" w:cs="Times New Roman"/>
              </w:rPr>
            </w:pPr>
            <w:r w:rsidRPr="00D54599">
              <w:rPr>
                <w:rFonts w:ascii="Times New Roman" w:hAnsi="Times New Roman" w:cs="Times New Roman"/>
              </w:rPr>
              <w:t>230</w:t>
            </w:r>
          </w:p>
        </w:tc>
      </w:tr>
      <w:tr w:rsidR="005667DC" w:rsidRPr="00D54599" w14:paraId="4E4AF254" w14:textId="77777777" w:rsidTr="005667DC">
        <w:tc>
          <w:tcPr>
            <w:tcW w:w="13698" w:type="dxa"/>
            <w:gridSpan w:val="9"/>
            <w:tcBorders>
              <w:top w:val="nil"/>
              <w:left w:val="nil"/>
              <w:bottom w:val="nil"/>
              <w:right w:val="nil"/>
            </w:tcBorders>
            <w:vAlign w:val="center"/>
          </w:tcPr>
          <w:p w14:paraId="6FFCBF7C" w14:textId="053B9AE6" w:rsidR="005667DC" w:rsidRPr="00D54599" w:rsidRDefault="005667DC" w:rsidP="005667DC">
            <w:pPr>
              <w:spacing w:before="240"/>
              <w:rPr>
                <w:rFonts w:ascii="Times New Roman" w:hAnsi="Times New Roman" w:cs="Times New Roman"/>
              </w:rPr>
            </w:pPr>
            <w:r w:rsidRPr="00D54599">
              <w:rPr>
                <w:rFonts w:ascii="Times New Roman" w:hAnsi="Times New Roman" w:cs="Times New Roman"/>
                <w:i/>
              </w:rPr>
              <w:t>Nutrients to Limit</w:t>
            </w:r>
          </w:p>
        </w:tc>
      </w:tr>
      <w:tr w:rsidR="00785BA1" w:rsidRPr="00D54599" w14:paraId="302F65AD" w14:textId="77777777" w:rsidTr="005667DC">
        <w:tc>
          <w:tcPr>
            <w:tcW w:w="2340" w:type="dxa"/>
            <w:tcBorders>
              <w:top w:val="nil"/>
              <w:left w:val="nil"/>
              <w:bottom w:val="nil"/>
              <w:right w:val="nil"/>
            </w:tcBorders>
          </w:tcPr>
          <w:p w14:paraId="2C3F6B24" w14:textId="7649A955" w:rsidR="0031020B" w:rsidRPr="00D54599" w:rsidRDefault="00AB54AE" w:rsidP="00814B73">
            <w:pPr>
              <w:rPr>
                <w:rFonts w:ascii="Times New Roman" w:hAnsi="Times New Roman" w:cs="Times New Roman"/>
              </w:rPr>
            </w:pPr>
            <w:r w:rsidRPr="00D54599">
              <w:rPr>
                <w:rFonts w:ascii="Times New Roman" w:hAnsi="Times New Roman" w:cs="Times New Roman"/>
              </w:rPr>
              <w:t>Total</w:t>
            </w:r>
            <w:r w:rsidR="0031020B" w:rsidRPr="00D54599">
              <w:rPr>
                <w:rFonts w:ascii="Times New Roman" w:hAnsi="Times New Roman" w:cs="Times New Roman"/>
              </w:rPr>
              <w:t xml:space="preserve"> sugars (g)</w:t>
            </w:r>
            <w:r w:rsidR="00814B73" w:rsidRPr="00D54599">
              <w:rPr>
                <w:rFonts w:ascii="Times New Roman" w:hAnsi="Times New Roman" w:cs="Times New Roman"/>
                <w:vertAlign w:val="superscript"/>
              </w:rPr>
              <w:t>e</w:t>
            </w:r>
          </w:p>
        </w:tc>
        <w:tc>
          <w:tcPr>
            <w:tcW w:w="1110" w:type="dxa"/>
            <w:tcBorders>
              <w:top w:val="nil"/>
              <w:left w:val="nil"/>
              <w:bottom w:val="nil"/>
              <w:right w:val="nil"/>
            </w:tcBorders>
          </w:tcPr>
          <w:p w14:paraId="17FE09C4" w14:textId="5F34F338" w:rsidR="0031020B" w:rsidRPr="00D54599" w:rsidRDefault="004D2502" w:rsidP="001B14EB">
            <w:pPr>
              <w:jc w:val="center"/>
              <w:rPr>
                <w:rFonts w:ascii="Times New Roman" w:hAnsi="Times New Roman" w:cs="Times New Roman"/>
              </w:rPr>
            </w:pPr>
            <w:r w:rsidRPr="00D54599">
              <w:rPr>
                <w:rFonts w:ascii="Times New Roman" w:hAnsi="Times New Roman" w:cs="Times New Roman"/>
              </w:rPr>
              <w:t>40.0</w:t>
            </w:r>
          </w:p>
        </w:tc>
        <w:tc>
          <w:tcPr>
            <w:tcW w:w="1464" w:type="dxa"/>
            <w:tcBorders>
              <w:top w:val="nil"/>
              <w:left w:val="nil"/>
              <w:bottom w:val="nil"/>
              <w:right w:val="nil"/>
            </w:tcBorders>
          </w:tcPr>
          <w:p w14:paraId="07C954D6" w14:textId="6977478C" w:rsidR="0031020B" w:rsidRPr="00D54599" w:rsidRDefault="004D2502" w:rsidP="001B14EB">
            <w:pPr>
              <w:jc w:val="center"/>
              <w:rPr>
                <w:rFonts w:ascii="Times New Roman" w:hAnsi="Times New Roman" w:cs="Times New Roman"/>
              </w:rPr>
            </w:pPr>
            <w:r w:rsidRPr="00D54599">
              <w:rPr>
                <w:rFonts w:ascii="Times New Roman" w:hAnsi="Times New Roman" w:cs="Times New Roman"/>
              </w:rPr>
              <w:t>36.75</w:t>
            </w:r>
          </w:p>
        </w:tc>
        <w:tc>
          <w:tcPr>
            <w:tcW w:w="1464" w:type="dxa"/>
            <w:tcBorders>
              <w:top w:val="nil"/>
              <w:left w:val="nil"/>
              <w:bottom w:val="nil"/>
              <w:right w:val="nil"/>
            </w:tcBorders>
          </w:tcPr>
          <w:p w14:paraId="51C844CC" w14:textId="2E2C9D26" w:rsidR="0031020B" w:rsidRPr="00D54599" w:rsidRDefault="004D2502" w:rsidP="001B14EB">
            <w:pPr>
              <w:jc w:val="center"/>
              <w:rPr>
                <w:rFonts w:ascii="Times New Roman" w:hAnsi="Times New Roman" w:cs="Times New Roman"/>
              </w:rPr>
            </w:pPr>
            <w:r w:rsidRPr="00D54599">
              <w:rPr>
                <w:rFonts w:ascii="Times New Roman" w:hAnsi="Times New Roman" w:cs="Times New Roman"/>
              </w:rPr>
              <w:t>51.5</w:t>
            </w:r>
          </w:p>
        </w:tc>
        <w:tc>
          <w:tcPr>
            <w:tcW w:w="1464" w:type="dxa"/>
            <w:tcBorders>
              <w:top w:val="nil"/>
              <w:left w:val="nil"/>
              <w:bottom w:val="nil"/>
              <w:right w:val="nil"/>
            </w:tcBorders>
          </w:tcPr>
          <w:p w14:paraId="0B0422A6" w14:textId="77E11C5E" w:rsidR="0031020B" w:rsidRPr="00D54599" w:rsidRDefault="004D2502" w:rsidP="001B14EB">
            <w:pPr>
              <w:jc w:val="center"/>
              <w:rPr>
                <w:rFonts w:ascii="Times New Roman" w:hAnsi="Times New Roman" w:cs="Times New Roman"/>
              </w:rPr>
            </w:pPr>
            <w:r w:rsidRPr="00D54599">
              <w:rPr>
                <w:rFonts w:ascii="Times New Roman" w:hAnsi="Times New Roman" w:cs="Times New Roman"/>
              </w:rPr>
              <w:t>49.5</w:t>
            </w:r>
          </w:p>
        </w:tc>
        <w:tc>
          <w:tcPr>
            <w:tcW w:w="1464" w:type="dxa"/>
            <w:tcBorders>
              <w:top w:val="nil"/>
              <w:left w:val="nil"/>
              <w:bottom w:val="nil"/>
              <w:right w:val="nil"/>
            </w:tcBorders>
          </w:tcPr>
          <w:p w14:paraId="38B1FA4B" w14:textId="519E9C63" w:rsidR="0031020B" w:rsidRPr="00D54599" w:rsidRDefault="004D2502" w:rsidP="001B14EB">
            <w:pPr>
              <w:jc w:val="center"/>
              <w:rPr>
                <w:rFonts w:ascii="Times New Roman" w:hAnsi="Times New Roman" w:cs="Times New Roman"/>
              </w:rPr>
            </w:pPr>
            <w:r w:rsidRPr="00D54599">
              <w:rPr>
                <w:rFonts w:ascii="Times New Roman" w:hAnsi="Times New Roman" w:cs="Times New Roman"/>
              </w:rPr>
              <w:t>67.5</w:t>
            </w:r>
          </w:p>
        </w:tc>
        <w:tc>
          <w:tcPr>
            <w:tcW w:w="1464" w:type="dxa"/>
            <w:tcBorders>
              <w:top w:val="nil"/>
              <w:left w:val="nil"/>
              <w:bottom w:val="nil"/>
              <w:right w:val="nil"/>
            </w:tcBorders>
          </w:tcPr>
          <w:p w14:paraId="1EDBEDBC" w14:textId="7B165970" w:rsidR="0031020B" w:rsidRPr="00D54599" w:rsidRDefault="004D2502" w:rsidP="001B14EB">
            <w:pPr>
              <w:jc w:val="center"/>
              <w:rPr>
                <w:rFonts w:ascii="Times New Roman" w:hAnsi="Times New Roman" w:cs="Times New Roman"/>
              </w:rPr>
            </w:pPr>
            <w:r w:rsidRPr="00D54599">
              <w:rPr>
                <w:rFonts w:ascii="Times New Roman" w:hAnsi="Times New Roman" w:cs="Times New Roman"/>
              </w:rPr>
              <w:t>54.3</w:t>
            </w:r>
          </w:p>
        </w:tc>
        <w:tc>
          <w:tcPr>
            <w:tcW w:w="1464" w:type="dxa"/>
            <w:tcBorders>
              <w:top w:val="nil"/>
              <w:left w:val="nil"/>
              <w:bottom w:val="nil"/>
              <w:right w:val="nil"/>
            </w:tcBorders>
          </w:tcPr>
          <w:p w14:paraId="763BFAA5" w14:textId="197D5ACA" w:rsidR="0031020B" w:rsidRPr="00D54599" w:rsidRDefault="004D2502" w:rsidP="001B14EB">
            <w:pPr>
              <w:jc w:val="center"/>
              <w:rPr>
                <w:rFonts w:ascii="Times New Roman" w:hAnsi="Times New Roman" w:cs="Times New Roman"/>
              </w:rPr>
            </w:pPr>
            <w:r w:rsidRPr="00D54599">
              <w:rPr>
                <w:rFonts w:ascii="Times New Roman" w:hAnsi="Times New Roman" w:cs="Times New Roman"/>
              </w:rPr>
              <w:t>75.3</w:t>
            </w:r>
          </w:p>
        </w:tc>
        <w:tc>
          <w:tcPr>
            <w:tcW w:w="1464" w:type="dxa"/>
            <w:tcBorders>
              <w:top w:val="nil"/>
              <w:left w:val="nil"/>
              <w:bottom w:val="nil"/>
              <w:right w:val="nil"/>
            </w:tcBorders>
          </w:tcPr>
          <w:p w14:paraId="760B725E" w14:textId="554BB7A4" w:rsidR="0031020B" w:rsidRPr="00D54599" w:rsidRDefault="004D2502" w:rsidP="001B14EB">
            <w:pPr>
              <w:jc w:val="center"/>
              <w:rPr>
                <w:rFonts w:ascii="Times New Roman" w:hAnsi="Times New Roman" w:cs="Times New Roman"/>
              </w:rPr>
            </w:pPr>
            <w:r w:rsidRPr="00D54599">
              <w:rPr>
                <w:rFonts w:ascii="Times New Roman" w:hAnsi="Times New Roman" w:cs="Times New Roman"/>
              </w:rPr>
              <w:t>57.0</w:t>
            </w:r>
          </w:p>
        </w:tc>
      </w:tr>
      <w:tr w:rsidR="00785BA1" w:rsidRPr="00D54599" w14:paraId="511ECDEE" w14:textId="77777777" w:rsidTr="005667DC">
        <w:tc>
          <w:tcPr>
            <w:tcW w:w="2340" w:type="dxa"/>
            <w:tcBorders>
              <w:top w:val="nil"/>
              <w:left w:val="nil"/>
              <w:bottom w:val="nil"/>
              <w:right w:val="nil"/>
            </w:tcBorders>
          </w:tcPr>
          <w:p w14:paraId="255C7C7C" w14:textId="77777777" w:rsidR="0031020B" w:rsidRPr="00D54599" w:rsidRDefault="0031020B" w:rsidP="00814B73">
            <w:pPr>
              <w:rPr>
                <w:rFonts w:ascii="Times New Roman" w:hAnsi="Times New Roman" w:cs="Times New Roman"/>
              </w:rPr>
            </w:pPr>
            <w:r w:rsidRPr="00D54599">
              <w:rPr>
                <w:rFonts w:ascii="Times New Roman" w:hAnsi="Times New Roman" w:cs="Times New Roman"/>
              </w:rPr>
              <w:t>Saturated Fats (g)</w:t>
            </w:r>
            <w:r w:rsidR="00C301BB" w:rsidRPr="00D54599">
              <w:rPr>
                <w:rFonts w:ascii="Times New Roman" w:hAnsi="Times New Roman" w:cs="Times New Roman"/>
                <w:vertAlign w:val="superscript"/>
              </w:rPr>
              <w:t>f</w:t>
            </w:r>
            <w:r w:rsidR="00DC14AE" w:rsidRPr="00D54599">
              <w:rPr>
                <w:rFonts w:ascii="Times New Roman" w:hAnsi="Times New Roman" w:cs="Times New Roman"/>
                <w:vertAlign w:val="superscript"/>
              </w:rPr>
              <w:t>,</w:t>
            </w:r>
            <w:r w:rsidR="00814B73" w:rsidRPr="00D54599">
              <w:rPr>
                <w:rFonts w:ascii="Times New Roman" w:hAnsi="Times New Roman" w:cs="Times New Roman"/>
                <w:vertAlign w:val="superscript"/>
              </w:rPr>
              <w:t>g</w:t>
            </w:r>
          </w:p>
        </w:tc>
        <w:tc>
          <w:tcPr>
            <w:tcW w:w="1110" w:type="dxa"/>
            <w:tcBorders>
              <w:top w:val="nil"/>
              <w:left w:val="nil"/>
              <w:bottom w:val="nil"/>
              <w:right w:val="nil"/>
            </w:tcBorders>
          </w:tcPr>
          <w:p w14:paraId="68206455"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12.4</w:t>
            </w:r>
          </w:p>
        </w:tc>
        <w:tc>
          <w:tcPr>
            <w:tcW w:w="1464" w:type="dxa"/>
            <w:tcBorders>
              <w:top w:val="nil"/>
              <w:left w:val="nil"/>
              <w:bottom w:val="nil"/>
              <w:right w:val="nil"/>
            </w:tcBorders>
          </w:tcPr>
          <w:p w14:paraId="3DB5EF10"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11.4</w:t>
            </w:r>
          </w:p>
        </w:tc>
        <w:tc>
          <w:tcPr>
            <w:tcW w:w="1464" w:type="dxa"/>
            <w:tcBorders>
              <w:top w:val="nil"/>
              <w:left w:val="nil"/>
              <w:bottom w:val="nil"/>
              <w:right w:val="nil"/>
            </w:tcBorders>
          </w:tcPr>
          <w:p w14:paraId="07A11F05"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16.0</w:t>
            </w:r>
          </w:p>
        </w:tc>
        <w:tc>
          <w:tcPr>
            <w:tcW w:w="1464" w:type="dxa"/>
            <w:tcBorders>
              <w:top w:val="nil"/>
              <w:left w:val="nil"/>
              <w:bottom w:val="nil"/>
              <w:right w:val="nil"/>
            </w:tcBorders>
          </w:tcPr>
          <w:p w14:paraId="4B2FAD00"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15.4</w:t>
            </w:r>
          </w:p>
        </w:tc>
        <w:tc>
          <w:tcPr>
            <w:tcW w:w="1464" w:type="dxa"/>
            <w:tcBorders>
              <w:top w:val="nil"/>
              <w:left w:val="nil"/>
              <w:bottom w:val="nil"/>
              <w:right w:val="nil"/>
            </w:tcBorders>
          </w:tcPr>
          <w:p w14:paraId="7F0CBCF3"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21.0</w:t>
            </w:r>
          </w:p>
        </w:tc>
        <w:tc>
          <w:tcPr>
            <w:tcW w:w="1464" w:type="dxa"/>
            <w:tcBorders>
              <w:top w:val="nil"/>
              <w:left w:val="nil"/>
              <w:bottom w:val="nil"/>
              <w:right w:val="nil"/>
            </w:tcBorders>
          </w:tcPr>
          <w:p w14:paraId="26B9C252"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16.9</w:t>
            </w:r>
          </w:p>
        </w:tc>
        <w:tc>
          <w:tcPr>
            <w:tcW w:w="1464" w:type="dxa"/>
            <w:tcBorders>
              <w:top w:val="nil"/>
              <w:left w:val="nil"/>
              <w:bottom w:val="nil"/>
              <w:right w:val="nil"/>
            </w:tcBorders>
          </w:tcPr>
          <w:p w14:paraId="3F6089FF"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23.4</w:t>
            </w:r>
          </w:p>
        </w:tc>
        <w:tc>
          <w:tcPr>
            <w:tcW w:w="1464" w:type="dxa"/>
            <w:tcBorders>
              <w:top w:val="nil"/>
              <w:left w:val="nil"/>
              <w:bottom w:val="nil"/>
              <w:right w:val="nil"/>
            </w:tcBorders>
          </w:tcPr>
          <w:p w14:paraId="759ADD0A" w14:textId="77777777" w:rsidR="0031020B" w:rsidRPr="00D54599" w:rsidRDefault="00933066" w:rsidP="001B14EB">
            <w:pPr>
              <w:jc w:val="center"/>
              <w:rPr>
                <w:rFonts w:ascii="Times New Roman" w:hAnsi="Times New Roman" w:cs="Times New Roman"/>
              </w:rPr>
            </w:pPr>
            <w:r w:rsidRPr="00D54599">
              <w:rPr>
                <w:rFonts w:ascii="Times New Roman" w:hAnsi="Times New Roman" w:cs="Times New Roman"/>
              </w:rPr>
              <w:t>17.7</w:t>
            </w:r>
          </w:p>
        </w:tc>
      </w:tr>
      <w:tr w:rsidR="00785BA1" w:rsidRPr="00D54599" w14:paraId="0FBCA766" w14:textId="77777777" w:rsidTr="005667DC">
        <w:tc>
          <w:tcPr>
            <w:tcW w:w="2340" w:type="dxa"/>
            <w:tcBorders>
              <w:top w:val="nil"/>
              <w:left w:val="nil"/>
              <w:bottom w:val="single" w:sz="4" w:space="0" w:color="auto"/>
              <w:right w:val="nil"/>
            </w:tcBorders>
          </w:tcPr>
          <w:p w14:paraId="25CF02B2" w14:textId="77777777" w:rsidR="0031020B" w:rsidRPr="00D54599" w:rsidRDefault="0031020B" w:rsidP="00814B73">
            <w:pPr>
              <w:rPr>
                <w:rFonts w:ascii="Times New Roman" w:hAnsi="Times New Roman" w:cs="Times New Roman"/>
              </w:rPr>
            </w:pPr>
            <w:r w:rsidRPr="00D54599">
              <w:rPr>
                <w:rFonts w:ascii="Times New Roman" w:hAnsi="Times New Roman" w:cs="Times New Roman"/>
              </w:rPr>
              <w:t xml:space="preserve">Sodium </w:t>
            </w:r>
            <w:r w:rsidR="00B510B3" w:rsidRPr="00D54599">
              <w:rPr>
                <w:rFonts w:ascii="Times New Roman" w:hAnsi="Times New Roman" w:cs="Times New Roman"/>
              </w:rPr>
              <w:t>(mg</w:t>
            </w:r>
            <w:r w:rsidRPr="00D54599">
              <w:rPr>
                <w:rFonts w:ascii="Times New Roman" w:hAnsi="Times New Roman" w:cs="Times New Roman"/>
              </w:rPr>
              <w:t>)</w:t>
            </w:r>
            <w:r w:rsidR="00814B73" w:rsidRPr="00D54599">
              <w:rPr>
                <w:rFonts w:ascii="Times New Roman" w:hAnsi="Times New Roman" w:cs="Times New Roman"/>
                <w:vertAlign w:val="superscript"/>
              </w:rPr>
              <w:t>h</w:t>
            </w:r>
          </w:p>
        </w:tc>
        <w:tc>
          <w:tcPr>
            <w:tcW w:w="1110" w:type="dxa"/>
            <w:tcBorders>
              <w:top w:val="nil"/>
              <w:left w:val="nil"/>
              <w:bottom w:val="single" w:sz="4" w:space="0" w:color="auto"/>
              <w:right w:val="nil"/>
            </w:tcBorders>
          </w:tcPr>
          <w:p w14:paraId="11A73B56"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1200</w:t>
            </w:r>
          </w:p>
        </w:tc>
        <w:tc>
          <w:tcPr>
            <w:tcW w:w="1464" w:type="dxa"/>
            <w:tcBorders>
              <w:top w:val="nil"/>
              <w:left w:val="nil"/>
              <w:bottom w:val="single" w:sz="4" w:space="0" w:color="auto"/>
              <w:right w:val="nil"/>
            </w:tcBorders>
          </w:tcPr>
          <w:p w14:paraId="579C0F75"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1200</w:t>
            </w:r>
          </w:p>
        </w:tc>
        <w:tc>
          <w:tcPr>
            <w:tcW w:w="1464" w:type="dxa"/>
            <w:tcBorders>
              <w:top w:val="nil"/>
              <w:left w:val="nil"/>
              <w:bottom w:val="single" w:sz="4" w:space="0" w:color="auto"/>
              <w:right w:val="nil"/>
            </w:tcBorders>
          </w:tcPr>
          <w:p w14:paraId="1909E4B5"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1500</w:t>
            </w:r>
          </w:p>
        </w:tc>
        <w:tc>
          <w:tcPr>
            <w:tcW w:w="1464" w:type="dxa"/>
            <w:tcBorders>
              <w:top w:val="nil"/>
              <w:left w:val="nil"/>
              <w:bottom w:val="single" w:sz="4" w:space="0" w:color="auto"/>
              <w:right w:val="nil"/>
            </w:tcBorders>
          </w:tcPr>
          <w:p w14:paraId="2B97A821"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1500</w:t>
            </w:r>
          </w:p>
        </w:tc>
        <w:tc>
          <w:tcPr>
            <w:tcW w:w="1464" w:type="dxa"/>
            <w:tcBorders>
              <w:top w:val="nil"/>
              <w:left w:val="nil"/>
              <w:bottom w:val="single" w:sz="4" w:space="0" w:color="auto"/>
              <w:right w:val="nil"/>
            </w:tcBorders>
          </w:tcPr>
          <w:p w14:paraId="7419D28D"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1500</w:t>
            </w:r>
          </w:p>
        </w:tc>
        <w:tc>
          <w:tcPr>
            <w:tcW w:w="1464" w:type="dxa"/>
            <w:tcBorders>
              <w:top w:val="nil"/>
              <w:left w:val="nil"/>
              <w:bottom w:val="single" w:sz="4" w:space="0" w:color="auto"/>
              <w:right w:val="nil"/>
            </w:tcBorders>
          </w:tcPr>
          <w:p w14:paraId="1DAF5FE3"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1500</w:t>
            </w:r>
          </w:p>
        </w:tc>
        <w:tc>
          <w:tcPr>
            <w:tcW w:w="1464" w:type="dxa"/>
            <w:tcBorders>
              <w:top w:val="nil"/>
              <w:left w:val="nil"/>
              <w:bottom w:val="single" w:sz="4" w:space="0" w:color="auto"/>
              <w:right w:val="nil"/>
            </w:tcBorders>
          </w:tcPr>
          <w:p w14:paraId="6BFE5A42"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1500</w:t>
            </w:r>
          </w:p>
        </w:tc>
        <w:tc>
          <w:tcPr>
            <w:tcW w:w="1464" w:type="dxa"/>
            <w:tcBorders>
              <w:top w:val="nil"/>
              <w:left w:val="nil"/>
              <w:bottom w:val="single" w:sz="4" w:space="0" w:color="auto"/>
              <w:right w:val="nil"/>
            </w:tcBorders>
          </w:tcPr>
          <w:p w14:paraId="17D98B2B" w14:textId="77777777" w:rsidR="0031020B" w:rsidRPr="00D54599" w:rsidRDefault="00B510B3" w:rsidP="001B14EB">
            <w:pPr>
              <w:jc w:val="center"/>
              <w:rPr>
                <w:rFonts w:ascii="Times New Roman" w:hAnsi="Times New Roman" w:cs="Times New Roman"/>
              </w:rPr>
            </w:pPr>
            <w:r w:rsidRPr="00D54599">
              <w:rPr>
                <w:rFonts w:ascii="Times New Roman" w:hAnsi="Times New Roman" w:cs="Times New Roman"/>
              </w:rPr>
              <w:t>1500</w:t>
            </w:r>
          </w:p>
        </w:tc>
      </w:tr>
    </w:tbl>
    <w:p w14:paraId="536E9F10" w14:textId="4E9CA86A" w:rsidR="00456A9A" w:rsidRPr="00D54599" w:rsidRDefault="001B14EB" w:rsidP="00844287">
      <w:pPr>
        <w:spacing w:after="0" w:line="240" w:lineRule="auto"/>
        <w:rPr>
          <w:rFonts w:ascii="Times New Roman" w:hAnsi="Times New Roman" w:cs="Times New Roman"/>
          <w:vertAlign w:val="superscript"/>
        </w:rPr>
      </w:pPr>
      <w:r w:rsidRPr="00D54599">
        <w:rPr>
          <w:rFonts w:ascii="Times New Roman" w:hAnsi="Times New Roman" w:cs="Times New Roman"/>
          <w:vertAlign w:val="superscript"/>
        </w:rPr>
        <w:t xml:space="preserve">Dietary Reference Values were derived from the 2015 Philippine Dietary Reference Intakes a. </w:t>
      </w:r>
      <w:r w:rsidR="00631DDB" w:rsidRPr="00D54599">
        <w:rPr>
          <w:rFonts w:ascii="Times New Roman" w:hAnsi="Times New Roman" w:cs="Times New Roman"/>
          <w:vertAlign w:val="superscript"/>
        </w:rPr>
        <w:t>Recommended Energy Intakes per day</w:t>
      </w:r>
      <w:r w:rsidRPr="00D54599">
        <w:rPr>
          <w:rFonts w:ascii="Times New Roman" w:hAnsi="Times New Roman" w:cs="Times New Roman"/>
          <w:vertAlign w:val="superscript"/>
        </w:rPr>
        <w:t xml:space="preserve">; </w:t>
      </w:r>
      <w:r w:rsidR="00631DDB" w:rsidRPr="00D54599">
        <w:rPr>
          <w:rFonts w:ascii="Times New Roman" w:hAnsi="Times New Roman" w:cs="Times New Roman"/>
          <w:vertAlign w:val="superscript"/>
        </w:rPr>
        <w:t xml:space="preserve">b. </w:t>
      </w:r>
      <w:r w:rsidR="002C6D85" w:rsidRPr="00D54599">
        <w:rPr>
          <w:rFonts w:ascii="Times New Roman" w:hAnsi="Times New Roman" w:cs="Times New Roman"/>
          <w:vertAlign w:val="superscript"/>
        </w:rPr>
        <w:t>Recommended Nutrient Intakes</w:t>
      </w:r>
      <w:r w:rsidR="007B24E5" w:rsidRPr="00D54599">
        <w:rPr>
          <w:rFonts w:ascii="Times New Roman" w:hAnsi="Times New Roman" w:cs="Times New Roman"/>
          <w:vertAlign w:val="superscript"/>
        </w:rPr>
        <w:t xml:space="preserve"> per day</w:t>
      </w:r>
      <w:r w:rsidR="00631DDB" w:rsidRPr="00D54599">
        <w:rPr>
          <w:rFonts w:ascii="Times New Roman" w:hAnsi="Times New Roman" w:cs="Times New Roman"/>
          <w:vertAlign w:val="superscript"/>
        </w:rPr>
        <w:t xml:space="preserve">; </w:t>
      </w:r>
      <w:r w:rsidR="00EA6093" w:rsidRPr="00D54599">
        <w:rPr>
          <w:rFonts w:ascii="Times New Roman" w:hAnsi="Times New Roman" w:cs="Times New Roman"/>
          <w:vertAlign w:val="superscript"/>
        </w:rPr>
        <w:t xml:space="preserve">c. </w:t>
      </w:r>
      <w:r w:rsidR="00BD2F5A" w:rsidRPr="00D54599">
        <w:rPr>
          <w:rFonts w:ascii="Times New Roman" w:hAnsi="Times New Roman" w:cs="Times New Roman"/>
          <w:vertAlign w:val="superscript"/>
        </w:rPr>
        <w:t xml:space="preserve">14 g fiber per 1,000 kcal = basis for AI for fiber. </w:t>
      </w:r>
      <w:r w:rsidR="00814B73" w:rsidRPr="00D54599">
        <w:rPr>
          <w:rFonts w:ascii="Times New Roman" w:hAnsi="Times New Roman" w:cs="Times New Roman"/>
          <w:vertAlign w:val="superscript"/>
        </w:rPr>
        <w:t>d. Adequate Intake Levels, PDRI 2015; e. WHO Guideline on Sugar Intake for Adults and Children (2015): free sugars refer to all monosaccharides and disaccharides added to foods and drinks by the manufacturer, cook or consumer, including sugars naturally present in honey, syrups, fruit juices and fruit concentrates, (</w:t>
      </w:r>
      <w:r w:rsidR="004D2502" w:rsidRPr="00D54599">
        <w:rPr>
          <w:rFonts w:ascii="Times New Roman" w:hAnsi="Times New Roman" w:cs="Times New Roman"/>
          <w:vertAlign w:val="superscript"/>
        </w:rPr>
        <w:t>&lt;10</w:t>
      </w:r>
      <w:r w:rsidR="00814B73" w:rsidRPr="00D54599">
        <w:rPr>
          <w:rFonts w:ascii="Times New Roman" w:hAnsi="Times New Roman" w:cs="Times New Roman"/>
          <w:vertAlign w:val="superscript"/>
        </w:rPr>
        <w:t xml:space="preserve">% of energy); </w:t>
      </w:r>
      <w:r w:rsidR="00BD2F5A" w:rsidRPr="00D54599">
        <w:rPr>
          <w:rFonts w:ascii="Times New Roman" w:hAnsi="Times New Roman" w:cs="Times New Roman"/>
          <w:vertAlign w:val="superscript"/>
        </w:rPr>
        <w:t xml:space="preserve">f. Therapeutic Lifestyle Changes (TLC) recommendations. </w:t>
      </w:r>
      <w:r w:rsidR="00814B73" w:rsidRPr="00D54599">
        <w:rPr>
          <w:rFonts w:ascii="Times New Roman" w:hAnsi="Times New Roman" w:cs="Times New Roman"/>
          <w:vertAlign w:val="superscript"/>
        </w:rPr>
        <w:t>g</w:t>
      </w:r>
      <w:r w:rsidR="00BD2F5A" w:rsidRPr="00D54599">
        <w:rPr>
          <w:rFonts w:ascii="Times New Roman" w:hAnsi="Times New Roman" w:cs="Times New Roman"/>
          <w:vertAlign w:val="superscript"/>
        </w:rPr>
        <w:t>. Determined based on the Tentative Dietary Goals for Japanese people (7% of energy);</w:t>
      </w:r>
      <w:r w:rsidR="0024222D" w:rsidRPr="00D54599">
        <w:rPr>
          <w:rFonts w:ascii="Times New Roman" w:hAnsi="Times New Roman" w:cs="Times New Roman"/>
          <w:vertAlign w:val="superscript"/>
        </w:rPr>
        <w:t xml:space="preserve"> </w:t>
      </w:r>
      <w:r w:rsidR="00814B73" w:rsidRPr="00D54599">
        <w:rPr>
          <w:rFonts w:ascii="Times New Roman" w:hAnsi="Times New Roman" w:cs="Times New Roman"/>
          <w:vertAlign w:val="superscript"/>
        </w:rPr>
        <w:t>h</w:t>
      </w:r>
      <w:r w:rsidR="00263ECB" w:rsidRPr="00D54599">
        <w:rPr>
          <w:rFonts w:ascii="Times New Roman" w:hAnsi="Times New Roman" w:cs="Times New Roman"/>
          <w:vertAlign w:val="superscript"/>
        </w:rPr>
        <w:t xml:space="preserve">. </w:t>
      </w:r>
      <w:r w:rsidR="00BD2F5A" w:rsidRPr="00D54599">
        <w:rPr>
          <w:rFonts w:ascii="Times New Roman" w:hAnsi="Times New Roman" w:cs="Times New Roman"/>
          <w:vertAlign w:val="superscript"/>
        </w:rPr>
        <w:t>Based on the Adequate Intake Recommendations of the Institute of Medicine (IOM)</w:t>
      </w:r>
      <w:r w:rsidR="00BD2F5A" w:rsidRPr="00D54599">
        <w:rPr>
          <w:rFonts w:ascii="Times New Roman" w:hAnsi="Times New Roman" w:cs="Times New Roman"/>
        </w:rPr>
        <w:t xml:space="preserve"> </w:t>
      </w:r>
      <w:r w:rsidR="00BD2F5A" w:rsidRPr="00D54599">
        <w:rPr>
          <w:rFonts w:ascii="Times New Roman" w:hAnsi="Times New Roman" w:cs="Times New Roman"/>
          <w:vertAlign w:val="superscript"/>
        </w:rPr>
        <w:t>Dietary reference intakes for water, potassium, sodium, chloride, and sulfate, 2004;</w:t>
      </w:r>
    </w:p>
    <w:p w14:paraId="55D90CB1" w14:textId="77777777" w:rsidR="00456A9A" w:rsidRPr="00D54599" w:rsidRDefault="00456A9A">
      <w:pPr>
        <w:rPr>
          <w:rFonts w:ascii="Times New Roman" w:hAnsi="Times New Roman" w:cs="Times New Roman"/>
          <w:vertAlign w:val="superscript"/>
        </w:rPr>
      </w:pPr>
      <w:r w:rsidRPr="00D54599">
        <w:rPr>
          <w:rFonts w:ascii="Times New Roman" w:hAnsi="Times New Roman" w:cs="Times New Roman"/>
          <w:vertAlign w:val="superscript"/>
        </w:rPr>
        <w:br w:type="page"/>
      </w:r>
      <w:bookmarkStart w:id="0" w:name="_GoBack"/>
      <w:bookmarkEnd w:id="0"/>
    </w:p>
    <w:p w14:paraId="02C8C104" w14:textId="77777777" w:rsidR="00CC4592" w:rsidRPr="00D54599" w:rsidRDefault="00CC4592" w:rsidP="00CC4592">
      <w:pPr>
        <w:spacing w:after="0" w:line="240" w:lineRule="auto"/>
        <w:rPr>
          <w:rFonts w:ascii="Times New Roman" w:hAnsi="Times New Roman" w:cs="Times New Roman"/>
          <w:vertAlign w:val="superscript"/>
        </w:rPr>
      </w:pPr>
    </w:p>
    <w:p w14:paraId="6AA15A57" w14:textId="00CC0AA4" w:rsidR="00CC4592" w:rsidRPr="00D54599" w:rsidRDefault="00CC4592" w:rsidP="00CC4592">
      <w:pPr>
        <w:spacing w:after="0" w:line="240" w:lineRule="auto"/>
        <w:rPr>
          <w:rFonts w:ascii="Times New Roman" w:hAnsi="Times New Roman" w:cs="Times New Roman"/>
        </w:rPr>
      </w:pPr>
      <w:r w:rsidRPr="00D54599">
        <w:rPr>
          <w:rFonts w:ascii="Times New Roman" w:hAnsi="Times New Roman" w:cs="Times New Roman"/>
          <w:b/>
        </w:rPr>
        <w:t>Table S2</w:t>
      </w:r>
      <w:r w:rsidRPr="00D54599">
        <w:rPr>
          <w:rFonts w:ascii="Times New Roman" w:hAnsi="Times New Roman" w:cs="Times New Roman"/>
        </w:rPr>
        <w:t xml:space="preserve">. Age- and sex- specific reference daily values for </w:t>
      </w:r>
      <w:r w:rsidR="003A7BAE" w:rsidRPr="00D54599">
        <w:rPr>
          <w:rFonts w:ascii="Times New Roman" w:hAnsi="Times New Roman" w:cs="Times New Roman"/>
          <w:b/>
        </w:rPr>
        <w:t>a</w:t>
      </w:r>
      <w:r w:rsidR="00D54599" w:rsidRPr="00D54599">
        <w:rPr>
          <w:rFonts w:ascii="Times New Roman" w:hAnsi="Times New Roman" w:cs="Times New Roman"/>
          <w:b/>
        </w:rPr>
        <w:t>dult</w:t>
      </w:r>
      <w:r w:rsidR="003A7BAE" w:rsidRPr="00D54599">
        <w:rPr>
          <w:rFonts w:ascii="Times New Roman" w:hAnsi="Times New Roman" w:cs="Times New Roman"/>
          <w:b/>
        </w:rPr>
        <w:t xml:space="preserve"> age</w:t>
      </w:r>
      <w:r w:rsidR="005667DC" w:rsidRPr="00D54599">
        <w:rPr>
          <w:rFonts w:ascii="Times New Roman" w:hAnsi="Times New Roman" w:cs="Times New Roman"/>
          <w:b/>
        </w:rPr>
        <w:t xml:space="preserve"> group</w:t>
      </w:r>
      <w:r w:rsidRPr="00D54599">
        <w:rPr>
          <w:rFonts w:ascii="Times New Roman" w:hAnsi="Times New Roman" w:cs="Times New Roman"/>
        </w:rPr>
        <w:t xml:space="preserve"> used for the calculation of NRF 9.3</w:t>
      </w:r>
    </w:p>
    <w:tbl>
      <w:tblPr>
        <w:tblStyle w:val="TableGrid"/>
        <w:tblW w:w="13890" w:type="dxa"/>
        <w:tblLook w:val="04A0" w:firstRow="1" w:lastRow="0" w:firstColumn="1" w:lastColumn="0" w:noHBand="0" w:noVBand="1"/>
      </w:tblPr>
      <w:tblGrid>
        <w:gridCol w:w="2358"/>
        <w:gridCol w:w="1049"/>
        <w:gridCol w:w="1172"/>
        <w:gridCol w:w="1269"/>
        <w:gridCol w:w="1172"/>
        <w:gridCol w:w="1269"/>
        <w:gridCol w:w="1172"/>
        <w:gridCol w:w="1269"/>
        <w:gridCol w:w="1172"/>
        <w:gridCol w:w="994"/>
        <w:gridCol w:w="994"/>
      </w:tblGrid>
      <w:tr w:rsidR="00785BA1" w:rsidRPr="00D54599" w14:paraId="53C41A96" w14:textId="77777777" w:rsidTr="005667DC">
        <w:tc>
          <w:tcPr>
            <w:tcW w:w="2358" w:type="dxa"/>
            <w:vMerge w:val="restart"/>
            <w:tcBorders>
              <w:top w:val="single" w:sz="4" w:space="0" w:color="auto"/>
              <w:left w:val="nil"/>
              <w:right w:val="nil"/>
            </w:tcBorders>
          </w:tcPr>
          <w:p w14:paraId="4B13BC09" w14:textId="77777777" w:rsidR="001B14EB" w:rsidRPr="00D54599" w:rsidRDefault="001B14EB" w:rsidP="00C43940">
            <w:pPr>
              <w:jc w:val="center"/>
              <w:rPr>
                <w:rFonts w:ascii="Times New Roman" w:hAnsi="Times New Roman" w:cs="Times New Roman"/>
              </w:rPr>
            </w:pPr>
          </w:p>
        </w:tc>
        <w:tc>
          <w:tcPr>
            <w:tcW w:w="2221" w:type="dxa"/>
            <w:gridSpan w:val="2"/>
            <w:tcBorders>
              <w:top w:val="single" w:sz="4" w:space="0" w:color="auto"/>
              <w:left w:val="nil"/>
              <w:bottom w:val="single" w:sz="4" w:space="0" w:color="auto"/>
              <w:right w:val="nil"/>
            </w:tcBorders>
          </w:tcPr>
          <w:p w14:paraId="4F217C7C"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19 – 29 years old</w:t>
            </w:r>
          </w:p>
        </w:tc>
        <w:tc>
          <w:tcPr>
            <w:tcW w:w="2441" w:type="dxa"/>
            <w:gridSpan w:val="2"/>
            <w:tcBorders>
              <w:top w:val="single" w:sz="4" w:space="0" w:color="auto"/>
              <w:left w:val="nil"/>
              <w:bottom w:val="single" w:sz="4" w:space="0" w:color="auto"/>
              <w:right w:val="nil"/>
            </w:tcBorders>
          </w:tcPr>
          <w:p w14:paraId="52B18B5F"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30 - 49 years old</w:t>
            </w:r>
          </w:p>
        </w:tc>
        <w:tc>
          <w:tcPr>
            <w:tcW w:w="2441" w:type="dxa"/>
            <w:gridSpan w:val="2"/>
            <w:tcBorders>
              <w:top w:val="single" w:sz="4" w:space="0" w:color="auto"/>
              <w:left w:val="nil"/>
              <w:bottom w:val="single" w:sz="4" w:space="0" w:color="auto"/>
              <w:right w:val="nil"/>
            </w:tcBorders>
          </w:tcPr>
          <w:p w14:paraId="003C8BB0"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50 - 59 years old</w:t>
            </w:r>
          </w:p>
        </w:tc>
        <w:tc>
          <w:tcPr>
            <w:tcW w:w="2441" w:type="dxa"/>
            <w:gridSpan w:val="2"/>
            <w:tcBorders>
              <w:top w:val="single" w:sz="4" w:space="0" w:color="auto"/>
              <w:left w:val="nil"/>
              <w:bottom w:val="single" w:sz="4" w:space="0" w:color="auto"/>
              <w:right w:val="nil"/>
            </w:tcBorders>
          </w:tcPr>
          <w:p w14:paraId="2DC7A00D"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60 - 69 years old</w:t>
            </w:r>
          </w:p>
        </w:tc>
        <w:tc>
          <w:tcPr>
            <w:tcW w:w="1988" w:type="dxa"/>
            <w:gridSpan w:val="2"/>
            <w:tcBorders>
              <w:top w:val="single" w:sz="4" w:space="0" w:color="auto"/>
              <w:left w:val="nil"/>
              <w:bottom w:val="single" w:sz="4" w:space="0" w:color="auto"/>
              <w:right w:val="nil"/>
            </w:tcBorders>
          </w:tcPr>
          <w:p w14:paraId="5E53E6A4"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≥70 years old</w:t>
            </w:r>
          </w:p>
        </w:tc>
      </w:tr>
      <w:tr w:rsidR="00785BA1" w:rsidRPr="00D54599" w14:paraId="2829EC36" w14:textId="77777777" w:rsidTr="005667DC">
        <w:tc>
          <w:tcPr>
            <w:tcW w:w="2358" w:type="dxa"/>
            <w:vMerge/>
            <w:tcBorders>
              <w:left w:val="nil"/>
              <w:bottom w:val="single" w:sz="4" w:space="0" w:color="auto"/>
              <w:right w:val="nil"/>
            </w:tcBorders>
          </w:tcPr>
          <w:p w14:paraId="253CD3BF" w14:textId="77777777" w:rsidR="001B14EB" w:rsidRPr="00D54599" w:rsidRDefault="001B14EB" w:rsidP="00C43940">
            <w:pPr>
              <w:jc w:val="center"/>
              <w:rPr>
                <w:rFonts w:ascii="Times New Roman" w:hAnsi="Times New Roman" w:cs="Times New Roman"/>
              </w:rPr>
            </w:pPr>
          </w:p>
        </w:tc>
        <w:tc>
          <w:tcPr>
            <w:tcW w:w="1049" w:type="dxa"/>
            <w:tcBorders>
              <w:top w:val="single" w:sz="4" w:space="0" w:color="auto"/>
              <w:left w:val="nil"/>
              <w:bottom w:val="single" w:sz="4" w:space="0" w:color="auto"/>
              <w:right w:val="nil"/>
            </w:tcBorders>
          </w:tcPr>
          <w:p w14:paraId="29940567"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1172" w:type="dxa"/>
            <w:tcBorders>
              <w:top w:val="single" w:sz="4" w:space="0" w:color="auto"/>
              <w:left w:val="nil"/>
              <w:bottom w:val="single" w:sz="4" w:space="0" w:color="auto"/>
              <w:right w:val="nil"/>
            </w:tcBorders>
          </w:tcPr>
          <w:p w14:paraId="2EA0110B"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c>
          <w:tcPr>
            <w:tcW w:w="1269" w:type="dxa"/>
            <w:tcBorders>
              <w:top w:val="single" w:sz="4" w:space="0" w:color="auto"/>
              <w:left w:val="nil"/>
              <w:bottom w:val="single" w:sz="4" w:space="0" w:color="auto"/>
              <w:right w:val="nil"/>
            </w:tcBorders>
          </w:tcPr>
          <w:p w14:paraId="4DBA978E"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1172" w:type="dxa"/>
            <w:tcBorders>
              <w:top w:val="single" w:sz="4" w:space="0" w:color="auto"/>
              <w:left w:val="nil"/>
              <w:bottom w:val="single" w:sz="4" w:space="0" w:color="auto"/>
              <w:right w:val="nil"/>
            </w:tcBorders>
          </w:tcPr>
          <w:p w14:paraId="0A550425"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c>
          <w:tcPr>
            <w:tcW w:w="1269" w:type="dxa"/>
            <w:tcBorders>
              <w:top w:val="single" w:sz="4" w:space="0" w:color="auto"/>
              <w:left w:val="nil"/>
              <w:bottom w:val="single" w:sz="4" w:space="0" w:color="auto"/>
              <w:right w:val="nil"/>
            </w:tcBorders>
          </w:tcPr>
          <w:p w14:paraId="7A8CC5F2"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1172" w:type="dxa"/>
            <w:tcBorders>
              <w:top w:val="single" w:sz="4" w:space="0" w:color="auto"/>
              <w:left w:val="nil"/>
              <w:bottom w:val="single" w:sz="4" w:space="0" w:color="auto"/>
              <w:right w:val="nil"/>
            </w:tcBorders>
          </w:tcPr>
          <w:p w14:paraId="0592D233"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c>
          <w:tcPr>
            <w:tcW w:w="1269" w:type="dxa"/>
            <w:tcBorders>
              <w:top w:val="single" w:sz="4" w:space="0" w:color="auto"/>
              <w:left w:val="nil"/>
              <w:bottom w:val="single" w:sz="4" w:space="0" w:color="auto"/>
              <w:right w:val="nil"/>
            </w:tcBorders>
          </w:tcPr>
          <w:p w14:paraId="6C96969D"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1172" w:type="dxa"/>
            <w:tcBorders>
              <w:top w:val="single" w:sz="4" w:space="0" w:color="auto"/>
              <w:left w:val="nil"/>
              <w:bottom w:val="single" w:sz="4" w:space="0" w:color="auto"/>
              <w:right w:val="nil"/>
            </w:tcBorders>
          </w:tcPr>
          <w:p w14:paraId="681CE5B1"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c>
          <w:tcPr>
            <w:tcW w:w="994" w:type="dxa"/>
            <w:tcBorders>
              <w:top w:val="single" w:sz="4" w:space="0" w:color="auto"/>
              <w:left w:val="nil"/>
              <w:bottom w:val="single" w:sz="4" w:space="0" w:color="auto"/>
              <w:right w:val="nil"/>
            </w:tcBorders>
          </w:tcPr>
          <w:p w14:paraId="37A49D6E"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Male</w:t>
            </w:r>
          </w:p>
        </w:tc>
        <w:tc>
          <w:tcPr>
            <w:tcW w:w="994" w:type="dxa"/>
            <w:tcBorders>
              <w:top w:val="single" w:sz="4" w:space="0" w:color="auto"/>
              <w:left w:val="nil"/>
              <w:bottom w:val="single" w:sz="4" w:space="0" w:color="auto"/>
              <w:right w:val="nil"/>
            </w:tcBorders>
          </w:tcPr>
          <w:p w14:paraId="41384E8A" w14:textId="77777777" w:rsidR="001B14EB" w:rsidRPr="00D54599" w:rsidRDefault="001B14EB" w:rsidP="00C43940">
            <w:pPr>
              <w:jc w:val="center"/>
              <w:rPr>
                <w:rFonts w:ascii="Times New Roman" w:hAnsi="Times New Roman" w:cs="Times New Roman"/>
              </w:rPr>
            </w:pPr>
            <w:r w:rsidRPr="00D54599">
              <w:rPr>
                <w:rFonts w:ascii="Times New Roman" w:hAnsi="Times New Roman" w:cs="Times New Roman"/>
              </w:rPr>
              <w:t>Female</w:t>
            </w:r>
          </w:p>
        </w:tc>
      </w:tr>
      <w:tr w:rsidR="00785BA1" w:rsidRPr="00D54599" w14:paraId="2CAE47D7" w14:textId="77777777" w:rsidTr="005667DC">
        <w:tc>
          <w:tcPr>
            <w:tcW w:w="2358" w:type="dxa"/>
            <w:tcBorders>
              <w:top w:val="single" w:sz="4" w:space="0" w:color="auto"/>
              <w:left w:val="nil"/>
              <w:bottom w:val="nil"/>
              <w:right w:val="nil"/>
            </w:tcBorders>
          </w:tcPr>
          <w:p w14:paraId="6B57928E" w14:textId="77777777" w:rsidR="00B427E3" w:rsidRPr="00D54599" w:rsidRDefault="00B427E3" w:rsidP="00C43940">
            <w:pPr>
              <w:rPr>
                <w:rFonts w:ascii="Times New Roman" w:hAnsi="Times New Roman" w:cs="Times New Roman"/>
              </w:rPr>
            </w:pPr>
            <w:r w:rsidRPr="00D54599">
              <w:rPr>
                <w:rFonts w:ascii="Times New Roman" w:hAnsi="Times New Roman" w:cs="Times New Roman"/>
              </w:rPr>
              <w:t>Energy (kcal)</w:t>
            </w:r>
            <w:r w:rsidRPr="00D54599">
              <w:rPr>
                <w:rFonts w:ascii="Times New Roman" w:hAnsi="Times New Roman" w:cs="Times New Roman"/>
                <w:vertAlign w:val="superscript"/>
              </w:rPr>
              <w:t xml:space="preserve"> a</w:t>
            </w:r>
          </w:p>
        </w:tc>
        <w:tc>
          <w:tcPr>
            <w:tcW w:w="1049" w:type="dxa"/>
            <w:tcBorders>
              <w:top w:val="single" w:sz="4" w:space="0" w:color="auto"/>
              <w:left w:val="nil"/>
              <w:bottom w:val="nil"/>
              <w:right w:val="nil"/>
            </w:tcBorders>
          </w:tcPr>
          <w:p w14:paraId="199E419B"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2530</w:t>
            </w:r>
          </w:p>
        </w:tc>
        <w:tc>
          <w:tcPr>
            <w:tcW w:w="1172" w:type="dxa"/>
            <w:tcBorders>
              <w:top w:val="single" w:sz="4" w:space="0" w:color="auto"/>
              <w:left w:val="nil"/>
              <w:bottom w:val="nil"/>
              <w:right w:val="nil"/>
            </w:tcBorders>
          </w:tcPr>
          <w:p w14:paraId="6747A010"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1930</w:t>
            </w:r>
          </w:p>
        </w:tc>
        <w:tc>
          <w:tcPr>
            <w:tcW w:w="1269" w:type="dxa"/>
            <w:tcBorders>
              <w:top w:val="single" w:sz="4" w:space="0" w:color="auto"/>
              <w:left w:val="nil"/>
              <w:bottom w:val="nil"/>
              <w:right w:val="nil"/>
            </w:tcBorders>
          </w:tcPr>
          <w:p w14:paraId="41D46DF7"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2420</w:t>
            </w:r>
          </w:p>
        </w:tc>
        <w:tc>
          <w:tcPr>
            <w:tcW w:w="1172" w:type="dxa"/>
            <w:tcBorders>
              <w:top w:val="single" w:sz="4" w:space="0" w:color="auto"/>
              <w:left w:val="nil"/>
              <w:bottom w:val="nil"/>
              <w:right w:val="nil"/>
            </w:tcBorders>
          </w:tcPr>
          <w:p w14:paraId="0D8B62A4"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1870</w:t>
            </w:r>
          </w:p>
        </w:tc>
        <w:tc>
          <w:tcPr>
            <w:tcW w:w="1269" w:type="dxa"/>
            <w:tcBorders>
              <w:top w:val="single" w:sz="4" w:space="0" w:color="auto"/>
              <w:left w:val="nil"/>
              <w:bottom w:val="nil"/>
              <w:right w:val="nil"/>
            </w:tcBorders>
          </w:tcPr>
          <w:p w14:paraId="3753F31D"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2420</w:t>
            </w:r>
          </w:p>
        </w:tc>
        <w:tc>
          <w:tcPr>
            <w:tcW w:w="1172" w:type="dxa"/>
            <w:tcBorders>
              <w:top w:val="single" w:sz="4" w:space="0" w:color="auto"/>
              <w:left w:val="nil"/>
              <w:bottom w:val="nil"/>
              <w:right w:val="nil"/>
            </w:tcBorders>
          </w:tcPr>
          <w:p w14:paraId="2AA26898"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1870</w:t>
            </w:r>
          </w:p>
        </w:tc>
        <w:tc>
          <w:tcPr>
            <w:tcW w:w="1269" w:type="dxa"/>
            <w:tcBorders>
              <w:top w:val="single" w:sz="4" w:space="0" w:color="auto"/>
              <w:left w:val="nil"/>
              <w:bottom w:val="nil"/>
              <w:right w:val="nil"/>
            </w:tcBorders>
          </w:tcPr>
          <w:p w14:paraId="33934684"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2140</w:t>
            </w:r>
          </w:p>
        </w:tc>
        <w:tc>
          <w:tcPr>
            <w:tcW w:w="1172" w:type="dxa"/>
            <w:tcBorders>
              <w:top w:val="single" w:sz="4" w:space="0" w:color="auto"/>
              <w:left w:val="nil"/>
              <w:bottom w:val="nil"/>
              <w:right w:val="nil"/>
            </w:tcBorders>
          </w:tcPr>
          <w:p w14:paraId="340511BE"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1610</w:t>
            </w:r>
          </w:p>
        </w:tc>
        <w:tc>
          <w:tcPr>
            <w:tcW w:w="994" w:type="dxa"/>
            <w:tcBorders>
              <w:top w:val="single" w:sz="4" w:space="0" w:color="auto"/>
              <w:left w:val="nil"/>
              <w:bottom w:val="nil"/>
              <w:right w:val="nil"/>
            </w:tcBorders>
          </w:tcPr>
          <w:p w14:paraId="41866D0E"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1960</w:t>
            </w:r>
          </w:p>
        </w:tc>
        <w:tc>
          <w:tcPr>
            <w:tcW w:w="994" w:type="dxa"/>
            <w:tcBorders>
              <w:top w:val="single" w:sz="4" w:space="0" w:color="auto"/>
              <w:left w:val="nil"/>
              <w:bottom w:val="nil"/>
              <w:right w:val="nil"/>
            </w:tcBorders>
          </w:tcPr>
          <w:p w14:paraId="5D12936B"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1540</w:t>
            </w:r>
          </w:p>
        </w:tc>
      </w:tr>
      <w:tr w:rsidR="00785BA1" w:rsidRPr="00D54599" w14:paraId="4E31632D" w14:textId="77777777" w:rsidTr="005667DC">
        <w:tc>
          <w:tcPr>
            <w:tcW w:w="2358" w:type="dxa"/>
            <w:tcBorders>
              <w:top w:val="nil"/>
              <w:left w:val="nil"/>
              <w:bottom w:val="nil"/>
              <w:right w:val="nil"/>
            </w:tcBorders>
          </w:tcPr>
          <w:p w14:paraId="3506C006" w14:textId="77777777" w:rsidR="00B427E3" w:rsidRPr="00D54599" w:rsidRDefault="00B427E3" w:rsidP="00C43940">
            <w:pPr>
              <w:rPr>
                <w:rFonts w:ascii="Times New Roman" w:hAnsi="Times New Roman" w:cs="Times New Roman"/>
              </w:rPr>
            </w:pPr>
            <w:r w:rsidRPr="00D54599">
              <w:rPr>
                <w:rFonts w:ascii="Times New Roman" w:hAnsi="Times New Roman" w:cs="Times New Roman"/>
              </w:rPr>
              <w:t>Energy (kJ)</w:t>
            </w:r>
            <w:r w:rsidRPr="00D54599">
              <w:rPr>
                <w:rFonts w:ascii="Times New Roman" w:hAnsi="Times New Roman" w:cs="Times New Roman"/>
                <w:vertAlign w:val="superscript"/>
              </w:rPr>
              <w:t xml:space="preserve"> a</w:t>
            </w:r>
          </w:p>
        </w:tc>
        <w:tc>
          <w:tcPr>
            <w:tcW w:w="1049" w:type="dxa"/>
            <w:tcBorders>
              <w:top w:val="nil"/>
              <w:left w:val="nil"/>
              <w:bottom w:val="nil"/>
              <w:right w:val="nil"/>
            </w:tcBorders>
          </w:tcPr>
          <w:p w14:paraId="5F017381"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10586</w:t>
            </w:r>
          </w:p>
        </w:tc>
        <w:tc>
          <w:tcPr>
            <w:tcW w:w="1172" w:type="dxa"/>
            <w:tcBorders>
              <w:top w:val="nil"/>
              <w:left w:val="nil"/>
              <w:bottom w:val="nil"/>
              <w:right w:val="nil"/>
            </w:tcBorders>
          </w:tcPr>
          <w:p w14:paraId="55B90716"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8075</w:t>
            </w:r>
          </w:p>
        </w:tc>
        <w:tc>
          <w:tcPr>
            <w:tcW w:w="1269" w:type="dxa"/>
            <w:tcBorders>
              <w:top w:val="nil"/>
              <w:left w:val="nil"/>
              <w:bottom w:val="nil"/>
              <w:right w:val="nil"/>
            </w:tcBorders>
          </w:tcPr>
          <w:p w14:paraId="3651AE0F"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10125</w:t>
            </w:r>
          </w:p>
        </w:tc>
        <w:tc>
          <w:tcPr>
            <w:tcW w:w="1172" w:type="dxa"/>
            <w:tcBorders>
              <w:top w:val="nil"/>
              <w:left w:val="nil"/>
              <w:bottom w:val="nil"/>
              <w:right w:val="nil"/>
            </w:tcBorders>
          </w:tcPr>
          <w:p w14:paraId="768F51D5"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7824</w:t>
            </w:r>
          </w:p>
        </w:tc>
        <w:tc>
          <w:tcPr>
            <w:tcW w:w="1269" w:type="dxa"/>
            <w:tcBorders>
              <w:top w:val="nil"/>
              <w:left w:val="nil"/>
              <w:bottom w:val="nil"/>
              <w:right w:val="nil"/>
            </w:tcBorders>
          </w:tcPr>
          <w:p w14:paraId="73435728"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10125</w:t>
            </w:r>
          </w:p>
        </w:tc>
        <w:tc>
          <w:tcPr>
            <w:tcW w:w="1172" w:type="dxa"/>
            <w:tcBorders>
              <w:top w:val="nil"/>
              <w:left w:val="nil"/>
              <w:bottom w:val="nil"/>
              <w:right w:val="nil"/>
            </w:tcBorders>
          </w:tcPr>
          <w:p w14:paraId="79738041"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7824</w:t>
            </w:r>
          </w:p>
        </w:tc>
        <w:tc>
          <w:tcPr>
            <w:tcW w:w="1269" w:type="dxa"/>
            <w:tcBorders>
              <w:top w:val="nil"/>
              <w:left w:val="nil"/>
              <w:bottom w:val="nil"/>
              <w:right w:val="nil"/>
            </w:tcBorders>
          </w:tcPr>
          <w:p w14:paraId="5F0C3F03"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8954</w:t>
            </w:r>
          </w:p>
        </w:tc>
        <w:tc>
          <w:tcPr>
            <w:tcW w:w="1172" w:type="dxa"/>
            <w:tcBorders>
              <w:top w:val="nil"/>
              <w:left w:val="nil"/>
              <w:bottom w:val="nil"/>
              <w:right w:val="nil"/>
            </w:tcBorders>
          </w:tcPr>
          <w:p w14:paraId="73DA4A9A"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6736</w:t>
            </w:r>
          </w:p>
        </w:tc>
        <w:tc>
          <w:tcPr>
            <w:tcW w:w="994" w:type="dxa"/>
            <w:tcBorders>
              <w:top w:val="nil"/>
              <w:left w:val="nil"/>
              <w:bottom w:val="nil"/>
              <w:right w:val="nil"/>
            </w:tcBorders>
          </w:tcPr>
          <w:p w14:paraId="186CE118"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8201</w:t>
            </w:r>
          </w:p>
        </w:tc>
        <w:tc>
          <w:tcPr>
            <w:tcW w:w="994" w:type="dxa"/>
            <w:tcBorders>
              <w:top w:val="nil"/>
              <w:left w:val="nil"/>
              <w:bottom w:val="nil"/>
              <w:right w:val="nil"/>
            </w:tcBorders>
          </w:tcPr>
          <w:p w14:paraId="240425F8" w14:textId="77777777" w:rsidR="00B427E3" w:rsidRPr="00D54599" w:rsidRDefault="006E2A60" w:rsidP="00B427E3">
            <w:pPr>
              <w:jc w:val="center"/>
              <w:rPr>
                <w:rFonts w:ascii="Times New Roman" w:hAnsi="Times New Roman" w:cs="Times New Roman"/>
              </w:rPr>
            </w:pPr>
            <w:r w:rsidRPr="00D54599">
              <w:rPr>
                <w:rFonts w:ascii="Times New Roman" w:hAnsi="Times New Roman" w:cs="Times New Roman"/>
              </w:rPr>
              <w:t>6443</w:t>
            </w:r>
          </w:p>
        </w:tc>
      </w:tr>
      <w:tr w:rsidR="005667DC" w:rsidRPr="00D54599" w14:paraId="63F104C6" w14:textId="77777777" w:rsidTr="005667DC">
        <w:trPr>
          <w:trHeight w:val="351"/>
        </w:trPr>
        <w:tc>
          <w:tcPr>
            <w:tcW w:w="13890" w:type="dxa"/>
            <w:gridSpan w:val="11"/>
            <w:tcBorders>
              <w:top w:val="nil"/>
              <w:left w:val="nil"/>
              <w:bottom w:val="nil"/>
              <w:right w:val="nil"/>
            </w:tcBorders>
            <w:vAlign w:val="center"/>
          </w:tcPr>
          <w:p w14:paraId="700DFEB3" w14:textId="465580BB" w:rsidR="005667DC" w:rsidRPr="00D54599" w:rsidRDefault="005667DC" w:rsidP="005667DC">
            <w:pPr>
              <w:rPr>
                <w:rFonts w:ascii="Times New Roman" w:hAnsi="Times New Roman" w:cs="Times New Roman"/>
              </w:rPr>
            </w:pPr>
            <w:r w:rsidRPr="00D54599">
              <w:rPr>
                <w:rFonts w:ascii="Times New Roman" w:hAnsi="Times New Roman" w:cs="Times New Roman"/>
                <w:i/>
              </w:rPr>
              <w:t>Nutrients to Encourage</w:t>
            </w:r>
          </w:p>
        </w:tc>
      </w:tr>
      <w:tr w:rsidR="00785BA1" w:rsidRPr="00D54599" w14:paraId="1B2CE84A" w14:textId="77777777" w:rsidTr="005667DC">
        <w:tc>
          <w:tcPr>
            <w:tcW w:w="2358" w:type="dxa"/>
            <w:tcBorders>
              <w:top w:val="nil"/>
              <w:left w:val="nil"/>
              <w:bottom w:val="nil"/>
              <w:right w:val="nil"/>
            </w:tcBorders>
          </w:tcPr>
          <w:p w14:paraId="30510190" w14:textId="77777777" w:rsidR="00B427E3" w:rsidRPr="00D54599" w:rsidRDefault="00B427E3" w:rsidP="00C43940">
            <w:pPr>
              <w:rPr>
                <w:rFonts w:ascii="Times New Roman" w:hAnsi="Times New Roman" w:cs="Times New Roman"/>
              </w:rPr>
            </w:pPr>
            <w:r w:rsidRPr="00D54599">
              <w:rPr>
                <w:rFonts w:ascii="Times New Roman" w:hAnsi="Times New Roman" w:cs="Times New Roman"/>
              </w:rPr>
              <w:t>Protein (g)</w:t>
            </w:r>
            <w:r w:rsidRPr="00D54599">
              <w:rPr>
                <w:rFonts w:ascii="Times New Roman" w:hAnsi="Times New Roman" w:cs="Times New Roman"/>
                <w:vertAlign w:val="superscript"/>
              </w:rPr>
              <w:t>b</w:t>
            </w:r>
          </w:p>
        </w:tc>
        <w:tc>
          <w:tcPr>
            <w:tcW w:w="1049" w:type="dxa"/>
            <w:tcBorders>
              <w:top w:val="nil"/>
              <w:left w:val="nil"/>
              <w:bottom w:val="nil"/>
              <w:right w:val="nil"/>
            </w:tcBorders>
          </w:tcPr>
          <w:p w14:paraId="2EB5BECA" w14:textId="13811733"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71</w:t>
            </w:r>
          </w:p>
        </w:tc>
        <w:tc>
          <w:tcPr>
            <w:tcW w:w="1172" w:type="dxa"/>
            <w:tcBorders>
              <w:top w:val="nil"/>
              <w:left w:val="nil"/>
              <w:bottom w:val="nil"/>
              <w:right w:val="nil"/>
            </w:tcBorders>
          </w:tcPr>
          <w:p w14:paraId="0D651E2F" w14:textId="501A4D7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62</w:t>
            </w:r>
          </w:p>
        </w:tc>
        <w:tc>
          <w:tcPr>
            <w:tcW w:w="1269" w:type="dxa"/>
            <w:tcBorders>
              <w:top w:val="nil"/>
              <w:left w:val="nil"/>
              <w:bottom w:val="nil"/>
              <w:right w:val="nil"/>
            </w:tcBorders>
          </w:tcPr>
          <w:p w14:paraId="7B439988" w14:textId="33D336A6"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71</w:t>
            </w:r>
          </w:p>
        </w:tc>
        <w:tc>
          <w:tcPr>
            <w:tcW w:w="1172" w:type="dxa"/>
            <w:tcBorders>
              <w:top w:val="nil"/>
              <w:left w:val="nil"/>
              <w:bottom w:val="nil"/>
              <w:right w:val="nil"/>
            </w:tcBorders>
          </w:tcPr>
          <w:p w14:paraId="6B65F9E7" w14:textId="09B526C7"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62</w:t>
            </w:r>
          </w:p>
        </w:tc>
        <w:tc>
          <w:tcPr>
            <w:tcW w:w="1269" w:type="dxa"/>
            <w:tcBorders>
              <w:top w:val="nil"/>
              <w:left w:val="nil"/>
              <w:bottom w:val="nil"/>
              <w:right w:val="nil"/>
            </w:tcBorders>
          </w:tcPr>
          <w:p w14:paraId="42310ABA" w14:textId="229561CD"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71</w:t>
            </w:r>
          </w:p>
        </w:tc>
        <w:tc>
          <w:tcPr>
            <w:tcW w:w="1172" w:type="dxa"/>
            <w:tcBorders>
              <w:top w:val="nil"/>
              <w:left w:val="nil"/>
              <w:bottom w:val="nil"/>
              <w:right w:val="nil"/>
            </w:tcBorders>
          </w:tcPr>
          <w:p w14:paraId="6E756C7E" w14:textId="0317C6C8"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62</w:t>
            </w:r>
          </w:p>
        </w:tc>
        <w:tc>
          <w:tcPr>
            <w:tcW w:w="1269" w:type="dxa"/>
            <w:tcBorders>
              <w:top w:val="nil"/>
              <w:left w:val="nil"/>
              <w:bottom w:val="nil"/>
              <w:right w:val="nil"/>
            </w:tcBorders>
          </w:tcPr>
          <w:p w14:paraId="29CFFF55" w14:textId="7D5C61FD"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71</w:t>
            </w:r>
          </w:p>
        </w:tc>
        <w:tc>
          <w:tcPr>
            <w:tcW w:w="1172" w:type="dxa"/>
            <w:tcBorders>
              <w:top w:val="nil"/>
              <w:left w:val="nil"/>
              <w:bottom w:val="nil"/>
              <w:right w:val="nil"/>
            </w:tcBorders>
          </w:tcPr>
          <w:p w14:paraId="2B83268A" w14:textId="3EED26B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62</w:t>
            </w:r>
          </w:p>
        </w:tc>
        <w:tc>
          <w:tcPr>
            <w:tcW w:w="994" w:type="dxa"/>
            <w:tcBorders>
              <w:top w:val="nil"/>
              <w:left w:val="nil"/>
              <w:bottom w:val="nil"/>
              <w:right w:val="nil"/>
            </w:tcBorders>
          </w:tcPr>
          <w:p w14:paraId="616A3A9F" w14:textId="0787D698"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71</w:t>
            </w:r>
          </w:p>
        </w:tc>
        <w:tc>
          <w:tcPr>
            <w:tcW w:w="994" w:type="dxa"/>
            <w:tcBorders>
              <w:top w:val="nil"/>
              <w:left w:val="nil"/>
              <w:bottom w:val="nil"/>
              <w:right w:val="nil"/>
            </w:tcBorders>
          </w:tcPr>
          <w:p w14:paraId="4357D255" w14:textId="3C8DAEF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62</w:t>
            </w:r>
          </w:p>
        </w:tc>
      </w:tr>
      <w:tr w:rsidR="00785BA1" w:rsidRPr="00D54599" w14:paraId="6A60AF11" w14:textId="77777777" w:rsidTr="005667DC">
        <w:trPr>
          <w:trHeight w:val="549"/>
        </w:trPr>
        <w:tc>
          <w:tcPr>
            <w:tcW w:w="2358" w:type="dxa"/>
            <w:tcBorders>
              <w:top w:val="nil"/>
              <w:left w:val="nil"/>
              <w:bottom w:val="nil"/>
              <w:right w:val="nil"/>
            </w:tcBorders>
          </w:tcPr>
          <w:p w14:paraId="24D81775" w14:textId="77777777" w:rsidR="00B427E3" w:rsidRPr="00D54599" w:rsidRDefault="00B427E3" w:rsidP="00C43940">
            <w:pPr>
              <w:rPr>
                <w:rFonts w:ascii="Times New Roman" w:hAnsi="Times New Roman" w:cs="Times New Roman"/>
              </w:rPr>
            </w:pPr>
            <w:r w:rsidRPr="00D54599">
              <w:rPr>
                <w:rFonts w:ascii="Times New Roman" w:hAnsi="Times New Roman" w:cs="Times New Roman"/>
              </w:rPr>
              <w:t>Dietary Fibre (g)</w:t>
            </w:r>
            <w:r w:rsidR="00436FCE" w:rsidRPr="00D54599">
              <w:rPr>
                <w:rFonts w:ascii="Times New Roman" w:hAnsi="Times New Roman" w:cs="Times New Roman"/>
                <w:vertAlign w:val="superscript"/>
              </w:rPr>
              <w:t>c</w:t>
            </w:r>
          </w:p>
        </w:tc>
        <w:tc>
          <w:tcPr>
            <w:tcW w:w="1049" w:type="dxa"/>
            <w:tcBorders>
              <w:top w:val="nil"/>
              <w:left w:val="nil"/>
              <w:bottom w:val="nil"/>
              <w:right w:val="nil"/>
            </w:tcBorders>
          </w:tcPr>
          <w:p w14:paraId="11089C4E"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35.4</w:t>
            </w:r>
          </w:p>
        </w:tc>
        <w:tc>
          <w:tcPr>
            <w:tcW w:w="1172" w:type="dxa"/>
            <w:tcBorders>
              <w:top w:val="nil"/>
              <w:left w:val="nil"/>
              <w:bottom w:val="nil"/>
              <w:right w:val="nil"/>
            </w:tcBorders>
          </w:tcPr>
          <w:p w14:paraId="126103AD"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27.0</w:t>
            </w:r>
          </w:p>
        </w:tc>
        <w:tc>
          <w:tcPr>
            <w:tcW w:w="1269" w:type="dxa"/>
            <w:tcBorders>
              <w:top w:val="nil"/>
              <w:left w:val="nil"/>
              <w:bottom w:val="nil"/>
              <w:right w:val="nil"/>
            </w:tcBorders>
          </w:tcPr>
          <w:p w14:paraId="2ED6C530"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33.9</w:t>
            </w:r>
          </w:p>
        </w:tc>
        <w:tc>
          <w:tcPr>
            <w:tcW w:w="1172" w:type="dxa"/>
            <w:tcBorders>
              <w:top w:val="nil"/>
              <w:left w:val="nil"/>
              <w:bottom w:val="nil"/>
              <w:right w:val="nil"/>
            </w:tcBorders>
          </w:tcPr>
          <w:p w14:paraId="005784E7"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26.2</w:t>
            </w:r>
          </w:p>
        </w:tc>
        <w:tc>
          <w:tcPr>
            <w:tcW w:w="1269" w:type="dxa"/>
            <w:tcBorders>
              <w:top w:val="nil"/>
              <w:left w:val="nil"/>
              <w:bottom w:val="nil"/>
              <w:right w:val="nil"/>
            </w:tcBorders>
          </w:tcPr>
          <w:p w14:paraId="389249D1"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33.9</w:t>
            </w:r>
          </w:p>
        </w:tc>
        <w:tc>
          <w:tcPr>
            <w:tcW w:w="1172" w:type="dxa"/>
            <w:tcBorders>
              <w:top w:val="nil"/>
              <w:left w:val="nil"/>
              <w:bottom w:val="nil"/>
              <w:right w:val="nil"/>
            </w:tcBorders>
          </w:tcPr>
          <w:p w14:paraId="5F269DBC"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26.2</w:t>
            </w:r>
          </w:p>
        </w:tc>
        <w:tc>
          <w:tcPr>
            <w:tcW w:w="1269" w:type="dxa"/>
            <w:tcBorders>
              <w:top w:val="nil"/>
              <w:left w:val="nil"/>
              <w:bottom w:val="nil"/>
              <w:right w:val="nil"/>
            </w:tcBorders>
          </w:tcPr>
          <w:p w14:paraId="677E101C"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30.0</w:t>
            </w:r>
          </w:p>
        </w:tc>
        <w:tc>
          <w:tcPr>
            <w:tcW w:w="1172" w:type="dxa"/>
            <w:tcBorders>
              <w:top w:val="nil"/>
              <w:left w:val="nil"/>
              <w:bottom w:val="nil"/>
              <w:right w:val="nil"/>
            </w:tcBorders>
          </w:tcPr>
          <w:p w14:paraId="6A3CE1B4"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22.5</w:t>
            </w:r>
          </w:p>
        </w:tc>
        <w:tc>
          <w:tcPr>
            <w:tcW w:w="994" w:type="dxa"/>
            <w:tcBorders>
              <w:top w:val="nil"/>
              <w:left w:val="nil"/>
              <w:bottom w:val="nil"/>
              <w:right w:val="nil"/>
            </w:tcBorders>
          </w:tcPr>
          <w:p w14:paraId="3CABA6EF"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27.4</w:t>
            </w:r>
          </w:p>
        </w:tc>
        <w:tc>
          <w:tcPr>
            <w:tcW w:w="994" w:type="dxa"/>
            <w:tcBorders>
              <w:top w:val="nil"/>
              <w:left w:val="nil"/>
              <w:bottom w:val="nil"/>
              <w:right w:val="nil"/>
            </w:tcBorders>
          </w:tcPr>
          <w:p w14:paraId="202FF1EC" w14:textId="77777777" w:rsidR="00B427E3" w:rsidRPr="00D54599" w:rsidRDefault="00634A52" w:rsidP="00B427E3">
            <w:pPr>
              <w:jc w:val="center"/>
              <w:rPr>
                <w:rFonts w:ascii="Times New Roman" w:hAnsi="Times New Roman" w:cs="Times New Roman"/>
              </w:rPr>
            </w:pPr>
            <w:r w:rsidRPr="00D54599">
              <w:rPr>
                <w:rFonts w:ascii="Times New Roman" w:hAnsi="Times New Roman" w:cs="Times New Roman"/>
              </w:rPr>
              <w:t>21.6</w:t>
            </w:r>
          </w:p>
        </w:tc>
      </w:tr>
      <w:tr w:rsidR="00785BA1" w:rsidRPr="00D54599" w14:paraId="688C4EC5" w14:textId="77777777" w:rsidTr="005667DC">
        <w:tc>
          <w:tcPr>
            <w:tcW w:w="2358" w:type="dxa"/>
            <w:tcBorders>
              <w:top w:val="nil"/>
              <w:left w:val="nil"/>
              <w:bottom w:val="nil"/>
              <w:right w:val="nil"/>
            </w:tcBorders>
          </w:tcPr>
          <w:p w14:paraId="1A291231" w14:textId="77777777" w:rsidR="00B427E3" w:rsidRPr="00D54599" w:rsidRDefault="00B427E3" w:rsidP="00B427E3">
            <w:pPr>
              <w:rPr>
                <w:rFonts w:ascii="Times New Roman" w:hAnsi="Times New Roman" w:cs="Times New Roman"/>
              </w:rPr>
            </w:pPr>
            <w:r w:rsidRPr="00D54599">
              <w:rPr>
                <w:rFonts w:ascii="Times New Roman" w:hAnsi="Times New Roman" w:cs="Times New Roman"/>
              </w:rPr>
              <w:t>Vitamin A (μg RAE)</w:t>
            </w:r>
            <w:r w:rsidRPr="00D54599">
              <w:rPr>
                <w:rFonts w:ascii="Times New Roman" w:hAnsi="Times New Roman" w:cs="Times New Roman"/>
                <w:vertAlign w:val="superscript"/>
              </w:rPr>
              <w:t>b</w:t>
            </w:r>
          </w:p>
        </w:tc>
        <w:tc>
          <w:tcPr>
            <w:tcW w:w="1049" w:type="dxa"/>
            <w:tcBorders>
              <w:top w:val="nil"/>
              <w:left w:val="nil"/>
              <w:bottom w:val="nil"/>
              <w:right w:val="nil"/>
            </w:tcBorders>
          </w:tcPr>
          <w:p w14:paraId="34ABB4AC" w14:textId="3314E1FF"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700</w:t>
            </w:r>
          </w:p>
        </w:tc>
        <w:tc>
          <w:tcPr>
            <w:tcW w:w="1172" w:type="dxa"/>
            <w:tcBorders>
              <w:top w:val="nil"/>
              <w:left w:val="nil"/>
              <w:bottom w:val="nil"/>
              <w:right w:val="nil"/>
            </w:tcBorders>
          </w:tcPr>
          <w:p w14:paraId="3A3F0047" w14:textId="390EC623"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600</w:t>
            </w:r>
          </w:p>
        </w:tc>
        <w:tc>
          <w:tcPr>
            <w:tcW w:w="1269" w:type="dxa"/>
            <w:tcBorders>
              <w:top w:val="nil"/>
              <w:left w:val="nil"/>
              <w:bottom w:val="nil"/>
              <w:right w:val="nil"/>
            </w:tcBorders>
          </w:tcPr>
          <w:p w14:paraId="1DFA7CCF" w14:textId="3104B47C"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700</w:t>
            </w:r>
          </w:p>
        </w:tc>
        <w:tc>
          <w:tcPr>
            <w:tcW w:w="1172" w:type="dxa"/>
            <w:tcBorders>
              <w:top w:val="nil"/>
              <w:left w:val="nil"/>
              <w:bottom w:val="nil"/>
              <w:right w:val="nil"/>
            </w:tcBorders>
          </w:tcPr>
          <w:p w14:paraId="2D92E2F3" w14:textId="3A0B408F"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600</w:t>
            </w:r>
          </w:p>
        </w:tc>
        <w:tc>
          <w:tcPr>
            <w:tcW w:w="1269" w:type="dxa"/>
            <w:tcBorders>
              <w:top w:val="nil"/>
              <w:left w:val="nil"/>
              <w:bottom w:val="nil"/>
              <w:right w:val="nil"/>
            </w:tcBorders>
          </w:tcPr>
          <w:p w14:paraId="77193E45" w14:textId="6820B5CA"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700</w:t>
            </w:r>
          </w:p>
        </w:tc>
        <w:tc>
          <w:tcPr>
            <w:tcW w:w="1172" w:type="dxa"/>
            <w:tcBorders>
              <w:top w:val="nil"/>
              <w:left w:val="nil"/>
              <w:bottom w:val="nil"/>
              <w:right w:val="nil"/>
            </w:tcBorders>
          </w:tcPr>
          <w:p w14:paraId="1E76CD89" w14:textId="56F575BF"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600</w:t>
            </w:r>
          </w:p>
        </w:tc>
        <w:tc>
          <w:tcPr>
            <w:tcW w:w="1269" w:type="dxa"/>
            <w:tcBorders>
              <w:top w:val="nil"/>
              <w:left w:val="nil"/>
              <w:bottom w:val="nil"/>
              <w:right w:val="nil"/>
            </w:tcBorders>
          </w:tcPr>
          <w:p w14:paraId="4EB7CCF9" w14:textId="440AE69F"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700</w:t>
            </w:r>
          </w:p>
        </w:tc>
        <w:tc>
          <w:tcPr>
            <w:tcW w:w="1172" w:type="dxa"/>
            <w:tcBorders>
              <w:top w:val="nil"/>
              <w:left w:val="nil"/>
              <w:bottom w:val="nil"/>
              <w:right w:val="nil"/>
            </w:tcBorders>
          </w:tcPr>
          <w:p w14:paraId="7C3F3BE1" w14:textId="0569550F"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600</w:t>
            </w:r>
          </w:p>
        </w:tc>
        <w:tc>
          <w:tcPr>
            <w:tcW w:w="994" w:type="dxa"/>
            <w:tcBorders>
              <w:top w:val="nil"/>
              <w:left w:val="nil"/>
              <w:bottom w:val="nil"/>
              <w:right w:val="nil"/>
            </w:tcBorders>
          </w:tcPr>
          <w:p w14:paraId="20E91542" w14:textId="246A543A"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700</w:t>
            </w:r>
          </w:p>
        </w:tc>
        <w:tc>
          <w:tcPr>
            <w:tcW w:w="994" w:type="dxa"/>
            <w:tcBorders>
              <w:top w:val="nil"/>
              <w:left w:val="nil"/>
              <w:bottom w:val="nil"/>
              <w:right w:val="nil"/>
            </w:tcBorders>
          </w:tcPr>
          <w:p w14:paraId="28E15BD2" w14:textId="215367FA"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600</w:t>
            </w:r>
          </w:p>
        </w:tc>
      </w:tr>
      <w:tr w:rsidR="00785BA1" w:rsidRPr="00D54599" w14:paraId="09CF7D8E" w14:textId="77777777" w:rsidTr="005667DC">
        <w:tc>
          <w:tcPr>
            <w:tcW w:w="2358" w:type="dxa"/>
            <w:tcBorders>
              <w:top w:val="nil"/>
              <w:left w:val="nil"/>
              <w:bottom w:val="nil"/>
              <w:right w:val="nil"/>
            </w:tcBorders>
          </w:tcPr>
          <w:p w14:paraId="69B6C058" w14:textId="77777777" w:rsidR="00B427E3" w:rsidRPr="00D54599" w:rsidRDefault="00B427E3" w:rsidP="00C43940">
            <w:pPr>
              <w:rPr>
                <w:rFonts w:ascii="Times New Roman" w:hAnsi="Times New Roman" w:cs="Times New Roman"/>
              </w:rPr>
            </w:pPr>
            <w:r w:rsidRPr="00D54599">
              <w:rPr>
                <w:rFonts w:ascii="Times New Roman" w:hAnsi="Times New Roman" w:cs="Times New Roman"/>
              </w:rPr>
              <w:t>Vitamin C (mg)</w:t>
            </w:r>
            <w:r w:rsidRPr="00D54599">
              <w:rPr>
                <w:rFonts w:ascii="Times New Roman" w:hAnsi="Times New Roman" w:cs="Times New Roman"/>
                <w:vertAlign w:val="superscript"/>
              </w:rPr>
              <w:t xml:space="preserve"> b</w:t>
            </w:r>
          </w:p>
        </w:tc>
        <w:tc>
          <w:tcPr>
            <w:tcW w:w="1049" w:type="dxa"/>
            <w:tcBorders>
              <w:top w:val="nil"/>
              <w:left w:val="nil"/>
              <w:bottom w:val="nil"/>
              <w:right w:val="nil"/>
            </w:tcBorders>
          </w:tcPr>
          <w:p w14:paraId="22FDD593" w14:textId="21479CDA"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w:t>
            </w:r>
          </w:p>
        </w:tc>
        <w:tc>
          <w:tcPr>
            <w:tcW w:w="1172" w:type="dxa"/>
            <w:tcBorders>
              <w:top w:val="nil"/>
              <w:left w:val="nil"/>
              <w:bottom w:val="nil"/>
              <w:right w:val="nil"/>
            </w:tcBorders>
          </w:tcPr>
          <w:p w14:paraId="7EF72790" w14:textId="28EF627E"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w:t>
            </w:r>
          </w:p>
        </w:tc>
        <w:tc>
          <w:tcPr>
            <w:tcW w:w="1269" w:type="dxa"/>
            <w:tcBorders>
              <w:top w:val="nil"/>
              <w:left w:val="nil"/>
              <w:bottom w:val="nil"/>
              <w:right w:val="nil"/>
            </w:tcBorders>
          </w:tcPr>
          <w:p w14:paraId="6AB5C43C" w14:textId="2C0C1F1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w:t>
            </w:r>
          </w:p>
        </w:tc>
        <w:tc>
          <w:tcPr>
            <w:tcW w:w="1172" w:type="dxa"/>
            <w:tcBorders>
              <w:top w:val="nil"/>
              <w:left w:val="nil"/>
              <w:bottom w:val="nil"/>
              <w:right w:val="nil"/>
            </w:tcBorders>
          </w:tcPr>
          <w:p w14:paraId="5A3614A0" w14:textId="567710DE"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w:t>
            </w:r>
          </w:p>
        </w:tc>
        <w:tc>
          <w:tcPr>
            <w:tcW w:w="1269" w:type="dxa"/>
            <w:tcBorders>
              <w:top w:val="nil"/>
              <w:left w:val="nil"/>
              <w:bottom w:val="nil"/>
              <w:right w:val="nil"/>
            </w:tcBorders>
          </w:tcPr>
          <w:p w14:paraId="67C22E5E" w14:textId="1ECDA89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w:t>
            </w:r>
          </w:p>
        </w:tc>
        <w:tc>
          <w:tcPr>
            <w:tcW w:w="1172" w:type="dxa"/>
            <w:tcBorders>
              <w:top w:val="nil"/>
              <w:left w:val="nil"/>
              <w:bottom w:val="nil"/>
              <w:right w:val="nil"/>
            </w:tcBorders>
          </w:tcPr>
          <w:p w14:paraId="1F79A9BC" w14:textId="32BF0321"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w:t>
            </w:r>
          </w:p>
        </w:tc>
        <w:tc>
          <w:tcPr>
            <w:tcW w:w="1269" w:type="dxa"/>
            <w:tcBorders>
              <w:top w:val="nil"/>
              <w:left w:val="nil"/>
              <w:bottom w:val="nil"/>
              <w:right w:val="nil"/>
            </w:tcBorders>
          </w:tcPr>
          <w:p w14:paraId="1971661E" w14:textId="72D8952D"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w:t>
            </w:r>
          </w:p>
        </w:tc>
        <w:tc>
          <w:tcPr>
            <w:tcW w:w="1172" w:type="dxa"/>
            <w:tcBorders>
              <w:top w:val="nil"/>
              <w:left w:val="nil"/>
              <w:bottom w:val="nil"/>
              <w:right w:val="nil"/>
            </w:tcBorders>
          </w:tcPr>
          <w:p w14:paraId="2E67580E" w14:textId="0F82626A"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w:t>
            </w:r>
          </w:p>
        </w:tc>
        <w:tc>
          <w:tcPr>
            <w:tcW w:w="994" w:type="dxa"/>
            <w:tcBorders>
              <w:top w:val="nil"/>
              <w:left w:val="nil"/>
              <w:bottom w:val="nil"/>
              <w:right w:val="nil"/>
            </w:tcBorders>
          </w:tcPr>
          <w:p w14:paraId="4DA9CBAE" w14:textId="7ADD0A58"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70</w:t>
            </w:r>
          </w:p>
        </w:tc>
        <w:tc>
          <w:tcPr>
            <w:tcW w:w="994" w:type="dxa"/>
            <w:tcBorders>
              <w:top w:val="nil"/>
              <w:left w:val="nil"/>
              <w:bottom w:val="nil"/>
              <w:right w:val="nil"/>
            </w:tcBorders>
          </w:tcPr>
          <w:p w14:paraId="05F7ADB4" w14:textId="374F57CC" w:rsidR="00B427E3" w:rsidRPr="00D54599" w:rsidRDefault="007B24E5" w:rsidP="00B427E3">
            <w:pPr>
              <w:jc w:val="center"/>
              <w:rPr>
                <w:rFonts w:ascii="Times New Roman" w:hAnsi="Times New Roman" w:cs="Times New Roman"/>
              </w:rPr>
            </w:pPr>
            <w:r w:rsidRPr="00D54599">
              <w:rPr>
                <w:rFonts w:ascii="Times New Roman" w:hAnsi="Times New Roman" w:cs="Times New Roman"/>
              </w:rPr>
              <w:t>60</w:t>
            </w:r>
          </w:p>
        </w:tc>
      </w:tr>
      <w:tr w:rsidR="00785BA1" w:rsidRPr="00D54599" w14:paraId="35CF6F8C" w14:textId="77777777" w:rsidTr="005667DC">
        <w:tc>
          <w:tcPr>
            <w:tcW w:w="2358" w:type="dxa"/>
            <w:tcBorders>
              <w:top w:val="nil"/>
              <w:left w:val="nil"/>
              <w:bottom w:val="nil"/>
              <w:right w:val="nil"/>
            </w:tcBorders>
          </w:tcPr>
          <w:p w14:paraId="781055AC" w14:textId="77777777" w:rsidR="00B427E3" w:rsidRPr="00D54599" w:rsidRDefault="00B427E3" w:rsidP="007E77E3">
            <w:pPr>
              <w:rPr>
                <w:rFonts w:ascii="Times New Roman" w:hAnsi="Times New Roman" w:cs="Times New Roman"/>
              </w:rPr>
            </w:pPr>
            <w:r w:rsidRPr="00D54599">
              <w:rPr>
                <w:rFonts w:ascii="Times New Roman" w:hAnsi="Times New Roman" w:cs="Times New Roman"/>
              </w:rPr>
              <w:t xml:space="preserve">Vitamin </w:t>
            </w:r>
            <w:r w:rsidR="00844287" w:rsidRPr="00D54599">
              <w:rPr>
                <w:rFonts w:ascii="Times New Roman" w:hAnsi="Times New Roman" w:cs="Times New Roman"/>
              </w:rPr>
              <w:t>D</w:t>
            </w:r>
            <w:r w:rsidRPr="00D54599">
              <w:rPr>
                <w:rFonts w:ascii="Times New Roman" w:hAnsi="Times New Roman" w:cs="Times New Roman"/>
              </w:rPr>
              <w:t xml:space="preserve"> (</w:t>
            </w:r>
            <w:r w:rsidR="00844287" w:rsidRPr="00D54599">
              <w:rPr>
                <w:rFonts w:ascii="Times New Roman" w:hAnsi="Times New Roman" w:cs="Times New Roman"/>
              </w:rPr>
              <w:t>µg</w:t>
            </w:r>
            <w:r w:rsidRPr="00D54599">
              <w:rPr>
                <w:rFonts w:ascii="Times New Roman" w:hAnsi="Times New Roman" w:cs="Times New Roman"/>
              </w:rPr>
              <w:t>)</w:t>
            </w:r>
            <w:r w:rsidRPr="00D54599">
              <w:rPr>
                <w:rFonts w:ascii="Times New Roman" w:hAnsi="Times New Roman" w:cs="Times New Roman"/>
                <w:vertAlign w:val="superscript"/>
              </w:rPr>
              <w:t xml:space="preserve"> </w:t>
            </w:r>
            <w:r w:rsidR="007E77E3" w:rsidRPr="00D54599">
              <w:rPr>
                <w:rFonts w:ascii="Times New Roman" w:hAnsi="Times New Roman" w:cs="Times New Roman"/>
                <w:vertAlign w:val="superscript"/>
              </w:rPr>
              <w:t>i</w:t>
            </w:r>
          </w:p>
        </w:tc>
        <w:tc>
          <w:tcPr>
            <w:tcW w:w="1049" w:type="dxa"/>
            <w:tcBorders>
              <w:top w:val="nil"/>
              <w:left w:val="nil"/>
              <w:bottom w:val="nil"/>
              <w:right w:val="nil"/>
            </w:tcBorders>
          </w:tcPr>
          <w:p w14:paraId="25B3A451"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5</w:t>
            </w:r>
          </w:p>
        </w:tc>
        <w:tc>
          <w:tcPr>
            <w:tcW w:w="1172" w:type="dxa"/>
            <w:tcBorders>
              <w:top w:val="nil"/>
              <w:left w:val="nil"/>
              <w:bottom w:val="nil"/>
              <w:right w:val="nil"/>
            </w:tcBorders>
          </w:tcPr>
          <w:p w14:paraId="77B38293"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5</w:t>
            </w:r>
          </w:p>
        </w:tc>
        <w:tc>
          <w:tcPr>
            <w:tcW w:w="1269" w:type="dxa"/>
            <w:tcBorders>
              <w:top w:val="nil"/>
              <w:left w:val="nil"/>
              <w:bottom w:val="nil"/>
              <w:right w:val="nil"/>
            </w:tcBorders>
          </w:tcPr>
          <w:p w14:paraId="3CA548B9"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5</w:t>
            </w:r>
          </w:p>
        </w:tc>
        <w:tc>
          <w:tcPr>
            <w:tcW w:w="1172" w:type="dxa"/>
            <w:tcBorders>
              <w:top w:val="nil"/>
              <w:left w:val="nil"/>
              <w:bottom w:val="nil"/>
              <w:right w:val="nil"/>
            </w:tcBorders>
          </w:tcPr>
          <w:p w14:paraId="2BE3BCD9"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5</w:t>
            </w:r>
          </w:p>
        </w:tc>
        <w:tc>
          <w:tcPr>
            <w:tcW w:w="1269" w:type="dxa"/>
            <w:tcBorders>
              <w:top w:val="nil"/>
              <w:left w:val="nil"/>
              <w:bottom w:val="nil"/>
              <w:right w:val="nil"/>
            </w:tcBorders>
          </w:tcPr>
          <w:p w14:paraId="5AD089ED"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10</w:t>
            </w:r>
          </w:p>
        </w:tc>
        <w:tc>
          <w:tcPr>
            <w:tcW w:w="1172" w:type="dxa"/>
            <w:tcBorders>
              <w:top w:val="nil"/>
              <w:left w:val="nil"/>
              <w:bottom w:val="nil"/>
              <w:right w:val="nil"/>
            </w:tcBorders>
          </w:tcPr>
          <w:p w14:paraId="0D4832AD"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10</w:t>
            </w:r>
          </w:p>
        </w:tc>
        <w:tc>
          <w:tcPr>
            <w:tcW w:w="1269" w:type="dxa"/>
            <w:tcBorders>
              <w:top w:val="nil"/>
              <w:left w:val="nil"/>
              <w:bottom w:val="nil"/>
              <w:right w:val="nil"/>
            </w:tcBorders>
          </w:tcPr>
          <w:p w14:paraId="25CCC7B4"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15</w:t>
            </w:r>
          </w:p>
        </w:tc>
        <w:tc>
          <w:tcPr>
            <w:tcW w:w="1172" w:type="dxa"/>
            <w:tcBorders>
              <w:top w:val="nil"/>
              <w:left w:val="nil"/>
              <w:bottom w:val="nil"/>
              <w:right w:val="nil"/>
            </w:tcBorders>
          </w:tcPr>
          <w:p w14:paraId="3C16085A"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15</w:t>
            </w:r>
          </w:p>
        </w:tc>
        <w:tc>
          <w:tcPr>
            <w:tcW w:w="994" w:type="dxa"/>
            <w:tcBorders>
              <w:top w:val="nil"/>
              <w:left w:val="nil"/>
              <w:bottom w:val="nil"/>
              <w:right w:val="nil"/>
            </w:tcBorders>
          </w:tcPr>
          <w:p w14:paraId="344B34DF"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15</w:t>
            </w:r>
          </w:p>
        </w:tc>
        <w:tc>
          <w:tcPr>
            <w:tcW w:w="994" w:type="dxa"/>
            <w:tcBorders>
              <w:top w:val="nil"/>
              <w:left w:val="nil"/>
              <w:bottom w:val="nil"/>
              <w:right w:val="nil"/>
            </w:tcBorders>
          </w:tcPr>
          <w:p w14:paraId="44381020" w14:textId="77777777" w:rsidR="00B427E3" w:rsidRPr="00D54599" w:rsidRDefault="00844287" w:rsidP="00B427E3">
            <w:pPr>
              <w:jc w:val="center"/>
              <w:rPr>
                <w:rFonts w:ascii="Times New Roman" w:hAnsi="Times New Roman" w:cs="Times New Roman"/>
              </w:rPr>
            </w:pPr>
            <w:r w:rsidRPr="00D54599">
              <w:rPr>
                <w:rFonts w:ascii="Times New Roman" w:hAnsi="Times New Roman" w:cs="Times New Roman"/>
              </w:rPr>
              <w:t>15</w:t>
            </w:r>
          </w:p>
        </w:tc>
      </w:tr>
      <w:tr w:rsidR="00785BA1" w:rsidRPr="00D54599" w14:paraId="1F2D6735" w14:textId="77777777" w:rsidTr="005667DC">
        <w:tc>
          <w:tcPr>
            <w:tcW w:w="2358" w:type="dxa"/>
            <w:tcBorders>
              <w:top w:val="nil"/>
              <w:left w:val="nil"/>
              <w:bottom w:val="nil"/>
              <w:right w:val="nil"/>
            </w:tcBorders>
          </w:tcPr>
          <w:p w14:paraId="71F7121E" w14:textId="77777777" w:rsidR="00B427E3" w:rsidRPr="00D54599" w:rsidRDefault="00B427E3" w:rsidP="00C43940">
            <w:pPr>
              <w:rPr>
                <w:rFonts w:ascii="Times New Roman" w:hAnsi="Times New Roman" w:cs="Times New Roman"/>
              </w:rPr>
            </w:pPr>
            <w:r w:rsidRPr="00D54599">
              <w:rPr>
                <w:rFonts w:ascii="Times New Roman" w:hAnsi="Times New Roman" w:cs="Times New Roman"/>
              </w:rPr>
              <w:t>Calcium (mg)</w:t>
            </w:r>
            <w:r w:rsidRPr="00D54599">
              <w:rPr>
                <w:rFonts w:ascii="Times New Roman" w:hAnsi="Times New Roman" w:cs="Times New Roman"/>
                <w:vertAlign w:val="superscript"/>
              </w:rPr>
              <w:t xml:space="preserve"> b</w:t>
            </w:r>
          </w:p>
        </w:tc>
        <w:tc>
          <w:tcPr>
            <w:tcW w:w="1049" w:type="dxa"/>
            <w:tcBorders>
              <w:top w:val="nil"/>
              <w:left w:val="nil"/>
              <w:bottom w:val="nil"/>
              <w:right w:val="nil"/>
            </w:tcBorders>
          </w:tcPr>
          <w:p w14:paraId="2E7EF4F2" w14:textId="59A12AF4"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750</w:t>
            </w:r>
          </w:p>
        </w:tc>
        <w:tc>
          <w:tcPr>
            <w:tcW w:w="1172" w:type="dxa"/>
            <w:tcBorders>
              <w:top w:val="nil"/>
              <w:left w:val="nil"/>
              <w:bottom w:val="nil"/>
              <w:right w:val="nil"/>
            </w:tcBorders>
          </w:tcPr>
          <w:p w14:paraId="5787BF0E" w14:textId="19832ECC"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750</w:t>
            </w:r>
          </w:p>
        </w:tc>
        <w:tc>
          <w:tcPr>
            <w:tcW w:w="1269" w:type="dxa"/>
            <w:tcBorders>
              <w:top w:val="nil"/>
              <w:left w:val="nil"/>
              <w:bottom w:val="nil"/>
              <w:right w:val="nil"/>
            </w:tcBorders>
          </w:tcPr>
          <w:p w14:paraId="0DB95F72" w14:textId="626FD3FB"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750</w:t>
            </w:r>
          </w:p>
        </w:tc>
        <w:tc>
          <w:tcPr>
            <w:tcW w:w="1172" w:type="dxa"/>
            <w:tcBorders>
              <w:top w:val="nil"/>
              <w:left w:val="nil"/>
              <w:bottom w:val="nil"/>
              <w:right w:val="nil"/>
            </w:tcBorders>
          </w:tcPr>
          <w:p w14:paraId="1B8F4659" w14:textId="4727E6C5"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750</w:t>
            </w:r>
          </w:p>
        </w:tc>
        <w:tc>
          <w:tcPr>
            <w:tcW w:w="1269" w:type="dxa"/>
            <w:tcBorders>
              <w:top w:val="nil"/>
              <w:left w:val="nil"/>
              <w:bottom w:val="nil"/>
              <w:right w:val="nil"/>
            </w:tcBorders>
          </w:tcPr>
          <w:p w14:paraId="628A8511" w14:textId="423B4D9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750</w:t>
            </w:r>
          </w:p>
        </w:tc>
        <w:tc>
          <w:tcPr>
            <w:tcW w:w="1172" w:type="dxa"/>
            <w:tcBorders>
              <w:top w:val="nil"/>
              <w:left w:val="nil"/>
              <w:bottom w:val="nil"/>
              <w:right w:val="nil"/>
            </w:tcBorders>
          </w:tcPr>
          <w:p w14:paraId="771FDAFA" w14:textId="6F31478B" w:rsidR="00B427E3" w:rsidRPr="00D54599" w:rsidRDefault="007B24E5" w:rsidP="00B427E3">
            <w:pPr>
              <w:jc w:val="center"/>
              <w:rPr>
                <w:rFonts w:ascii="Times New Roman" w:hAnsi="Times New Roman" w:cs="Times New Roman"/>
              </w:rPr>
            </w:pPr>
            <w:r w:rsidRPr="00D54599">
              <w:rPr>
                <w:rFonts w:ascii="Times New Roman" w:hAnsi="Times New Roman" w:cs="Times New Roman"/>
              </w:rPr>
              <w:t>800</w:t>
            </w:r>
          </w:p>
        </w:tc>
        <w:tc>
          <w:tcPr>
            <w:tcW w:w="1269" w:type="dxa"/>
            <w:tcBorders>
              <w:top w:val="nil"/>
              <w:left w:val="nil"/>
              <w:bottom w:val="nil"/>
              <w:right w:val="nil"/>
            </w:tcBorders>
          </w:tcPr>
          <w:p w14:paraId="1C20A80D" w14:textId="119D06E7" w:rsidR="00B427E3" w:rsidRPr="00D54599" w:rsidRDefault="007B24E5" w:rsidP="00B427E3">
            <w:pPr>
              <w:jc w:val="center"/>
              <w:rPr>
                <w:rFonts w:ascii="Times New Roman" w:hAnsi="Times New Roman" w:cs="Times New Roman"/>
              </w:rPr>
            </w:pPr>
            <w:r w:rsidRPr="00D54599">
              <w:rPr>
                <w:rFonts w:ascii="Times New Roman" w:hAnsi="Times New Roman" w:cs="Times New Roman"/>
              </w:rPr>
              <w:t>800</w:t>
            </w:r>
          </w:p>
        </w:tc>
        <w:tc>
          <w:tcPr>
            <w:tcW w:w="1172" w:type="dxa"/>
            <w:tcBorders>
              <w:top w:val="nil"/>
              <w:left w:val="nil"/>
              <w:bottom w:val="nil"/>
              <w:right w:val="nil"/>
            </w:tcBorders>
          </w:tcPr>
          <w:p w14:paraId="2BDBBEAF" w14:textId="198B6B7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800</w:t>
            </w:r>
          </w:p>
        </w:tc>
        <w:tc>
          <w:tcPr>
            <w:tcW w:w="994" w:type="dxa"/>
            <w:tcBorders>
              <w:top w:val="nil"/>
              <w:left w:val="nil"/>
              <w:bottom w:val="nil"/>
              <w:right w:val="nil"/>
            </w:tcBorders>
          </w:tcPr>
          <w:p w14:paraId="282F0FC0" w14:textId="0105FB1C" w:rsidR="00B427E3" w:rsidRPr="00D54599" w:rsidRDefault="007B24E5" w:rsidP="00B427E3">
            <w:pPr>
              <w:jc w:val="center"/>
              <w:rPr>
                <w:rFonts w:ascii="Times New Roman" w:hAnsi="Times New Roman" w:cs="Times New Roman"/>
              </w:rPr>
            </w:pPr>
            <w:r w:rsidRPr="00D54599">
              <w:rPr>
                <w:rFonts w:ascii="Times New Roman" w:hAnsi="Times New Roman" w:cs="Times New Roman"/>
              </w:rPr>
              <w:t>800</w:t>
            </w:r>
          </w:p>
        </w:tc>
        <w:tc>
          <w:tcPr>
            <w:tcW w:w="994" w:type="dxa"/>
            <w:tcBorders>
              <w:top w:val="nil"/>
              <w:left w:val="nil"/>
              <w:bottom w:val="nil"/>
              <w:right w:val="nil"/>
            </w:tcBorders>
          </w:tcPr>
          <w:p w14:paraId="307BF9DD" w14:textId="5DD7B84A" w:rsidR="00B427E3" w:rsidRPr="00D54599" w:rsidRDefault="007B24E5" w:rsidP="00B427E3">
            <w:pPr>
              <w:jc w:val="center"/>
              <w:rPr>
                <w:rFonts w:ascii="Times New Roman" w:hAnsi="Times New Roman" w:cs="Times New Roman"/>
              </w:rPr>
            </w:pPr>
            <w:r w:rsidRPr="00D54599">
              <w:rPr>
                <w:rFonts w:ascii="Times New Roman" w:hAnsi="Times New Roman" w:cs="Times New Roman"/>
              </w:rPr>
              <w:t>800</w:t>
            </w:r>
          </w:p>
        </w:tc>
      </w:tr>
      <w:tr w:rsidR="00785BA1" w:rsidRPr="00D54599" w14:paraId="21883131" w14:textId="77777777" w:rsidTr="005667DC">
        <w:tc>
          <w:tcPr>
            <w:tcW w:w="2358" w:type="dxa"/>
            <w:tcBorders>
              <w:top w:val="nil"/>
              <w:left w:val="nil"/>
              <w:bottom w:val="nil"/>
              <w:right w:val="nil"/>
            </w:tcBorders>
          </w:tcPr>
          <w:p w14:paraId="2BDD2084" w14:textId="77777777" w:rsidR="00B427E3" w:rsidRPr="00D54599" w:rsidRDefault="00B427E3" w:rsidP="00C43940">
            <w:pPr>
              <w:rPr>
                <w:rFonts w:ascii="Times New Roman" w:hAnsi="Times New Roman" w:cs="Times New Roman"/>
              </w:rPr>
            </w:pPr>
            <w:r w:rsidRPr="00D54599">
              <w:rPr>
                <w:rFonts w:ascii="Times New Roman" w:hAnsi="Times New Roman" w:cs="Times New Roman"/>
              </w:rPr>
              <w:t>Iron (mg)</w:t>
            </w:r>
            <w:r w:rsidRPr="00D54599">
              <w:rPr>
                <w:rFonts w:ascii="Times New Roman" w:hAnsi="Times New Roman" w:cs="Times New Roman"/>
                <w:vertAlign w:val="superscript"/>
              </w:rPr>
              <w:t xml:space="preserve"> b</w:t>
            </w:r>
          </w:p>
        </w:tc>
        <w:tc>
          <w:tcPr>
            <w:tcW w:w="1049" w:type="dxa"/>
            <w:tcBorders>
              <w:top w:val="nil"/>
              <w:left w:val="nil"/>
              <w:bottom w:val="nil"/>
              <w:right w:val="nil"/>
            </w:tcBorders>
          </w:tcPr>
          <w:p w14:paraId="5D352DA3" w14:textId="23225379"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12</w:t>
            </w:r>
          </w:p>
        </w:tc>
        <w:tc>
          <w:tcPr>
            <w:tcW w:w="1172" w:type="dxa"/>
            <w:tcBorders>
              <w:top w:val="nil"/>
              <w:left w:val="nil"/>
              <w:bottom w:val="nil"/>
              <w:right w:val="nil"/>
            </w:tcBorders>
          </w:tcPr>
          <w:p w14:paraId="5C249D35" w14:textId="65CE37A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28</w:t>
            </w:r>
          </w:p>
        </w:tc>
        <w:tc>
          <w:tcPr>
            <w:tcW w:w="1269" w:type="dxa"/>
            <w:tcBorders>
              <w:top w:val="nil"/>
              <w:left w:val="nil"/>
              <w:bottom w:val="nil"/>
              <w:right w:val="nil"/>
            </w:tcBorders>
          </w:tcPr>
          <w:p w14:paraId="03AFCFAD" w14:textId="545D19BE"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12</w:t>
            </w:r>
          </w:p>
        </w:tc>
        <w:tc>
          <w:tcPr>
            <w:tcW w:w="1172" w:type="dxa"/>
            <w:tcBorders>
              <w:top w:val="nil"/>
              <w:left w:val="nil"/>
              <w:bottom w:val="nil"/>
              <w:right w:val="nil"/>
            </w:tcBorders>
          </w:tcPr>
          <w:p w14:paraId="0ABED606" w14:textId="5CCE46F7" w:rsidR="00B427E3" w:rsidRPr="00D54599" w:rsidRDefault="007B24E5" w:rsidP="00B427E3">
            <w:pPr>
              <w:jc w:val="center"/>
              <w:rPr>
                <w:rFonts w:ascii="Times New Roman" w:hAnsi="Times New Roman" w:cs="Times New Roman"/>
              </w:rPr>
            </w:pPr>
            <w:r w:rsidRPr="00D54599">
              <w:rPr>
                <w:rFonts w:ascii="Times New Roman" w:hAnsi="Times New Roman" w:cs="Times New Roman"/>
              </w:rPr>
              <w:t>28</w:t>
            </w:r>
          </w:p>
        </w:tc>
        <w:tc>
          <w:tcPr>
            <w:tcW w:w="1269" w:type="dxa"/>
            <w:tcBorders>
              <w:top w:val="nil"/>
              <w:left w:val="nil"/>
              <w:bottom w:val="nil"/>
              <w:right w:val="nil"/>
            </w:tcBorders>
          </w:tcPr>
          <w:p w14:paraId="5625642B" w14:textId="4A82165D"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12</w:t>
            </w:r>
          </w:p>
        </w:tc>
        <w:tc>
          <w:tcPr>
            <w:tcW w:w="1172" w:type="dxa"/>
            <w:tcBorders>
              <w:top w:val="nil"/>
              <w:left w:val="nil"/>
              <w:bottom w:val="nil"/>
              <w:right w:val="nil"/>
            </w:tcBorders>
          </w:tcPr>
          <w:p w14:paraId="7380A41A" w14:textId="13CD6873"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10</w:t>
            </w:r>
          </w:p>
        </w:tc>
        <w:tc>
          <w:tcPr>
            <w:tcW w:w="1269" w:type="dxa"/>
            <w:tcBorders>
              <w:top w:val="nil"/>
              <w:left w:val="nil"/>
              <w:bottom w:val="nil"/>
              <w:right w:val="nil"/>
            </w:tcBorders>
          </w:tcPr>
          <w:p w14:paraId="29247B86" w14:textId="22C55700"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12</w:t>
            </w:r>
          </w:p>
        </w:tc>
        <w:tc>
          <w:tcPr>
            <w:tcW w:w="1172" w:type="dxa"/>
            <w:tcBorders>
              <w:top w:val="nil"/>
              <w:left w:val="nil"/>
              <w:bottom w:val="nil"/>
              <w:right w:val="nil"/>
            </w:tcBorders>
          </w:tcPr>
          <w:p w14:paraId="77A383BE" w14:textId="67634717"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10</w:t>
            </w:r>
          </w:p>
        </w:tc>
        <w:tc>
          <w:tcPr>
            <w:tcW w:w="994" w:type="dxa"/>
            <w:tcBorders>
              <w:top w:val="nil"/>
              <w:left w:val="nil"/>
              <w:bottom w:val="nil"/>
              <w:right w:val="nil"/>
            </w:tcBorders>
          </w:tcPr>
          <w:p w14:paraId="5701F57A" w14:textId="414DFC34"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12</w:t>
            </w:r>
          </w:p>
        </w:tc>
        <w:tc>
          <w:tcPr>
            <w:tcW w:w="994" w:type="dxa"/>
            <w:tcBorders>
              <w:top w:val="nil"/>
              <w:left w:val="nil"/>
              <w:bottom w:val="nil"/>
              <w:right w:val="nil"/>
            </w:tcBorders>
          </w:tcPr>
          <w:p w14:paraId="01332111" w14:textId="7FD8BCF5" w:rsidR="00B427E3" w:rsidRPr="00D54599" w:rsidRDefault="007B24E5" w:rsidP="00B427E3">
            <w:pPr>
              <w:jc w:val="center"/>
              <w:rPr>
                <w:rFonts w:ascii="Times New Roman" w:hAnsi="Times New Roman" w:cs="Times New Roman"/>
              </w:rPr>
            </w:pPr>
            <w:r w:rsidRPr="00D54599">
              <w:rPr>
                <w:rFonts w:ascii="Times New Roman" w:hAnsi="Times New Roman" w:cs="Times New Roman"/>
              </w:rPr>
              <w:t>10</w:t>
            </w:r>
          </w:p>
        </w:tc>
      </w:tr>
      <w:tr w:rsidR="00785BA1" w:rsidRPr="00D54599" w14:paraId="19D80A5B" w14:textId="77777777" w:rsidTr="005667DC">
        <w:tc>
          <w:tcPr>
            <w:tcW w:w="2358" w:type="dxa"/>
            <w:tcBorders>
              <w:top w:val="nil"/>
              <w:left w:val="nil"/>
              <w:bottom w:val="nil"/>
              <w:right w:val="nil"/>
            </w:tcBorders>
          </w:tcPr>
          <w:p w14:paraId="00D3D822" w14:textId="77777777" w:rsidR="00B427E3" w:rsidRPr="00D54599" w:rsidRDefault="00B427E3" w:rsidP="00814B73">
            <w:pPr>
              <w:rPr>
                <w:rFonts w:ascii="Times New Roman" w:hAnsi="Times New Roman" w:cs="Times New Roman"/>
              </w:rPr>
            </w:pPr>
            <w:r w:rsidRPr="00D54599">
              <w:rPr>
                <w:rFonts w:ascii="Times New Roman" w:hAnsi="Times New Roman" w:cs="Times New Roman"/>
              </w:rPr>
              <w:t>Potassium (mg)</w:t>
            </w:r>
            <w:r w:rsidRPr="00D54599">
              <w:rPr>
                <w:rFonts w:ascii="Times New Roman" w:hAnsi="Times New Roman" w:cs="Times New Roman"/>
                <w:vertAlign w:val="superscript"/>
              </w:rPr>
              <w:t xml:space="preserve"> </w:t>
            </w:r>
            <w:r w:rsidR="00814B73" w:rsidRPr="00D54599">
              <w:rPr>
                <w:rFonts w:ascii="Times New Roman" w:hAnsi="Times New Roman" w:cs="Times New Roman"/>
                <w:vertAlign w:val="superscript"/>
              </w:rPr>
              <w:t>d</w:t>
            </w:r>
          </w:p>
        </w:tc>
        <w:tc>
          <w:tcPr>
            <w:tcW w:w="1049" w:type="dxa"/>
            <w:tcBorders>
              <w:top w:val="nil"/>
              <w:left w:val="nil"/>
              <w:bottom w:val="nil"/>
              <w:right w:val="nil"/>
            </w:tcBorders>
          </w:tcPr>
          <w:p w14:paraId="5A173939"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1172" w:type="dxa"/>
            <w:tcBorders>
              <w:top w:val="nil"/>
              <w:left w:val="nil"/>
              <w:bottom w:val="nil"/>
              <w:right w:val="nil"/>
            </w:tcBorders>
          </w:tcPr>
          <w:p w14:paraId="47FB2FFD"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1269" w:type="dxa"/>
            <w:tcBorders>
              <w:top w:val="nil"/>
              <w:left w:val="nil"/>
              <w:bottom w:val="nil"/>
              <w:right w:val="nil"/>
            </w:tcBorders>
          </w:tcPr>
          <w:p w14:paraId="0A6CD64E"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1172" w:type="dxa"/>
            <w:tcBorders>
              <w:top w:val="nil"/>
              <w:left w:val="nil"/>
              <w:bottom w:val="nil"/>
              <w:right w:val="nil"/>
            </w:tcBorders>
          </w:tcPr>
          <w:p w14:paraId="0C661634"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1269" w:type="dxa"/>
            <w:tcBorders>
              <w:top w:val="nil"/>
              <w:left w:val="nil"/>
              <w:bottom w:val="nil"/>
              <w:right w:val="nil"/>
            </w:tcBorders>
          </w:tcPr>
          <w:p w14:paraId="436E6E48"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1172" w:type="dxa"/>
            <w:tcBorders>
              <w:top w:val="nil"/>
              <w:left w:val="nil"/>
              <w:bottom w:val="nil"/>
              <w:right w:val="nil"/>
            </w:tcBorders>
          </w:tcPr>
          <w:p w14:paraId="7E898C21"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1269" w:type="dxa"/>
            <w:tcBorders>
              <w:top w:val="nil"/>
              <w:left w:val="nil"/>
              <w:bottom w:val="nil"/>
              <w:right w:val="nil"/>
            </w:tcBorders>
          </w:tcPr>
          <w:p w14:paraId="7DD1D53B"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1172" w:type="dxa"/>
            <w:tcBorders>
              <w:top w:val="nil"/>
              <w:left w:val="nil"/>
              <w:bottom w:val="nil"/>
              <w:right w:val="nil"/>
            </w:tcBorders>
          </w:tcPr>
          <w:p w14:paraId="75EE3363"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994" w:type="dxa"/>
            <w:tcBorders>
              <w:top w:val="nil"/>
              <w:left w:val="nil"/>
              <w:bottom w:val="nil"/>
              <w:right w:val="nil"/>
            </w:tcBorders>
          </w:tcPr>
          <w:p w14:paraId="4E366004"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c>
          <w:tcPr>
            <w:tcW w:w="994" w:type="dxa"/>
            <w:tcBorders>
              <w:top w:val="nil"/>
              <w:left w:val="nil"/>
              <w:bottom w:val="nil"/>
              <w:right w:val="nil"/>
            </w:tcBorders>
          </w:tcPr>
          <w:p w14:paraId="170E4775"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2000</w:t>
            </w:r>
          </w:p>
        </w:tc>
      </w:tr>
      <w:tr w:rsidR="00785BA1" w:rsidRPr="00D54599" w14:paraId="3290D72D" w14:textId="77777777" w:rsidTr="005667DC">
        <w:tc>
          <w:tcPr>
            <w:tcW w:w="2358" w:type="dxa"/>
            <w:tcBorders>
              <w:top w:val="nil"/>
              <w:left w:val="nil"/>
              <w:bottom w:val="nil"/>
              <w:right w:val="nil"/>
            </w:tcBorders>
          </w:tcPr>
          <w:p w14:paraId="1011F70A" w14:textId="77777777" w:rsidR="00B427E3" w:rsidRPr="00D54599" w:rsidRDefault="00B427E3" w:rsidP="007E77E3">
            <w:pPr>
              <w:rPr>
                <w:rFonts w:ascii="Times New Roman" w:hAnsi="Times New Roman" w:cs="Times New Roman"/>
              </w:rPr>
            </w:pPr>
            <w:r w:rsidRPr="00D54599">
              <w:rPr>
                <w:rFonts w:ascii="Times New Roman" w:hAnsi="Times New Roman" w:cs="Times New Roman"/>
              </w:rPr>
              <w:t>Magnesium (mg)</w:t>
            </w:r>
            <w:r w:rsidRPr="00D54599">
              <w:rPr>
                <w:rFonts w:ascii="Times New Roman" w:hAnsi="Times New Roman" w:cs="Times New Roman"/>
                <w:vertAlign w:val="superscript"/>
              </w:rPr>
              <w:t xml:space="preserve"> </w:t>
            </w:r>
            <w:r w:rsidR="007E77E3" w:rsidRPr="00D54599">
              <w:rPr>
                <w:rFonts w:ascii="Times New Roman" w:hAnsi="Times New Roman" w:cs="Times New Roman"/>
                <w:vertAlign w:val="superscript"/>
              </w:rPr>
              <w:t>i</w:t>
            </w:r>
          </w:p>
        </w:tc>
        <w:tc>
          <w:tcPr>
            <w:tcW w:w="1049" w:type="dxa"/>
            <w:tcBorders>
              <w:top w:val="nil"/>
              <w:left w:val="nil"/>
              <w:bottom w:val="nil"/>
              <w:right w:val="nil"/>
            </w:tcBorders>
          </w:tcPr>
          <w:p w14:paraId="1C3EF408"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240</w:t>
            </w:r>
          </w:p>
        </w:tc>
        <w:tc>
          <w:tcPr>
            <w:tcW w:w="1172" w:type="dxa"/>
            <w:tcBorders>
              <w:top w:val="nil"/>
              <w:left w:val="nil"/>
              <w:bottom w:val="nil"/>
              <w:right w:val="nil"/>
            </w:tcBorders>
          </w:tcPr>
          <w:p w14:paraId="36248FA1"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210</w:t>
            </w:r>
          </w:p>
        </w:tc>
        <w:tc>
          <w:tcPr>
            <w:tcW w:w="1269" w:type="dxa"/>
            <w:tcBorders>
              <w:top w:val="nil"/>
              <w:left w:val="nil"/>
              <w:bottom w:val="nil"/>
              <w:right w:val="nil"/>
            </w:tcBorders>
          </w:tcPr>
          <w:p w14:paraId="33A6DA39"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240</w:t>
            </w:r>
          </w:p>
        </w:tc>
        <w:tc>
          <w:tcPr>
            <w:tcW w:w="1172" w:type="dxa"/>
            <w:tcBorders>
              <w:top w:val="nil"/>
              <w:left w:val="nil"/>
              <w:bottom w:val="nil"/>
              <w:right w:val="nil"/>
            </w:tcBorders>
          </w:tcPr>
          <w:p w14:paraId="230E822B"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210</w:t>
            </w:r>
          </w:p>
        </w:tc>
        <w:tc>
          <w:tcPr>
            <w:tcW w:w="1269" w:type="dxa"/>
            <w:tcBorders>
              <w:top w:val="nil"/>
              <w:left w:val="nil"/>
              <w:bottom w:val="nil"/>
              <w:right w:val="nil"/>
            </w:tcBorders>
          </w:tcPr>
          <w:p w14:paraId="7EA46DB4"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240</w:t>
            </w:r>
          </w:p>
        </w:tc>
        <w:tc>
          <w:tcPr>
            <w:tcW w:w="1172" w:type="dxa"/>
            <w:tcBorders>
              <w:top w:val="nil"/>
              <w:left w:val="nil"/>
              <w:bottom w:val="nil"/>
              <w:right w:val="nil"/>
            </w:tcBorders>
          </w:tcPr>
          <w:p w14:paraId="05119A8A"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210</w:t>
            </w:r>
          </w:p>
        </w:tc>
        <w:tc>
          <w:tcPr>
            <w:tcW w:w="1269" w:type="dxa"/>
            <w:tcBorders>
              <w:top w:val="nil"/>
              <w:left w:val="nil"/>
              <w:bottom w:val="nil"/>
              <w:right w:val="nil"/>
            </w:tcBorders>
          </w:tcPr>
          <w:p w14:paraId="0F625543"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240</w:t>
            </w:r>
          </w:p>
        </w:tc>
        <w:tc>
          <w:tcPr>
            <w:tcW w:w="1172" w:type="dxa"/>
            <w:tcBorders>
              <w:top w:val="nil"/>
              <w:left w:val="nil"/>
              <w:bottom w:val="nil"/>
              <w:right w:val="nil"/>
            </w:tcBorders>
          </w:tcPr>
          <w:p w14:paraId="4A6D9680"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210</w:t>
            </w:r>
          </w:p>
        </w:tc>
        <w:tc>
          <w:tcPr>
            <w:tcW w:w="994" w:type="dxa"/>
            <w:tcBorders>
              <w:top w:val="nil"/>
              <w:left w:val="nil"/>
              <w:bottom w:val="nil"/>
              <w:right w:val="nil"/>
            </w:tcBorders>
          </w:tcPr>
          <w:p w14:paraId="693377F3"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240</w:t>
            </w:r>
          </w:p>
        </w:tc>
        <w:tc>
          <w:tcPr>
            <w:tcW w:w="994" w:type="dxa"/>
            <w:tcBorders>
              <w:top w:val="nil"/>
              <w:left w:val="nil"/>
              <w:bottom w:val="nil"/>
              <w:right w:val="nil"/>
            </w:tcBorders>
          </w:tcPr>
          <w:p w14:paraId="768DA21B" w14:textId="77777777" w:rsidR="00B427E3" w:rsidRPr="00D54599" w:rsidRDefault="00B427E3" w:rsidP="00B427E3">
            <w:pPr>
              <w:jc w:val="center"/>
              <w:rPr>
                <w:rFonts w:ascii="Times New Roman" w:hAnsi="Times New Roman" w:cs="Times New Roman"/>
              </w:rPr>
            </w:pPr>
            <w:r w:rsidRPr="00D54599">
              <w:rPr>
                <w:rFonts w:ascii="Times New Roman" w:hAnsi="Times New Roman" w:cs="Times New Roman"/>
              </w:rPr>
              <w:t>210</w:t>
            </w:r>
          </w:p>
        </w:tc>
      </w:tr>
      <w:tr w:rsidR="005667DC" w:rsidRPr="00D54599" w14:paraId="779032BB" w14:textId="77777777" w:rsidTr="005667DC">
        <w:trPr>
          <w:trHeight w:val="639"/>
        </w:trPr>
        <w:tc>
          <w:tcPr>
            <w:tcW w:w="13890" w:type="dxa"/>
            <w:gridSpan w:val="11"/>
            <w:tcBorders>
              <w:top w:val="nil"/>
              <w:left w:val="nil"/>
              <w:bottom w:val="nil"/>
              <w:right w:val="nil"/>
            </w:tcBorders>
            <w:vAlign w:val="center"/>
          </w:tcPr>
          <w:p w14:paraId="75090EF8" w14:textId="6A36F182" w:rsidR="005667DC" w:rsidRPr="00D54599" w:rsidRDefault="005667DC" w:rsidP="005667DC">
            <w:pPr>
              <w:rPr>
                <w:rFonts w:ascii="Times New Roman" w:hAnsi="Times New Roman" w:cs="Times New Roman"/>
              </w:rPr>
            </w:pPr>
            <w:r w:rsidRPr="00D54599">
              <w:rPr>
                <w:rFonts w:ascii="Times New Roman" w:hAnsi="Times New Roman" w:cs="Times New Roman"/>
                <w:i/>
              </w:rPr>
              <w:t>Nutrients to Limit</w:t>
            </w:r>
          </w:p>
        </w:tc>
      </w:tr>
      <w:tr w:rsidR="00785BA1" w:rsidRPr="00D54599" w14:paraId="3334B6C7" w14:textId="77777777" w:rsidTr="005667DC">
        <w:tc>
          <w:tcPr>
            <w:tcW w:w="2358" w:type="dxa"/>
            <w:tcBorders>
              <w:top w:val="nil"/>
              <w:left w:val="nil"/>
              <w:bottom w:val="nil"/>
              <w:right w:val="nil"/>
            </w:tcBorders>
          </w:tcPr>
          <w:p w14:paraId="71F72CD6" w14:textId="77777777" w:rsidR="00B427E3" w:rsidRPr="00D54599" w:rsidRDefault="00B427E3" w:rsidP="00814B73">
            <w:pPr>
              <w:rPr>
                <w:rFonts w:ascii="Times New Roman" w:hAnsi="Times New Roman" w:cs="Times New Roman"/>
              </w:rPr>
            </w:pPr>
            <w:r w:rsidRPr="00D54599">
              <w:rPr>
                <w:rFonts w:ascii="Times New Roman" w:hAnsi="Times New Roman" w:cs="Times New Roman"/>
              </w:rPr>
              <w:t>Total sugars (g)</w:t>
            </w:r>
            <w:r w:rsidR="00814B73" w:rsidRPr="00D54599">
              <w:rPr>
                <w:rFonts w:ascii="Times New Roman" w:hAnsi="Times New Roman" w:cs="Times New Roman"/>
                <w:vertAlign w:val="superscript"/>
              </w:rPr>
              <w:t>e</w:t>
            </w:r>
          </w:p>
        </w:tc>
        <w:tc>
          <w:tcPr>
            <w:tcW w:w="1049" w:type="dxa"/>
            <w:tcBorders>
              <w:top w:val="nil"/>
              <w:left w:val="nil"/>
              <w:bottom w:val="nil"/>
              <w:right w:val="nil"/>
            </w:tcBorders>
          </w:tcPr>
          <w:p w14:paraId="32800627" w14:textId="4B70FE59" w:rsidR="00B427E3" w:rsidRPr="00D54599" w:rsidRDefault="004D2502" w:rsidP="00B427E3">
            <w:pPr>
              <w:jc w:val="center"/>
              <w:rPr>
                <w:rFonts w:ascii="Times New Roman" w:hAnsi="Times New Roman" w:cs="Times New Roman"/>
              </w:rPr>
            </w:pPr>
            <w:r w:rsidRPr="00D54599">
              <w:rPr>
                <w:rFonts w:ascii="Times New Roman" w:hAnsi="Times New Roman" w:cs="Times New Roman"/>
              </w:rPr>
              <w:t>63.3</w:t>
            </w:r>
          </w:p>
        </w:tc>
        <w:tc>
          <w:tcPr>
            <w:tcW w:w="1172" w:type="dxa"/>
            <w:tcBorders>
              <w:top w:val="nil"/>
              <w:left w:val="nil"/>
              <w:bottom w:val="nil"/>
              <w:right w:val="nil"/>
            </w:tcBorders>
          </w:tcPr>
          <w:p w14:paraId="7478DC1C" w14:textId="35521957" w:rsidR="00B427E3" w:rsidRPr="00D54599" w:rsidRDefault="004D2502" w:rsidP="00917E88">
            <w:pPr>
              <w:jc w:val="center"/>
              <w:rPr>
                <w:rFonts w:ascii="Times New Roman" w:hAnsi="Times New Roman" w:cs="Times New Roman"/>
              </w:rPr>
            </w:pPr>
            <w:r w:rsidRPr="00D54599">
              <w:rPr>
                <w:rFonts w:ascii="Times New Roman" w:hAnsi="Times New Roman" w:cs="Times New Roman"/>
              </w:rPr>
              <w:t>48.3</w:t>
            </w:r>
          </w:p>
        </w:tc>
        <w:tc>
          <w:tcPr>
            <w:tcW w:w="1269" w:type="dxa"/>
            <w:tcBorders>
              <w:top w:val="nil"/>
              <w:left w:val="nil"/>
              <w:bottom w:val="nil"/>
              <w:right w:val="nil"/>
            </w:tcBorders>
          </w:tcPr>
          <w:p w14:paraId="5BA1051F" w14:textId="3094B382" w:rsidR="00B427E3" w:rsidRPr="00D54599" w:rsidRDefault="004D2502" w:rsidP="00B427E3">
            <w:pPr>
              <w:jc w:val="center"/>
              <w:rPr>
                <w:rFonts w:ascii="Times New Roman" w:hAnsi="Times New Roman" w:cs="Times New Roman"/>
              </w:rPr>
            </w:pPr>
            <w:r w:rsidRPr="00D54599">
              <w:rPr>
                <w:rFonts w:ascii="Times New Roman" w:hAnsi="Times New Roman" w:cs="Times New Roman"/>
              </w:rPr>
              <w:t>60.5</w:t>
            </w:r>
          </w:p>
        </w:tc>
        <w:tc>
          <w:tcPr>
            <w:tcW w:w="1172" w:type="dxa"/>
            <w:tcBorders>
              <w:top w:val="nil"/>
              <w:left w:val="nil"/>
              <w:bottom w:val="nil"/>
              <w:right w:val="nil"/>
            </w:tcBorders>
          </w:tcPr>
          <w:p w14:paraId="4B4E6647" w14:textId="7CA57873" w:rsidR="00B427E3" w:rsidRPr="00D54599" w:rsidRDefault="004D2502" w:rsidP="00B427E3">
            <w:pPr>
              <w:jc w:val="center"/>
              <w:rPr>
                <w:rFonts w:ascii="Times New Roman" w:hAnsi="Times New Roman" w:cs="Times New Roman"/>
              </w:rPr>
            </w:pPr>
            <w:r w:rsidRPr="00D54599">
              <w:rPr>
                <w:rFonts w:ascii="Times New Roman" w:hAnsi="Times New Roman" w:cs="Times New Roman"/>
              </w:rPr>
              <w:t>46.8</w:t>
            </w:r>
          </w:p>
        </w:tc>
        <w:tc>
          <w:tcPr>
            <w:tcW w:w="1269" w:type="dxa"/>
            <w:tcBorders>
              <w:top w:val="nil"/>
              <w:left w:val="nil"/>
              <w:bottom w:val="nil"/>
              <w:right w:val="nil"/>
            </w:tcBorders>
          </w:tcPr>
          <w:p w14:paraId="19B6A0D7" w14:textId="554D5057" w:rsidR="00B427E3" w:rsidRPr="00D54599" w:rsidRDefault="004D2502" w:rsidP="00B427E3">
            <w:pPr>
              <w:jc w:val="center"/>
              <w:rPr>
                <w:rFonts w:ascii="Times New Roman" w:hAnsi="Times New Roman" w:cs="Times New Roman"/>
              </w:rPr>
            </w:pPr>
            <w:r w:rsidRPr="00D54599">
              <w:rPr>
                <w:rFonts w:ascii="Times New Roman" w:hAnsi="Times New Roman" w:cs="Times New Roman"/>
              </w:rPr>
              <w:t>60.5</w:t>
            </w:r>
          </w:p>
        </w:tc>
        <w:tc>
          <w:tcPr>
            <w:tcW w:w="1172" w:type="dxa"/>
            <w:tcBorders>
              <w:top w:val="nil"/>
              <w:left w:val="nil"/>
              <w:bottom w:val="nil"/>
              <w:right w:val="nil"/>
            </w:tcBorders>
          </w:tcPr>
          <w:p w14:paraId="0E4512ED" w14:textId="2F77E1B6" w:rsidR="00B427E3" w:rsidRPr="00D54599" w:rsidRDefault="004D2502" w:rsidP="00B427E3">
            <w:pPr>
              <w:jc w:val="center"/>
              <w:rPr>
                <w:rFonts w:ascii="Times New Roman" w:hAnsi="Times New Roman" w:cs="Times New Roman"/>
              </w:rPr>
            </w:pPr>
            <w:r w:rsidRPr="00D54599">
              <w:rPr>
                <w:rFonts w:ascii="Times New Roman" w:hAnsi="Times New Roman" w:cs="Times New Roman"/>
              </w:rPr>
              <w:t>46.8</w:t>
            </w:r>
          </w:p>
        </w:tc>
        <w:tc>
          <w:tcPr>
            <w:tcW w:w="1269" w:type="dxa"/>
            <w:tcBorders>
              <w:top w:val="nil"/>
              <w:left w:val="nil"/>
              <w:bottom w:val="nil"/>
              <w:right w:val="nil"/>
            </w:tcBorders>
          </w:tcPr>
          <w:p w14:paraId="0AF3D821" w14:textId="0C3F4D35" w:rsidR="00B427E3" w:rsidRPr="00D54599" w:rsidRDefault="004D2502" w:rsidP="00B427E3">
            <w:pPr>
              <w:jc w:val="center"/>
              <w:rPr>
                <w:rFonts w:ascii="Times New Roman" w:hAnsi="Times New Roman" w:cs="Times New Roman"/>
              </w:rPr>
            </w:pPr>
            <w:r w:rsidRPr="00D54599">
              <w:rPr>
                <w:rFonts w:ascii="Times New Roman" w:hAnsi="Times New Roman" w:cs="Times New Roman"/>
              </w:rPr>
              <w:t>53.5</w:t>
            </w:r>
          </w:p>
        </w:tc>
        <w:tc>
          <w:tcPr>
            <w:tcW w:w="1172" w:type="dxa"/>
            <w:tcBorders>
              <w:top w:val="nil"/>
              <w:left w:val="nil"/>
              <w:bottom w:val="nil"/>
              <w:right w:val="nil"/>
            </w:tcBorders>
          </w:tcPr>
          <w:p w14:paraId="47B72F26" w14:textId="782C1C3A" w:rsidR="00B427E3" w:rsidRPr="00D54599" w:rsidRDefault="004D2502" w:rsidP="00B427E3">
            <w:pPr>
              <w:jc w:val="center"/>
              <w:rPr>
                <w:rFonts w:ascii="Times New Roman" w:hAnsi="Times New Roman" w:cs="Times New Roman"/>
              </w:rPr>
            </w:pPr>
            <w:r w:rsidRPr="00D54599">
              <w:rPr>
                <w:rFonts w:ascii="Times New Roman" w:hAnsi="Times New Roman" w:cs="Times New Roman"/>
              </w:rPr>
              <w:t>40.3</w:t>
            </w:r>
          </w:p>
        </w:tc>
        <w:tc>
          <w:tcPr>
            <w:tcW w:w="994" w:type="dxa"/>
            <w:tcBorders>
              <w:top w:val="nil"/>
              <w:left w:val="nil"/>
              <w:bottom w:val="nil"/>
              <w:right w:val="nil"/>
            </w:tcBorders>
          </w:tcPr>
          <w:p w14:paraId="59989161" w14:textId="51F6CF05" w:rsidR="00B427E3" w:rsidRPr="00D54599" w:rsidRDefault="004D2502" w:rsidP="00B427E3">
            <w:pPr>
              <w:jc w:val="center"/>
              <w:rPr>
                <w:rFonts w:ascii="Times New Roman" w:hAnsi="Times New Roman" w:cs="Times New Roman"/>
              </w:rPr>
            </w:pPr>
            <w:r w:rsidRPr="00D54599">
              <w:rPr>
                <w:rFonts w:ascii="Times New Roman" w:hAnsi="Times New Roman" w:cs="Times New Roman"/>
              </w:rPr>
              <w:t>49.0</w:t>
            </w:r>
          </w:p>
        </w:tc>
        <w:tc>
          <w:tcPr>
            <w:tcW w:w="994" w:type="dxa"/>
            <w:tcBorders>
              <w:top w:val="nil"/>
              <w:left w:val="nil"/>
              <w:bottom w:val="nil"/>
              <w:right w:val="nil"/>
            </w:tcBorders>
          </w:tcPr>
          <w:p w14:paraId="4D0E2881" w14:textId="79DEE8EC" w:rsidR="00B427E3" w:rsidRPr="00D54599" w:rsidRDefault="004D2502" w:rsidP="00B427E3">
            <w:pPr>
              <w:jc w:val="center"/>
              <w:rPr>
                <w:rFonts w:ascii="Times New Roman" w:hAnsi="Times New Roman" w:cs="Times New Roman"/>
              </w:rPr>
            </w:pPr>
            <w:r w:rsidRPr="00D54599">
              <w:rPr>
                <w:rFonts w:ascii="Times New Roman" w:hAnsi="Times New Roman" w:cs="Times New Roman"/>
              </w:rPr>
              <w:t>38.5</w:t>
            </w:r>
          </w:p>
        </w:tc>
      </w:tr>
      <w:tr w:rsidR="00785BA1" w:rsidRPr="00D54599" w14:paraId="7BE55B2F" w14:textId="77777777" w:rsidTr="005667DC">
        <w:tc>
          <w:tcPr>
            <w:tcW w:w="2358" w:type="dxa"/>
            <w:tcBorders>
              <w:top w:val="nil"/>
              <w:left w:val="nil"/>
              <w:bottom w:val="nil"/>
              <w:right w:val="nil"/>
            </w:tcBorders>
          </w:tcPr>
          <w:p w14:paraId="0854C8F0" w14:textId="77777777" w:rsidR="00B427E3" w:rsidRPr="00D54599" w:rsidRDefault="00B427E3" w:rsidP="00814B73">
            <w:pPr>
              <w:rPr>
                <w:rFonts w:ascii="Times New Roman" w:hAnsi="Times New Roman" w:cs="Times New Roman"/>
              </w:rPr>
            </w:pPr>
            <w:r w:rsidRPr="00D54599">
              <w:rPr>
                <w:rFonts w:ascii="Times New Roman" w:hAnsi="Times New Roman" w:cs="Times New Roman"/>
              </w:rPr>
              <w:t>Saturated Fats (g)</w:t>
            </w:r>
            <w:r w:rsidR="00C301BB" w:rsidRPr="00D54599">
              <w:rPr>
                <w:rFonts w:ascii="Times New Roman" w:hAnsi="Times New Roman" w:cs="Times New Roman"/>
                <w:vertAlign w:val="superscript"/>
              </w:rPr>
              <w:t>f</w:t>
            </w:r>
            <w:r w:rsidR="00DC14AE" w:rsidRPr="00D54599">
              <w:rPr>
                <w:rFonts w:ascii="Times New Roman" w:hAnsi="Times New Roman" w:cs="Times New Roman"/>
                <w:vertAlign w:val="superscript"/>
              </w:rPr>
              <w:t>,</w:t>
            </w:r>
            <w:r w:rsidR="00814B73" w:rsidRPr="00D54599">
              <w:rPr>
                <w:rFonts w:ascii="Times New Roman" w:hAnsi="Times New Roman" w:cs="Times New Roman"/>
                <w:vertAlign w:val="superscript"/>
              </w:rPr>
              <w:t>g</w:t>
            </w:r>
          </w:p>
        </w:tc>
        <w:tc>
          <w:tcPr>
            <w:tcW w:w="1049" w:type="dxa"/>
            <w:tcBorders>
              <w:top w:val="nil"/>
              <w:left w:val="nil"/>
              <w:bottom w:val="nil"/>
              <w:right w:val="nil"/>
            </w:tcBorders>
          </w:tcPr>
          <w:p w14:paraId="37AD4E18"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19.7</w:t>
            </w:r>
          </w:p>
        </w:tc>
        <w:tc>
          <w:tcPr>
            <w:tcW w:w="1172" w:type="dxa"/>
            <w:tcBorders>
              <w:top w:val="nil"/>
              <w:left w:val="nil"/>
              <w:bottom w:val="nil"/>
              <w:right w:val="nil"/>
            </w:tcBorders>
          </w:tcPr>
          <w:p w14:paraId="0E99BD52"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15.0</w:t>
            </w:r>
          </w:p>
        </w:tc>
        <w:tc>
          <w:tcPr>
            <w:tcW w:w="1269" w:type="dxa"/>
            <w:tcBorders>
              <w:top w:val="nil"/>
              <w:left w:val="nil"/>
              <w:bottom w:val="nil"/>
              <w:right w:val="nil"/>
            </w:tcBorders>
          </w:tcPr>
          <w:p w14:paraId="3B00BB05"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18.8</w:t>
            </w:r>
          </w:p>
        </w:tc>
        <w:tc>
          <w:tcPr>
            <w:tcW w:w="1172" w:type="dxa"/>
            <w:tcBorders>
              <w:top w:val="nil"/>
              <w:left w:val="nil"/>
              <w:bottom w:val="nil"/>
              <w:right w:val="nil"/>
            </w:tcBorders>
          </w:tcPr>
          <w:p w14:paraId="26138C8E"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14.5</w:t>
            </w:r>
          </w:p>
        </w:tc>
        <w:tc>
          <w:tcPr>
            <w:tcW w:w="1269" w:type="dxa"/>
            <w:tcBorders>
              <w:top w:val="nil"/>
              <w:left w:val="nil"/>
              <w:bottom w:val="nil"/>
              <w:right w:val="nil"/>
            </w:tcBorders>
          </w:tcPr>
          <w:p w14:paraId="5703DFFA"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18.8</w:t>
            </w:r>
          </w:p>
        </w:tc>
        <w:tc>
          <w:tcPr>
            <w:tcW w:w="1172" w:type="dxa"/>
            <w:tcBorders>
              <w:top w:val="nil"/>
              <w:left w:val="nil"/>
              <w:bottom w:val="nil"/>
              <w:right w:val="nil"/>
            </w:tcBorders>
          </w:tcPr>
          <w:p w14:paraId="4AB46318"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14.5</w:t>
            </w:r>
          </w:p>
        </w:tc>
        <w:tc>
          <w:tcPr>
            <w:tcW w:w="1269" w:type="dxa"/>
            <w:tcBorders>
              <w:top w:val="nil"/>
              <w:left w:val="nil"/>
              <w:bottom w:val="nil"/>
              <w:right w:val="nil"/>
            </w:tcBorders>
          </w:tcPr>
          <w:p w14:paraId="054A716E"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16.6</w:t>
            </w:r>
          </w:p>
        </w:tc>
        <w:tc>
          <w:tcPr>
            <w:tcW w:w="1172" w:type="dxa"/>
            <w:tcBorders>
              <w:top w:val="nil"/>
              <w:left w:val="nil"/>
              <w:bottom w:val="nil"/>
              <w:right w:val="nil"/>
            </w:tcBorders>
          </w:tcPr>
          <w:p w14:paraId="13EE370B"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12.5</w:t>
            </w:r>
          </w:p>
        </w:tc>
        <w:tc>
          <w:tcPr>
            <w:tcW w:w="994" w:type="dxa"/>
            <w:tcBorders>
              <w:top w:val="nil"/>
              <w:left w:val="nil"/>
              <w:bottom w:val="nil"/>
              <w:right w:val="nil"/>
            </w:tcBorders>
          </w:tcPr>
          <w:p w14:paraId="34C26FAC"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15.2</w:t>
            </w:r>
          </w:p>
        </w:tc>
        <w:tc>
          <w:tcPr>
            <w:tcW w:w="994" w:type="dxa"/>
            <w:tcBorders>
              <w:top w:val="nil"/>
              <w:left w:val="nil"/>
              <w:bottom w:val="nil"/>
              <w:right w:val="nil"/>
            </w:tcBorders>
          </w:tcPr>
          <w:p w14:paraId="2242E8B0" w14:textId="77777777" w:rsidR="00B427E3" w:rsidRPr="00D54599" w:rsidRDefault="00933066" w:rsidP="00B427E3">
            <w:pPr>
              <w:jc w:val="center"/>
              <w:rPr>
                <w:rFonts w:ascii="Times New Roman" w:hAnsi="Times New Roman" w:cs="Times New Roman"/>
              </w:rPr>
            </w:pPr>
            <w:r w:rsidRPr="00D54599">
              <w:rPr>
                <w:rFonts w:ascii="Times New Roman" w:hAnsi="Times New Roman" w:cs="Times New Roman"/>
              </w:rPr>
              <w:t>12.0</w:t>
            </w:r>
          </w:p>
        </w:tc>
      </w:tr>
      <w:tr w:rsidR="00785BA1" w:rsidRPr="00D54599" w14:paraId="7A1C7CDC" w14:textId="77777777" w:rsidTr="005667DC">
        <w:trPr>
          <w:trHeight w:val="74"/>
        </w:trPr>
        <w:tc>
          <w:tcPr>
            <w:tcW w:w="2358" w:type="dxa"/>
            <w:tcBorders>
              <w:top w:val="nil"/>
              <w:left w:val="nil"/>
              <w:bottom w:val="single" w:sz="4" w:space="0" w:color="auto"/>
              <w:right w:val="nil"/>
            </w:tcBorders>
          </w:tcPr>
          <w:p w14:paraId="28E82392" w14:textId="77777777" w:rsidR="00B427E3" w:rsidRPr="00D54599" w:rsidRDefault="00B427E3" w:rsidP="00814B73">
            <w:pPr>
              <w:rPr>
                <w:rFonts w:ascii="Times New Roman" w:hAnsi="Times New Roman" w:cs="Times New Roman"/>
              </w:rPr>
            </w:pPr>
            <w:r w:rsidRPr="00D54599">
              <w:rPr>
                <w:rFonts w:ascii="Times New Roman" w:hAnsi="Times New Roman" w:cs="Times New Roman"/>
              </w:rPr>
              <w:t>Sodium (</w:t>
            </w:r>
            <w:r w:rsidR="00B510B3" w:rsidRPr="00D54599">
              <w:rPr>
                <w:rFonts w:ascii="Times New Roman" w:hAnsi="Times New Roman" w:cs="Times New Roman"/>
              </w:rPr>
              <w:t>mg</w:t>
            </w:r>
            <w:r w:rsidRPr="00D54599">
              <w:rPr>
                <w:rFonts w:ascii="Times New Roman" w:hAnsi="Times New Roman" w:cs="Times New Roman"/>
              </w:rPr>
              <w:t>)</w:t>
            </w:r>
            <w:r w:rsidR="00814B73" w:rsidRPr="00D54599">
              <w:rPr>
                <w:rFonts w:ascii="Times New Roman" w:hAnsi="Times New Roman" w:cs="Times New Roman"/>
                <w:vertAlign w:val="superscript"/>
              </w:rPr>
              <w:t>h</w:t>
            </w:r>
          </w:p>
        </w:tc>
        <w:tc>
          <w:tcPr>
            <w:tcW w:w="1049" w:type="dxa"/>
            <w:tcBorders>
              <w:top w:val="nil"/>
              <w:left w:val="nil"/>
              <w:bottom w:val="single" w:sz="4" w:space="0" w:color="auto"/>
              <w:right w:val="nil"/>
            </w:tcBorders>
          </w:tcPr>
          <w:p w14:paraId="6CA95780"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1500</w:t>
            </w:r>
          </w:p>
        </w:tc>
        <w:tc>
          <w:tcPr>
            <w:tcW w:w="1172" w:type="dxa"/>
            <w:tcBorders>
              <w:top w:val="nil"/>
              <w:left w:val="nil"/>
              <w:bottom w:val="single" w:sz="4" w:space="0" w:color="auto"/>
              <w:right w:val="nil"/>
            </w:tcBorders>
          </w:tcPr>
          <w:p w14:paraId="378EC3EF"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1500</w:t>
            </w:r>
          </w:p>
        </w:tc>
        <w:tc>
          <w:tcPr>
            <w:tcW w:w="1269" w:type="dxa"/>
            <w:tcBorders>
              <w:top w:val="nil"/>
              <w:left w:val="nil"/>
              <w:bottom w:val="single" w:sz="4" w:space="0" w:color="auto"/>
              <w:right w:val="nil"/>
            </w:tcBorders>
          </w:tcPr>
          <w:p w14:paraId="7AFF7A2B"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1500</w:t>
            </w:r>
          </w:p>
        </w:tc>
        <w:tc>
          <w:tcPr>
            <w:tcW w:w="1172" w:type="dxa"/>
            <w:tcBorders>
              <w:top w:val="nil"/>
              <w:left w:val="nil"/>
              <w:bottom w:val="single" w:sz="4" w:space="0" w:color="auto"/>
              <w:right w:val="nil"/>
            </w:tcBorders>
          </w:tcPr>
          <w:p w14:paraId="35FEB55D"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1500</w:t>
            </w:r>
          </w:p>
        </w:tc>
        <w:tc>
          <w:tcPr>
            <w:tcW w:w="1269" w:type="dxa"/>
            <w:tcBorders>
              <w:top w:val="nil"/>
              <w:left w:val="nil"/>
              <w:bottom w:val="single" w:sz="4" w:space="0" w:color="auto"/>
              <w:right w:val="nil"/>
            </w:tcBorders>
          </w:tcPr>
          <w:p w14:paraId="07808070"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1300</w:t>
            </w:r>
          </w:p>
        </w:tc>
        <w:tc>
          <w:tcPr>
            <w:tcW w:w="1172" w:type="dxa"/>
            <w:tcBorders>
              <w:top w:val="nil"/>
              <w:left w:val="nil"/>
              <w:bottom w:val="single" w:sz="4" w:space="0" w:color="auto"/>
              <w:right w:val="nil"/>
            </w:tcBorders>
          </w:tcPr>
          <w:p w14:paraId="67CBFF62"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1300</w:t>
            </w:r>
          </w:p>
        </w:tc>
        <w:tc>
          <w:tcPr>
            <w:tcW w:w="1269" w:type="dxa"/>
            <w:tcBorders>
              <w:top w:val="nil"/>
              <w:left w:val="nil"/>
              <w:bottom w:val="single" w:sz="4" w:space="0" w:color="auto"/>
              <w:right w:val="nil"/>
            </w:tcBorders>
          </w:tcPr>
          <w:p w14:paraId="1811435F"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1300</w:t>
            </w:r>
          </w:p>
        </w:tc>
        <w:tc>
          <w:tcPr>
            <w:tcW w:w="1172" w:type="dxa"/>
            <w:tcBorders>
              <w:top w:val="nil"/>
              <w:left w:val="nil"/>
              <w:bottom w:val="single" w:sz="4" w:space="0" w:color="auto"/>
              <w:right w:val="nil"/>
            </w:tcBorders>
          </w:tcPr>
          <w:p w14:paraId="69525526"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1300</w:t>
            </w:r>
          </w:p>
        </w:tc>
        <w:tc>
          <w:tcPr>
            <w:tcW w:w="994" w:type="dxa"/>
            <w:tcBorders>
              <w:top w:val="nil"/>
              <w:left w:val="nil"/>
              <w:bottom w:val="single" w:sz="4" w:space="0" w:color="auto"/>
              <w:right w:val="nil"/>
            </w:tcBorders>
          </w:tcPr>
          <w:p w14:paraId="16997124"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1200</w:t>
            </w:r>
          </w:p>
        </w:tc>
        <w:tc>
          <w:tcPr>
            <w:tcW w:w="994" w:type="dxa"/>
            <w:tcBorders>
              <w:top w:val="nil"/>
              <w:left w:val="nil"/>
              <w:bottom w:val="single" w:sz="4" w:space="0" w:color="auto"/>
              <w:right w:val="nil"/>
            </w:tcBorders>
          </w:tcPr>
          <w:p w14:paraId="17963FDB" w14:textId="77777777" w:rsidR="00B427E3" w:rsidRPr="00D54599" w:rsidRDefault="00EA6093" w:rsidP="00B427E3">
            <w:pPr>
              <w:jc w:val="center"/>
              <w:rPr>
                <w:rFonts w:ascii="Times New Roman" w:hAnsi="Times New Roman" w:cs="Times New Roman"/>
              </w:rPr>
            </w:pPr>
            <w:r w:rsidRPr="00D54599">
              <w:rPr>
                <w:rFonts w:ascii="Times New Roman" w:hAnsi="Times New Roman" w:cs="Times New Roman"/>
              </w:rPr>
              <w:t>1200</w:t>
            </w:r>
          </w:p>
        </w:tc>
      </w:tr>
    </w:tbl>
    <w:p w14:paraId="31EF0EFD" w14:textId="217C45B8" w:rsidR="001977FD" w:rsidRPr="00D54599" w:rsidRDefault="00814B73" w:rsidP="00DC14AE">
      <w:pPr>
        <w:spacing w:after="0" w:line="240" w:lineRule="auto"/>
        <w:rPr>
          <w:rFonts w:ascii="Times New Roman" w:hAnsi="Times New Roman" w:cs="Times New Roman"/>
          <w:vertAlign w:val="superscript"/>
        </w:rPr>
      </w:pPr>
      <w:r w:rsidRPr="00D54599">
        <w:rPr>
          <w:rFonts w:ascii="Times New Roman" w:hAnsi="Times New Roman" w:cs="Times New Roman"/>
          <w:vertAlign w:val="superscript"/>
        </w:rPr>
        <w:t xml:space="preserve">Dietary Reference Values were derived from the 2015 Philippine Dietary Reference Intakes a. Recommended Energy Intakes per day; b. </w:t>
      </w:r>
      <w:r w:rsidR="007B24E5" w:rsidRPr="00D54599">
        <w:rPr>
          <w:rFonts w:ascii="Times New Roman" w:hAnsi="Times New Roman" w:cs="Times New Roman"/>
          <w:vertAlign w:val="superscript"/>
        </w:rPr>
        <w:t>Recommended Nutrient Intakes per day</w:t>
      </w:r>
      <w:r w:rsidRPr="00D54599">
        <w:rPr>
          <w:rFonts w:ascii="Times New Roman" w:hAnsi="Times New Roman" w:cs="Times New Roman"/>
          <w:vertAlign w:val="superscript"/>
        </w:rPr>
        <w:t>; c. 14 g fiber per 1,000 kcal = basis for AI for fiber. d. Adequate Intake Levels, PDRI 2015; e. WHO Guideline on Sugar Intake for Adults and Children (2015): free sugars refer to all monosaccharides and disaccharides added to foods and drinks by the manufacturer, cook or consumer, including sugars naturally present in honey, syrups, fruit juices and fruit concentrates, (</w:t>
      </w:r>
      <w:r w:rsidR="004D2502" w:rsidRPr="00D54599">
        <w:rPr>
          <w:rFonts w:ascii="Times New Roman" w:hAnsi="Times New Roman" w:cs="Times New Roman"/>
          <w:vertAlign w:val="superscript"/>
        </w:rPr>
        <w:t>&lt;10</w:t>
      </w:r>
      <w:r w:rsidRPr="00D54599">
        <w:rPr>
          <w:rFonts w:ascii="Times New Roman" w:hAnsi="Times New Roman" w:cs="Times New Roman"/>
          <w:vertAlign w:val="superscript"/>
        </w:rPr>
        <w:t>% of energy); f. Therapeutic Lifestyle Changes (TLC) recommendations. g. Determined based on the Tentative Dietary Goals for Japanese people (7% of energy); h. Based on the Adequate Intake Recommendations of the Institute of Medicine (IOM) Dietary reference intakes for water, potassium, sodium, chloride, and sulfate, 2004;</w:t>
      </w:r>
      <w:r w:rsidR="007E77E3" w:rsidRPr="00D54599">
        <w:rPr>
          <w:rFonts w:ascii="Times New Roman" w:hAnsi="Times New Roman" w:cs="Times New Roman"/>
          <w:vertAlign w:val="superscript"/>
        </w:rPr>
        <w:t xml:space="preserve"> i. Recommended Nutrient Intakes.</w:t>
      </w:r>
    </w:p>
    <w:p w14:paraId="3B1EDE8C" w14:textId="77777777" w:rsidR="001977FD" w:rsidRPr="00D54599" w:rsidRDefault="001977FD">
      <w:pPr>
        <w:rPr>
          <w:rFonts w:ascii="Times New Roman" w:hAnsi="Times New Roman" w:cs="Times New Roman"/>
          <w:vertAlign w:val="superscript"/>
        </w:rPr>
      </w:pPr>
      <w:r w:rsidRPr="00D54599">
        <w:rPr>
          <w:rFonts w:ascii="Times New Roman" w:hAnsi="Times New Roman" w:cs="Times New Roman"/>
          <w:vertAlign w:val="superscript"/>
        </w:rPr>
        <w:br w:type="page"/>
      </w:r>
    </w:p>
    <w:p w14:paraId="3606889E" w14:textId="77777777" w:rsidR="00B758A6" w:rsidRPr="00D54599" w:rsidRDefault="00B758A6" w:rsidP="00CC4592">
      <w:pPr>
        <w:spacing w:after="0" w:line="240" w:lineRule="auto"/>
        <w:rPr>
          <w:rFonts w:ascii="Times New Roman" w:hAnsi="Times New Roman" w:cs="Times New Roman"/>
        </w:rPr>
        <w:sectPr w:rsidR="00B758A6" w:rsidRPr="00D54599" w:rsidSect="00CC4592">
          <w:pgSz w:w="15840" w:h="12240" w:orient="landscape"/>
          <w:pgMar w:top="1440" w:right="1440" w:bottom="1440" w:left="1440" w:header="720" w:footer="720" w:gutter="0"/>
          <w:cols w:space="720"/>
          <w:docGrid w:linePitch="360"/>
        </w:sectPr>
      </w:pPr>
    </w:p>
    <w:p w14:paraId="33B3D696" w14:textId="77777777" w:rsidR="00CC4592" w:rsidRPr="00D54599" w:rsidRDefault="00B758A6" w:rsidP="00CC4592">
      <w:pPr>
        <w:spacing w:after="0" w:line="240" w:lineRule="auto"/>
        <w:rPr>
          <w:rFonts w:ascii="Times New Roman" w:hAnsi="Times New Roman" w:cs="Times New Roman"/>
          <w:b/>
          <w:bCs/>
          <w:i/>
        </w:rPr>
      </w:pPr>
      <w:r w:rsidRPr="00D54599">
        <w:rPr>
          <w:rFonts w:ascii="Times New Roman" w:hAnsi="Times New Roman" w:cs="Times New Roman"/>
          <w:b/>
          <w:bCs/>
          <w:i/>
        </w:rPr>
        <w:lastRenderedPageBreak/>
        <w:t>Assessment of Dietary Values</w:t>
      </w:r>
    </w:p>
    <w:p w14:paraId="153C1362" w14:textId="77777777" w:rsidR="00B758A6" w:rsidRPr="00D54599" w:rsidRDefault="00B758A6" w:rsidP="00CC4592">
      <w:pPr>
        <w:spacing w:after="0" w:line="240" w:lineRule="auto"/>
        <w:rPr>
          <w:rFonts w:ascii="Times New Roman" w:hAnsi="Times New Roman" w:cs="Times New Roman"/>
        </w:rPr>
      </w:pPr>
    </w:p>
    <w:p w14:paraId="3CC056BE" w14:textId="68A3BF2A" w:rsidR="00A239CE" w:rsidRPr="00D54599" w:rsidRDefault="00A239CE" w:rsidP="00B758A6">
      <w:pPr>
        <w:spacing w:after="0" w:line="240" w:lineRule="auto"/>
        <w:jc w:val="both"/>
        <w:rPr>
          <w:rFonts w:ascii="Times New Roman" w:hAnsi="Times New Roman" w:cs="Times New Roman"/>
        </w:rPr>
      </w:pPr>
      <w:r w:rsidRPr="00D54599">
        <w:rPr>
          <w:rFonts w:ascii="Times New Roman" w:hAnsi="Times New Roman" w:cs="Times New Roman"/>
        </w:rPr>
        <w:t>Dietary reference values (DRV) were determined based on the Phil</w:t>
      </w:r>
      <w:r w:rsidR="002B7EC3" w:rsidRPr="00D54599">
        <w:rPr>
          <w:rFonts w:ascii="Times New Roman" w:hAnsi="Times New Roman" w:cs="Times New Roman"/>
        </w:rPr>
        <w:t>ippine Dietary Reference Intake</w:t>
      </w:r>
      <w:r w:rsidRPr="00D54599">
        <w:rPr>
          <w:rFonts w:ascii="Times New Roman" w:hAnsi="Times New Roman" w:cs="Times New Roman"/>
        </w:rPr>
        <w:t xml:space="preserve"> 2015 which presents the available recommendations for the 9 recommended nutrients and 3 limiting nutrients that will be used in the computation of the NRF9.3.</w:t>
      </w:r>
      <w:r w:rsidR="004E1156" w:rsidRPr="00D54599">
        <w:rPr>
          <w:rFonts w:ascii="Times New Roman" w:hAnsi="Times New Roman" w:cs="Times New Roman"/>
        </w:rPr>
        <w:t xml:space="preserve"> The PDRI 2015 is an age- and sex- specific reference on the daily nutrient values to meet the needs of various stakeholders for the appropriate nutrient reference values. More information on this reference can be viewed at the corresponding reference </w:t>
      </w:r>
      <w:sdt>
        <w:sdtPr>
          <w:rPr>
            <w:rFonts w:ascii="Times New Roman" w:hAnsi="Times New Roman" w:cs="Times New Roman"/>
          </w:rPr>
          <w:id w:val="562525373"/>
          <w:citation/>
        </w:sdtPr>
        <w:sdtEndPr/>
        <w:sdtContent>
          <w:r w:rsidR="00833E30" w:rsidRPr="00D54599">
            <w:rPr>
              <w:rFonts w:ascii="Times New Roman" w:hAnsi="Times New Roman" w:cs="Times New Roman"/>
            </w:rPr>
            <w:fldChar w:fldCharType="begin"/>
          </w:r>
          <w:r w:rsidR="00833E30" w:rsidRPr="00D54599">
            <w:rPr>
              <w:rFonts w:ascii="Times New Roman" w:hAnsi="Times New Roman" w:cs="Times New Roman"/>
              <w:lang w:val="en-PH"/>
            </w:rPr>
            <w:instrText xml:space="preserve">CITATION Dep15 \l 13321 </w:instrText>
          </w:r>
          <w:r w:rsidR="00833E30" w:rsidRPr="00D54599">
            <w:rPr>
              <w:rFonts w:ascii="Times New Roman" w:hAnsi="Times New Roman" w:cs="Times New Roman"/>
            </w:rPr>
            <w:fldChar w:fldCharType="separate"/>
          </w:r>
          <w:r w:rsidR="00833E30" w:rsidRPr="00D54599">
            <w:rPr>
              <w:rFonts w:ascii="Times New Roman" w:hAnsi="Times New Roman" w:cs="Times New Roman"/>
              <w:noProof/>
              <w:lang w:val="en-PH"/>
            </w:rPr>
            <w:t>(1)</w:t>
          </w:r>
          <w:r w:rsidR="00833E30" w:rsidRPr="00D54599">
            <w:rPr>
              <w:rFonts w:ascii="Times New Roman" w:hAnsi="Times New Roman" w:cs="Times New Roman"/>
            </w:rPr>
            <w:fldChar w:fldCharType="end"/>
          </w:r>
        </w:sdtContent>
      </w:sdt>
      <w:r w:rsidR="004E1156" w:rsidRPr="00D54599">
        <w:rPr>
          <w:rFonts w:ascii="Times New Roman" w:hAnsi="Times New Roman" w:cs="Times New Roman"/>
        </w:rPr>
        <w:t>.</w:t>
      </w:r>
    </w:p>
    <w:p w14:paraId="39CC7D15" w14:textId="77777777" w:rsidR="00BC20C9" w:rsidRPr="00D54599" w:rsidRDefault="00BC20C9" w:rsidP="00B758A6">
      <w:pPr>
        <w:spacing w:after="0" w:line="240" w:lineRule="auto"/>
        <w:jc w:val="both"/>
        <w:rPr>
          <w:rFonts w:ascii="Times New Roman" w:hAnsi="Times New Roman" w:cs="Times New Roman"/>
        </w:rPr>
      </w:pPr>
    </w:p>
    <w:p w14:paraId="74E76219" w14:textId="1EA7CA7B" w:rsidR="00BC20C9" w:rsidRPr="00D54599" w:rsidRDefault="00BC20C9" w:rsidP="00B758A6">
      <w:pPr>
        <w:spacing w:after="0" w:line="240" w:lineRule="auto"/>
        <w:jc w:val="both"/>
        <w:rPr>
          <w:rFonts w:ascii="Times New Roman" w:hAnsi="Times New Roman" w:cs="Times New Roman"/>
        </w:rPr>
      </w:pPr>
      <w:r w:rsidRPr="00D54599">
        <w:rPr>
          <w:rFonts w:ascii="Times New Roman" w:hAnsi="Times New Roman" w:cs="Times New Roman"/>
        </w:rPr>
        <w:t xml:space="preserve">Consistent with the initial IBRI, the emerging public health deficiency on vitamin D has been a cause of concern for different countries especially since several researches have conclusive on the protective effect of vitamin D is an against various diseases such as osteoporosis, colon cancer and several viral pathogens, the initial inclusion of vitamin E to the 9 recommended nutrients in the computation of the NRF9.3 has been replaced by vitamin D </w:t>
      </w:r>
      <w:sdt>
        <w:sdtPr>
          <w:rPr>
            <w:rFonts w:ascii="Times New Roman" w:hAnsi="Times New Roman" w:cs="Times New Roman"/>
          </w:rPr>
          <w:id w:val="897626518"/>
          <w:citation/>
        </w:sdtPr>
        <w:sdtEndPr/>
        <w:sdtContent>
          <w:r w:rsidR="00A07509" w:rsidRPr="00D54599">
            <w:rPr>
              <w:rFonts w:ascii="Times New Roman" w:hAnsi="Times New Roman" w:cs="Times New Roman"/>
            </w:rPr>
            <w:fldChar w:fldCharType="begin"/>
          </w:r>
          <w:r w:rsidR="00A07509" w:rsidRPr="00D54599">
            <w:rPr>
              <w:rFonts w:ascii="Times New Roman" w:hAnsi="Times New Roman" w:cs="Times New Roman"/>
              <w:lang w:val="en-PH"/>
            </w:rPr>
            <w:instrText xml:space="preserve"> CITATION Ang21 \l 13321 </w:instrText>
          </w:r>
          <w:r w:rsidR="00A07509" w:rsidRPr="00D54599">
            <w:rPr>
              <w:rFonts w:ascii="Times New Roman" w:hAnsi="Times New Roman" w:cs="Times New Roman"/>
            </w:rPr>
            <w:fldChar w:fldCharType="separate"/>
          </w:r>
          <w:r w:rsidR="00A07509" w:rsidRPr="00D54599">
            <w:rPr>
              <w:rFonts w:ascii="Times New Roman" w:hAnsi="Times New Roman" w:cs="Times New Roman"/>
              <w:noProof/>
              <w:lang w:val="en-PH"/>
            </w:rPr>
            <w:t xml:space="preserve"> (2)</w:t>
          </w:r>
          <w:r w:rsidR="00A07509" w:rsidRPr="00D54599">
            <w:rPr>
              <w:rFonts w:ascii="Times New Roman" w:hAnsi="Times New Roman" w:cs="Times New Roman"/>
            </w:rPr>
            <w:fldChar w:fldCharType="end"/>
          </w:r>
        </w:sdtContent>
      </w:sdt>
      <w:r w:rsidR="0017080D" w:rsidRPr="00D54599">
        <w:rPr>
          <w:rFonts w:ascii="Times New Roman" w:hAnsi="Times New Roman" w:cs="Times New Roman"/>
        </w:rPr>
        <w:t xml:space="preserve">, </w:t>
      </w:r>
      <w:sdt>
        <w:sdtPr>
          <w:rPr>
            <w:rFonts w:ascii="Times New Roman" w:hAnsi="Times New Roman" w:cs="Times New Roman"/>
          </w:rPr>
          <w:id w:val="-931358484"/>
          <w:citation/>
        </w:sdtPr>
        <w:sdtEndPr/>
        <w:sdtContent>
          <w:r w:rsidR="00F303E3" w:rsidRPr="00D54599">
            <w:rPr>
              <w:rFonts w:ascii="Times New Roman" w:hAnsi="Times New Roman" w:cs="Times New Roman"/>
            </w:rPr>
            <w:fldChar w:fldCharType="begin"/>
          </w:r>
          <w:r w:rsidR="00F303E3" w:rsidRPr="00D54599">
            <w:rPr>
              <w:rFonts w:ascii="Times New Roman" w:hAnsi="Times New Roman" w:cs="Times New Roman"/>
              <w:lang w:val="en-PH"/>
            </w:rPr>
            <w:instrText xml:space="preserve"> CITATION Smi15 \l 13321 </w:instrText>
          </w:r>
          <w:r w:rsidR="00F303E3" w:rsidRPr="00D54599">
            <w:rPr>
              <w:rFonts w:ascii="Times New Roman" w:hAnsi="Times New Roman" w:cs="Times New Roman"/>
            </w:rPr>
            <w:fldChar w:fldCharType="separate"/>
          </w:r>
          <w:r w:rsidR="00F303E3" w:rsidRPr="00D54599">
            <w:rPr>
              <w:rFonts w:ascii="Times New Roman" w:hAnsi="Times New Roman" w:cs="Times New Roman"/>
              <w:noProof/>
              <w:lang w:val="en-PH"/>
            </w:rPr>
            <w:t>(3)</w:t>
          </w:r>
          <w:r w:rsidR="00F303E3" w:rsidRPr="00D54599">
            <w:rPr>
              <w:rFonts w:ascii="Times New Roman" w:hAnsi="Times New Roman" w:cs="Times New Roman"/>
            </w:rPr>
            <w:fldChar w:fldCharType="end"/>
          </w:r>
        </w:sdtContent>
      </w:sdt>
      <w:r w:rsidR="0017080D" w:rsidRPr="00D54599">
        <w:rPr>
          <w:rFonts w:ascii="Times New Roman" w:hAnsi="Times New Roman" w:cs="Times New Roman"/>
        </w:rPr>
        <w:t xml:space="preserve">, </w:t>
      </w:r>
      <w:sdt>
        <w:sdtPr>
          <w:rPr>
            <w:rFonts w:ascii="Times New Roman" w:hAnsi="Times New Roman" w:cs="Times New Roman"/>
          </w:rPr>
          <w:id w:val="-1767847001"/>
          <w:citation/>
        </w:sdtPr>
        <w:sdtEndPr/>
        <w:sdtContent>
          <w:r w:rsidR="00F303E3" w:rsidRPr="00D54599">
            <w:rPr>
              <w:rFonts w:ascii="Times New Roman" w:hAnsi="Times New Roman" w:cs="Times New Roman"/>
            </w:rPr>
            <w:fldChar w:fldCharType="begin"/>
          </w:r>
          <w:r w:rsidR="00F303E3" w:rsidRPr="00D54599">
            <w:rPr>
              <w:rFonts w:ascii="Times New Roman" w:hAnsi="Times New Roman" w:cs="Times New Roman"/>
              <w:lang w:val="en-PH"/>
            </w:rPr>
            <w:instrText xml:space="preserve"> CITATION Fra04 \l 13321 </w:instrText>
          </w:r>
          <w:r w:rsidR="00F303E3" w:rsidRPr="00D54599">
            <w:rPr>
              <w:rFonts w:ascii="Times New Roman" w:hAnsi="Times New Roman" w:cs="Times New Roman"/>
            </w:rPr>
            <w:fldChar w:fldCharType="separate"/>
          </w:r>
          <w:r w:rsidR="00F303E3" w:rsidRPr="00D54599">
            <w:rPr>
              <w:rFonts w:ascii="Times New Roman" w:hAnsi="Times New Roman" w:cs="Times New Roman"/>
              <w:noProof/>
              <w:lang w:val="en-PH"/>
            </w:rPr>
            <w:t>(4)</w:t>
          </w:r>
          <w:r w:rsidR="00F303E3" w:rsidRPr="00D54599">
            <w:rPr>
              <w:rFonts w:ascii="Times New Roman" w:hAnsi="Times New Roman" w:cs="Times New Roman"/>
            </w:rPr>
            <w:fldChar w:fldCharType="end"/>
          </w:r>
        </w:sdtContent>
      </w:sdt>
      <w:r w:rsidRPr="00D54599">
        <w:rPr>
          <w:rFonts w:ascii="Times New Roman" w:hAnsi="Times New Roman" w:cs="Times New Roman"/>
        </w:rPr>
        <w:t xml:space="preserve">. </w:t>
      </w:r>
    </w:p>
    <w:p w14:paraId="6BAB4042" w14:textId="77777777" w:rsidR="004E1156" w:rsidRPr="00D54599" w:rsidRDefault="004E1156" w:rsidP="00B758A6">
      <w:pPr>
        <w:spacing w:after="0" w:line="240" w:lineRule="auto"/>
        <w:jc w:val="both"/>
        <w:rPr>
          <w:rFonts w:ascii="Times New Roman" w:hAnsi="Times New Roman" w:cs="Times New Roman"/>
        </w:rPr>
      </w:pPr>
    </w:p>
    <w:p w14:paraId="23CD0277" w14:textId="26A28E8A" w:rsidR="0017080D" w:rsidRPr="00D54599" w:rsidRDefault="0017080D" w:rsidP="00B758A6">
      <w:pPr>
        <w:spacing w:after="0" w:line="240" w:lineRule="auto"/>
        <w:jc w:val="both"/>
        <w:rPr>
          <w:rFonts w:ascii="Times New Roman" w:hAnsi="Times New Roman" w:cs="Times New Roman"/>
        </w:rPr>
      </w:pPr>
      <w:r w:rsidRPr="00D54599">
        <w:rPr>
          <w:rFonts w:ascii="Times New Roman" w:hAnsi="Times New Roman" w:cs="Times New Roman"/>
        </w:rPr>
        <w:t>Sodium recommendations included in the PDRI are based on the WHO Guideline on Sodium Intake for Adults and Children (2012) which states to limit the intake of sodium to less than 2g in adults</w:t>
      </w:r>
      <w:r w:rsidR="00C425F5" w:rsidRPr="00D54599">
        <w:rPr>
          <w:rFonts w:ascii="Times New Roman" w:hAnsi="Times New Roman" w:cs="Times New Roman"/>
        </w:rPr>
        <w:t xml:space="preserve"> </w:t>
      </w:r>
      <w:sdt>
        <w:sdtPr>
          <w:rPr>
            <w:rFonts w:ascii="Times New Roman" w:hAnsi="Times New Roman" w:cs="Times New Roman"/>
          </w:rPr>
          <w:id w:val="2049719744"/>
          <w:citation/>
        </w:sdtPr>
        <w:sdtEndPr/>
        <w:sdtContent>
          <w:r w:rsidR="00C425F5" w:rsidRPr="00D54599">
            <w:rPr>
              <w:rFonts w:ascii="Times New Roman" w:hAnsi="Times New Roman" w:cs="Times New Roman"/>
            </w:rPr>
            <w:fldChar w:fldCharType="begin"/>
          </w:r>
          <w:r w:rsidR="00C425F5" w:rsidRPr="00D54599">
            <w:rPr>
              <w:rFonts w:ascii="Times New Roman" w:hAnsi="Times New Roman" w:cs="Times New Roman"/>
              <w:lang w:val="en-PH"/>
            </w:rPr>
            <w:instrText xml:space="preserve"> CITATION Wor \l 13321 </w:instrText>
          </w:r>
          <w:r w:rsidR="00C425F5" w:rsidRPr="00D54599">
            <w:rPr>
              <w:rFonts w:ascii="Times New Roman" w:hAnsi="Times New Roman" w:cs="Times New Roman"/>
            </w:rPr>
            <w:fldChar w:fldCharType="separate"/>
          </w:r>
          <w:r w:rsidR="00C425F5" w:rsidRPr="00D54599">
            <w:rPr>
              <w:rFonts w:ascii="Times New Roman" w:hAnsi="Times New Roman" w:cs="Times New Roman"/>
              <w:noProof/>
              <w:lang w:val="en-PH"/>
            </w:rPr>
            <w:t>(5)</w:t>
          </w:r>
          <w:r w:rsidR="00C425F5" w:rsidRPr="00D54599">
            <w:rPr>
              <w:rFonts w:ascii="Times New Roman" w:hAnsi="Times New Roman" w:cs="Times New Roman"/>
            </w:rPr>
            <w:fldChar w:fldCharType="end"/>
          </w:r>
        </w:sdtContent>
      </w:sdt>
      <w:r w:rsidRPr="00D54599">
        <w:rPr>
          <w:rFonts w:ascii="Times New Roman" w:hAnsi="Times New Roman" w:cs="Times New Roman"/>
        </w:rPr>
        <w:t xml:space="preserve">. To enable to derive a specific dietary reference value which is also age and gender specific, </w:t>
      </w:r>
      <w:r w:rsidR="00B068ED" w:rsidRPr="00D54599">
        <w:rPr>
          <w:rFonts w:ascii="Times New Roman" w:hAnsi="Times New Roman" w:cs="Times New Roman"/>
        </w:rPr>
        <w:t>recommendations from the Institute of Medicine (IOM) Dietary Reference Intakes for Tolerable Upper Intake Levels of sodium based on age and gender</w:t>
      </w:r>
      <w:r w:rsidR="00C425F5" w:rsidRPr="00D54599">
        <w:rPr>
          <w:rFonts w:ascii="Times New Roman" w:hAnsi="Times New Roman" w:cs="Times New Roman"/>
        </w:rPr>
        <w:t xml:space="preserve"> </w:t>
      </w:r>
      <w:sdt>
        <w:sdtPr>
          <w:rPr>
            <w:rFonts w:ascii="Times New Roman" w:hAnsi="Times New Roman" w:cs="Times New Roman"/>
          </w:rPr>
          <w:id w:val="11427239"/>
          <w:citation/>
        </w:sdtPr>
        <w:sdtEndPr/>
        <w:sdtContent>
          <w:r w:rsidR="008E7A16" w:rsidRPr="00D54599">
            <w:rPr>
              <w:rFonts w:ascii="Times New Roman" w:hAnsi="Times New Roman" w:cs="Times New Roman"/>
            </w:rPr>
            <w:fldChar w:fldCharType="begin"/>
          </w:r>
          <w:r w:rsidR="008E7A16" w:rsidRPr="00D54599">
            <w:rPr>
              <w:rFonts w:ascii="Times New Roman" w:hAnsi="Times New Roman" w:cs="Times New Roman"/>
              <w:lang w:val="en-PH"/>
            </w:rPr>
            <w:instrText xml:space="preserve"> CITATION The19 \l 13321 </w:instrText>
          </w:r>
          <w:r w:rsidR="008E7A16" w:rsidRPr="00D54599">
            <w:rPr>
              <w:rFonts w:ascii="Times New Roman" w:hAnsi="Times New Roman" w:cs="Times New Roman"/>
            </w:rPr>
            <w:fldChar w:fldCharType="separate"/>
          </w:r>
          <w:r w:rsidR="008E7A16" w:rsidRPr="00D54599">
            <w:rPr>
              <w:rFonts w:ascii="Times New Roman" w:hAnsi="Times New Roman" w:cs="Times New Roman"/>
              <w:noProof/>
              <w:lang w:val="en-PH"/>
            </w:rPr>
            <w:t>(6)</w:t>
          </w:r>
          <w:r w:rsidR="008E7A16" w:rsidRPr="00D54599">
            <w:rPr>
              <w:rFonts w:ascii="Times New Roman" w:hAnsi="Times New Roman" w:cs="Times New Roman"/>
            </w:rPr>
            <w:fldChar w:fldCharType="end"/>
          </w:r>
        </w:sdtContent>
      </w:sdt>
      <w:r w:rsidR="00B068ED" w:rsidRPr="00D54599">
        <w:rPr>
          <w:rFonts w:ascii="Times New Roman" w:hAnsi="Times New Roman" w:cs="Times New Roman"/>
        </w:rPr>
        <w:t>.</w:t>
      </w:r>
    </w:p>
    <w:p w14:paraId="0AE444A8" w14:textId="77777777" w:rsidR="00B068ED" w:rsidRPr="00D54599" w:rsidRDefault="00B068ED" w:rsidP="00B758A6">
      <w:pPr>
        <w:spacing w:after="0" w:line="240" w:lineRule="auto"/>
        <w:jc w:val="both"/>
        <w:rPr>
          <w:rFonts w:ascii="Times New Roman" w:hAnsi="Times New Roman" w:cs="Times New Roman"/>
        </w:rPr>
      </w:pPr>
    </w:p>
    <w:p w14:paraId="722AA80F" w14:textId="5B09642F" w:rsidR="00B758A6" w:rsidRPr="00D54599" w:rsidRDefault="00B758A6" w:rsidP="00B758A6">
      <w:pPr>
        <w:spacing w:after="0" w:line="240" w:lineRule="auto"/>
        <w:jc w:val="both"/>
        <w:rPr>
          <w:rFonts w:ascii="Times New Roman" w:hAnsi="Times New Roman" w:cs="Times New Roman"/>
        </w:rPr>
      </w:pPr>
      <w:r w:rsidRPr="00D54599">
        <w:rPr>
          <w:rFonts w:ascii="Times New Roman" w:hAnsi="Times New Roman" w:cs="Times New Roman"/>
        </w:rPr>
        <w:t>With regards to added sugar, there is currently no specific recommendation adapted for the Filipino population in the Philippine Dietary Reference Intakes rather it considered the recommendation for free sugar intake published by the World Health Organization in 2015</w:t>
      </w:r>
      <w:sdt>
        <w:sdtPr>
          <w:rPr>
            <w:rFonts w:ascii="Times New Roman" w:hAnsi="Times New Roman" w:cs="Times New Roman"/>
          </w:rPr>
          <w:id w:val="-884877032"/>
          <w:citation/>
        </w:sdtPr>
        <w:sdtEndPr/>
        <w:sdtContent>
          <w:r w:rsidR="008E7A16" w:rsidRPr="00D54599">
            <w:rPr>
              <w:rFonts w:ascii="Times New Roman" w:hAnsi="Times New Roman" w:cs="Times New Roman"/>
            </w:rPr>
            <w:fldChar w:fldCharType="begin"/>
          </w:r>
          <w:r w:rsidR="008E7A16" w:rsidRPr="00D54599">
            <w:rPr>
              <w:rFonts w:ascii="Times New Roman" w:hAnsi="Times New Roman" w:cs="Times New Roman"/>
              <w:lang w:val="en-PH"/>
            </w:rPr>
            <w:instrText xml:space="preserve"> CITATION Wor15 \l 13321 </w:instrText>
          </w:r>
          <w:r w:rsidR="008E7A16" w:rsidRPr="00D54599">
            <w:rPr>
              <w:rFonts w:ascii="Times New Roman" w:hAnsi="Times New Roman" w:cs="Times New Roman"/>
            </w:rPr>
            <w:fldChar w:fldCharType="separate"/>
          </w:r>
          <w:r w:rsidR="008E7A16" w:rsidRPr="00D54599">
            <w:rPr>
              <w:rFonts w:ascii="Times New Roman" w:hAnsi="Times New Roman" w:cs="Times New Roman"/>
              <w:noProof/>
              <w:lang w:val="en-PH"/>
            </w:rPr>
            <w:t xml:space="preserve"> (7)</w:t>
          </w:r>
          <w:r w:rsidR="008E7A16" w:rsidRPr="00D54599">
            <w:rPr>
              <w:rFonts w:ascii="Times New Roman" w:hAnsi="Times New Roman" w:cs="Times New Roman"/>
            </w:rPr>
            <w:fldChar w:fldCharType="end"/>
          </w:r>
        </w:sdtContent>
      </w:sdt>
      <w:r w:rsidR="008E7A16" w:rsidRPr="00D54599">
        <w:rPr>
          <w:rFonts w:ascii="Times New Roman" w:hAnsi="Times New Roman" w:cs="Times New Roman"/>
        </w:rPr>
        <w:t xml:space="preserve">. </w:t>
      </w:r>
      <w:r w:rsidRPr="00D54599">
        <w:rPr>
          <w:rFonts w:ascii="Times New Roman" w:hAnsi="Times New Roman" w:cs="Times New Roman"/>
        </w:rPr>
        <w:t>This recommendation was further evaluated with the actual intakes of the Philippine population [</w:t>
      </w:r>
      <w:sdt>
        <w:sdtPr>
          <w:rPr>
            <w:rFonts w:ascii="Times New Roman" w:hAnsi="Times New Roman" w:cs="Times New Roman"/>
          </w:rPr>
          <w:id w:val="1516105846"/>
          <w:citation/>
        </w:sdtPr>
        <w:sdtEndPr/>
        <w:sdtContent>
          <w:r w:rsidR="008E7A16" w:rsidRPr="00D54599">
            <w:rPr>
              <w:rFonts w:ascii="Times New Roman" w:hAnsi="Times New Roman" w:cs="Times New Roman"/>
            </w:rPr>
            <w:fldChar w:fldCharType="begin"/>
          </w:r>
          <w:r w:rsidR="008E7A16" w:rsidRPr="00D54599">
            <w:rPr>
              <w:rFonts w:ascii="Times New Roman" w:hAnsi="Times New Roman" w:cs="Times New Roman"/>
              <w:lang w:val="en-PH"/>
            </w:rPr>
            <w:instrText xml:space="preserve"> CITATION Ang19 \l 13321 </w:instrText>
          </w:r>
          <w:r w:rsidR="008E7A16" w:rsidRPr="00D54599">
            <w:rPr>
              <w:rFonts w:ascii="Times New Roman" w:hAnsi="Times New Roman" w:cs="Times New Roman"/>
            </w:rPr>
            <w:fldChar w:fldCharType="separate"/>
          </w:r>
          <w:r w:rsidR="008E7A16" w:rsidRPr="00D54599">
            <w:rPr>
              <w:rFonts w:ascii="Times New Roman" w:hAnsi="Times New Roman" w:cs="Times New Roman"/>
              <w:noProof/>
              <w:lang w:val="en-PH"/>
            </w:rPr>
            <w:t xml:space="preserve"> (8)</w:t>
          </w:r>
          <w:r w:rsidR="008E7A16" w:rsidRPr="00D54599">
            <w:rPr>
              <w:rFonts w:ascii="Times New Roman" w:hAnsi="Times New Roman" w:cs="Times New Roman"/>
            </w:rPr>
            <w:fldChar w:fldCharType="end"/>
          </w:r>
        </w:sdtContent>
      </w:sdt>
      <w:r w:rsidRPr="00D54599">
        <w:rPr>
          <w:rFonts w:ascii="Times New Roman" w:hAnsi="Times New Roman" w:cs="Times New Roman"/>
        </w:rPr>
        <w:t>,</w:t>
      </w:r>
      <w:sdt>
        <w:sdtPr>
          <w:rPr>
            <w:rFonts w:ascii="Times New Roman" w:hAnsi="Times New Roman" w:cs="Times New Roman"/>
          </w:rPr>
          <w:id w:val="-951397561"/>
          <w:citation/>
        </w:sdtPr>
        <w:sdtEndPr/>
        <w:sdtContent>
          <w:r w:rsidR="008E7A16" w:rsidRPr="00D54599">
            <w:rPr>
              <w:rFonts w:ascii="Times New Roman" w:hAnsi="Times New Roman" w:cs="Times New Roman"/>
            </w:rPr>
            <w:fldChar w:fldCharType="begin"/>
          </w:r>
          <w:r w:rsidR="008E7A16" w:rsidRPr="00D54599">
            <w:rPr>
              <w:rFonts w:ascii="Times New Roman" w:hAnsi="Times New Roman" w:cs="Times New Roman"/>
              <w:lang w:val="en-PH"/>
            </w:rPr>
            <w:instrText xml:space="preserve"> CITATION Ang20 \l 13321 </w:instrText>
          </w:r>
          <w:r w:rsidR="008E7A16" w:rsidRPr="00D54599">
            <w:rPr>
              <w:rFonts w:ascii="Times New Roman" w:hAnsi="Times New Roman" w:cs="Times New Roman"/>
            </w:rPr>
            <w:fldChar w:fldCharType="separate"/>
          </w:r>
          <w:r w:rsidR="008E7A16" w:rsidRPr="00D54599">
            <w:rPr>
              <w:rFonts w:ascii="Times New Roman" w:hAnsi="Times New Roman" w:cs="Times New Roman"/>
              <w:noProof/>
              <w:lang w:val="en-PH"/>
            </w:rPr>
            <w:t xml:space="preserve"> (9)</w:t>
          </w:r>
          <w:r w:rsidR="008E7A16" w:rsidRPr="00D54599">
            <w:rPr>
              <w:rFonts w:ascii="Times New Roman" w:hAnsi="Times New Roman" w:cs="Times New Roman"/>
            </w:rPr>
            <w:fldChar w:fldCharType="end"/>
          </w:r>
        </w:sdtContent>
      </w:sdt>
      <w:r w:rsidRPr="00D54599">
        <w:rPr>
          <w:rFonts w:ascii="Times New Roman" w:hAnsi="Times New Roman" w:cs="Times New Roman"/>
        </w:rPr>
        <w:t xml:space="preserve"> thus it was concluded to use the </w:t>
      </w:r>
      <w:r w:rsidRPr="00D54599">
        <w:rPr>
          <w:rFonts w:ascii="Times New Roman" w:hAnsi="Times New Roman" w:cs="Times New Roman"/>
          <w:i/>
        </w:rPr>
        <w:t>conditional recommendation</w:t>
      </w:r>
      <w:r w:rsidRPr="00D54599">
        <w:rPr>
          <w:rFonts w:ascii="Times New Roman" w:hAnsi="Times New Roman" w:cs="Times New Roman"/>
        </w:rPr>
        <w:t xml:space="preserve"> (upper limit in the &lt;5% of energy) WHO since there is low intake of the </w:t>
      </w:r>
      <w:r w:rsidR="00A239CE" w:rsidRPr="00D54599">
        <w:rPr>
          <w:rFonts w:ascii="Times New Roman" w:hAnsi="Times New Roman" w:cs="Times New Roman"/>
        </w:rPr>
        <w:t>nutrient</w:t>
      </w:r>
      <w:r w:rsidRPr="00D54599">
        <w:rPr>
          <w:rFonts w:ascii="Times New Roman" w:hAnsi="Times New Roman" w:cs="Times New Roman"/>
        </w:rPr>
        <w:t xml:space="preserve"> in the Filipino population and to lessen risks and disadvantages when it comes to nutrient recommendations </w:t>
      </w:r>
      <w:r w:rsidR="00A239CE" w:rsidRPr="00D54599">
        <w:rPr>
          <w:rFonts w:ascii="Times New Roman" w:hAnsi="Times New Roman" w:cs="Times New Roman"/>
        </w:rPr>
        <w:t xml:space="preserve">that has low totality evidence reviewed with the chosen populace. </w:t>
      </w:r>
    </w:p>
    <w:p w14:paraId="697E4F24" w14:textId="77777777" w:rsidR="00D97BB9" w:rsidRPr="00D54599" w:rsidRDefault="00D97BB9" w:rsidP="00B758A6">
      <w:pPr>
        <w:spacing w:after="0" w:line="240" w:lineRule="auto"/>
        <w:jc w:val="both"/>
        <w:rPr>
          <w:rFonts w:ascii="Times New Roman" w:hAnsi="Times New Roman" w:cs="Times New Roman"/>
        </w:rPr>
      </w:pPr>
    </w:p>
    <w:p w14:paraId="2DAF167C" w14:textId="75769413" w:rsidR="00D97BB9" w:rsidRPr="00D54599" w:rsidRDefault="00D97BB9" w:rsidP="00B758A6">
      <w:pPr>
        <w:spacing w:after="0" w:line="240" w:lineRule="auto"/>
        <w:jc w:val="both"/>
        <w:rPr>
          <w:rFonts w:ascii="Times New Roman" w:hAnsi="Times New Roman" w:cs="Times New Roman"/>
        </w:rPr>
      </w:pPr>
      <w:r w:rsidRPr="00D54599">
        <w:rPr>
          <w:rFonts w:ascii="Times New Roman" w:hAnsi="Times New Roman" w:cs="Times New Roman"/>
        </w:rPr>
        <w:t>Another nutrient that is missing in the PDRI is saturated fat. The recommendation that is included in Tables S1 and S2 are based on the recommendation by the National Cholesterol Education Program (NCEP) specifically for Therapeutic Lifestyle Change of &lt;7% of energy from saturated fat</w:t>
      </w:r>
      <w:r w:rsidR="00A57F51" w:rsidRPr="00D54599">
        <w:rPr>
          <w:rFonts w:ascii="Times New Roman" w:hAnsi="Times New Roman" w:cs="Times New Roman"/>
        </w:rPr>
        <w:t xml:space="preserve"> </w:t>
      </w:r>
      <w:sdt>
        <w:sdtPr>
          <w:rPr>
            <w:rFonts w:ascii="Times New Roman" w:hAnsi="Times New Roman" w:cs="Times New Roman"/>
          </w:rPr>
          <w:id w:val="-1924321233"/>
          <w:citation/>
        </w:sdtPr>
        <w:sdtEndPr/>
        <w:sdtContent>
          <w:r w:rsidR="00A57F51" w:rsidRPr="00D54599">
            <w:rPr>
              <w:rFonts w:ascii="Times New Roman" w:hAnsi="Times New Roman" w:cs="Times New Roman"/>
            </w:rPr>
            <w:fldChar w:fldCharType="begin"/>
          </w:r>
          <w:r w:rsidR="00A57F51" w:rsidRPr="00D54599">
            <w:rPr>
              <w:rFonts w:ascii="Times New Roman" w:hAnsi="Times New Roman" w:cs="Times New Roman"/>
              <w:lang w:val="en-PH"/>
            </w:rPr>
            <w:instrText xml:space="preserve"> CITATION Nat04 \l 13321 </w:instrText>
          </w:r>
          <w:r w:rsidR="00A57F51" w:rsidRPr="00D54599">
            <w:rPr>
              <w:rFonts w:ascii="Times New Roman" w:hAnsi="Times New Roman" w:cs="Times New Roman"/>
            </w:rPr>
            <w:fldChar w:fldCharType="separate"/>
          </w:r>
          <w:r w:rsidR="00A57F51" w:rsidRPr="00D54599">
            <w:rPr>
              <w:rFonts w:ascii="Times New Roman" w:hAnsi="Times New Roman" w:cs="Times New Roman"/>
              <w:noProof/>
              <w:lang w:val="en-PH"/>
            </w:rPr>
            <w:t>(10)</w:t>
          </w:r>
          <w:r w:rsidR="00A57F51" w:rsidRPr="00D54599">
            <w:rPr>
              <w:rFonts w:ascii="Times New Roman" w:hAnsi="Times New Roman" w:cs="Times New Roman"/>
            </w:rPr>
            <w:fldChar w:fldCharType="end"/>
          </w:r>
        </w:sdtContent>
      </w:sdt>
      <w:r w:rsidRPr="00D54599">
        <w:rPr>
          <w:rFonts w:ascii="Times New Roman" w:hAnsi="Times New Roman" w:cs="Times New Roman"/>
        </w:rPr>
        <w:t xml:space="preserve">. This is also in conjunct to the Tentative Dietary Goals by the Japanese population </w:t>
      </w:r>
      <w:sdt>
        <w:sdtPr>
          <w:rPr>
            <w:rFonts w:ascii="Times New Roman" w:hAnsi="Times New Roman" w:cs="Times New Roman"/>
          </w:rPr>
          <w:id w:val="1352917403"/>
          <w:citation/>
        </w:sdtPr>
        <w:sdtEndPr/>
        <w:sdtContent>
          <w:r w:rsidR="00A57F51" w:rsidRPr="00D54599">
            <w:rPr>
              <w:rFonts w:ascii="Times New Roman" w:hAnsi="Times New Roman" w:cs="Times New Roman"/>
            </w:rPr>
            <w:fldChar w:fldCharType="begin"/>
          </w:r>
          <w:r w:rsidR="00A57F51" w:rsidRPr="00D54599">
            <w:rPr>
              <w:rFonts w:ascii="Times New Roman" w:hAnsi="Times New Roman" w:cs="Times New Roman"/>
              <w:lang w:val="en-PH"/>
            </w:rPr>
            <w:instrText xml:space="preserve"> CITATION the15 \l 13321 </w:instrText>
          </w:r>
          <w:r w:rsidR="00A57F51" w:rsidRPr="00D54599">
            <w:rPr>
              <w:rFonts w:ascii="Times New Roman" w:hAnsi="Times New Roman" w:cs="Times New Roman"/>
            </w:rPr>
            <w:fldChar w:fldCharType="separate"/>
          </w:r>
          <w:r w:rsidR="00A57F51" w:rsidRPr="00D54599">
            <w:rPr>
              <w:rFonts w:ascii="Times New Roman" w:hAnsi="Times New Roman" w:cs="Times New Roman"/>
              <w:noProof/>
              <w:lang w:val="en-PH"/>
            </w:rPr>
            <w:t>(11)</w:t>
          </w:r>
          <w:r w:rsidR="00A57F51" w:rsidRPr="00D54599">
            <w:rPr>
              <w:rFonts w:ascii="Times New Roman" w:hAnsi="Times New Roman" w:cs="Times New Roman"/>
            </w:rPr>
            <w:fldChar w:fldCharType="end"/>
          </w:r>
        </w:sdtContent>
      </w:sdt>
      <w:r w:rsidR="00DC14AE" w:rsidRPr="00D54599">
        <w:rPr>
          <w:rFonts w:ascii="Times New Roman" w:hAnsi="Times New Roman" w:cs="Times New Roman"/>
        </w:rPr>
        <w:t>.</w:t>
      </w:r>
      <w:r w:rsidRPr="00D54599">
        <w:rPr>
          <w:rFonts w:ascii="Times New Roman" w:hAnsi="Times New Roman" w:cs="Times New Roman"/>
        </w:rPr>
        <w:t xml:space="preserve"> </w:t>
      </w:r>
      <w:r w:rsidR="00BC20C9" w:rsidRPr="00D54599">
        <w:rPr>
          <w:rFonts w:ascii="Times New Roman" w:hAnsi="Times New Roman" w:cs="Times New Roman"/>
        </w:rPr>
        <w:t>The values are adjusted to meet the age- and gender- specific reference values consistent with the other nutrients.</w:t>
      </w:r>
    </w:p>
    <w:p w14:paraId="1AF28ED5" w14:textId="665E463C" w:rsidR="008E09CF" w:rsidRPr="00D54599" w:rsidRDefault="008E09CF" w:rsidP="008E09CF">
      <w:pPr>
        <w:rPr>
          <w:rFonts w:ascii="Times New Roman" w:hAnsi="Times New Roman" w:cs="Times New Roman"/>
        </w:rPr>
      </w:pPr>
      <w:r w:rsidRPr="00D54599">
        <w:rPr>
          <w:rFonts w:ascii="Times New Roman" w:hAnsi="Times New Roman" w:cs="Times New Roman"/>
        </w:rPr>
        <w:br w:type="page"/>
      </w:r>
    </w:p>
    <w:p w14:paraId="57E530B9" w14:textId="1E62418D" w:rsidR="008E09CF" w:rsidRPr="00D54599" w:rsidRDefault="008E09CF" w:rsidP="00B758A6">
      <w:pPr>
        <w:spacing w:after="0" w:line="240" w:lineRule="auto"/>
        <w:jc w:val="both"/>
        <w:rPr>
          <w:rFonts w:ascii="Times New Roman" w:hAnsi="Times New Roman" w:cs="Times New Roman"/>
        </w:rPr>
      </w:pPr>
      <w:r w:rsidRPr="00D54599">
        <w:rPr>
          <w:rFonts w:ascii="Times New Roman" w:hAnsi="Times New Roman" w:cs="Times New Roman"/>
        </w:rPr>
        <w:lastRenderedPageBreak/>
        <w:t>References:</w:t>
      </w:r>
    </w:p>
    <w:p w14:paraId="22D8BBA2" w14:textId="77777777" w:rsidR="008E09CF" w:rsidRPr="00D54599" w:rsidRDefault="008E09CF" w:rsidP="008E09CF">
      <w:pPr>
        <w:pStyle w:val="Bibliography"/>
        <w:spacing w:after="0"/>
        <w:jc w:val="both"/>
        <w:rPr>
          <w:rFonts w:ascii="Times New Roman" w:hAnsi="Times New Roman" w:cs="Times New Roman"/>
          <w:noProof/>
          <w:sz w:val="18"/>
          <w:szCs w:val="18"/>
        </w:rPr>
      </w:pPr>
      <w:r w:rsidRPr="00D54599">
        <w:rPr>
          <w:rFonts w:ascii="Times New Roman" w:hAnsi="Times New Roman" w:cs="Times New Roman"/>
          <w:sz w:val="16"/>
          <w:szCs w:val="16"/>
        </w:rPr>
        <w:fldChar w:fldCharType="begin"/>
      </w:r>
      <w:r w:rsidRPr="00D54599">
        <w:rPr>
          <w:rFonts w:ascii="Times New Roman" w:hAnsi="Times New Roman" w:cs="Times New Roman"/>
          <w:sz w:val="16"/>
          <w:szCs w:val="16"/>
          <w:lang w:val="en-PH"/>
        </w:rPr>
        <w:instrText xml:space="preserve"> BIBLIOGRAPHY  \l 13321 </w:instrText>
      </w:r>
      <w:r w:rsidRPr="00D54599">
        <w:rPr>
          <w:rFonts w:ascii="Times New Roman" w:hAnsi="Times New Roman" w:cs="Times New Roman"/>
          <w:sz w:val="16"/>
          <w:szCs w:val="16"/>
        </w:rPr>
        <w:fldChar w:fldCharType="separate"/>
      </w:r>
      <w:r w:rsidRPr="00D54599">
        <w:rPr>
          <w:rFonts w:ascii="Times New Roman" w:hAnsi="Times New Roman" w:cs="Times New Roman"/>
          <w:noProof/>
          <w:sz w:val="16"/>
          <w:szCs w:val="16"/>
        </w:rPr>
        <w:t xml:space="preserve">1. </w:t>
      </w:r>
      <w:r w:rsidRPr="00D54599">
        <w:rPr>
          <w:rFonts w:ascii="Times New Roman" w:hAnsi="Times New Roman" w:cs="Times New Roman"/>
          <w:b/>
          <w:bCs/>
          <w:noProof/>
          <w:sz w:val="16"/>
          <w:szCs w:val="16"/>
        </w:rPr>
        <w:t>Department of Science and Technology - Food and Nutrition Research Institute.</w:t>
      </w:r>
      <w:r w:rsidRPr="00D54599">
        <w:rPr>
          <w:rFonts w:ascii="Times New Roman" w:hAnsi="Times New Roman" w:cs="Times New Roman"/>
          <w:noProof/>
          <w:sz w:val="16"/>
          <w:szCs w:val="16"/>
        </w:rPr>
        <w:t xml:space="preserve"> the Philippine Dietary Reference Intake 2015. [Online] 2015. https://www.fnri.dost.gov.ph/index.php/159-fnri-launches-the-philippine-dietary-reference-intakes-pdri-2015.</w:t>
      </w:r>
    </w:p>
    <w:p w14:paraId="6FA2F769"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2. </w:t>
      </w:r>
      <w:r w:rsidRPr="00D54599">
        <w:rPr>
          <w:rFonts w:ascii="Times New Roman" w:hAnsi="Times New Roman" w:cs="Times New Roman"/>
          <w:i/>
          <w:iCs/>
          <w:noProof/>
          <w:sz w:val="16"/>
          <w:szCs w:val="16"/>
        </w:rPr>
        <w:t xml:space="preserve">Vitamin D Status and Usual Nutrient Intake of Filipino Children Aged 6-12 Years in Selected Areas in the Philippines: A 2018 National Nutrition Survey. </w:t>
      </w:r>
      <w:r w:rsidRPr="00D54599">
        <w:rPr>
          <w:rFonts w:ascii="Times New Roman" w:hAnsi="Times New Roman" w:cs="Times New Roman"/>
          <w:b/>
          <w:bCs/>
          <w:noProof/>
          <w:sz w:val="16"/>
          <w:szCs w:val="16"/>
        </w:rPr>
        <w:t>Angeles-Agdeppa, Imelda and Tanda, Keith.</w:t>
      </w:r>
      <w:r w:rsidRPr="00D54599">
        <w:rPr>
          <w:rFonts w:ascii="Times New Roman" w:hAnsi="Times New Roman" w:cs="Times New Roman"/>
          <w:noProof/>
          <w:sz w:val="16"/>
          <w:szCs w:val="16"/>
        </w:rPr>
        <w:t xml:space="preserve"> 2021, Journal of Nutrition and Metabolism, pp. 1-9.</w:t>
      </w:r>
    </w:p>
    <w:p w14:paraId="59FA74DF"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3. </w:t>
      </w:r>
      <w:r w:rsidRPr="00D54599">
        <w:rPr>
          <w:rFonts w:ascii="Times New Roman" w:hAnsi="Times New Roman" w:cs="Times New Roman"/>
          <w:i/>
          <w:iCs/>
          <w:noProof/>
          <w:sz w:val="16"/>
          <w:szCs w:val="16"/>
        </w:rPr>
        <w:t xml:space="preserve">Vitamin D and anemia: insights into an emerging association. </w:t>
      </w:r>
      <w:r w:rsidRPr="00D54599">
        <w:rPr>
          <w:rFonts w:ascii="Times New Roman" w:hAnsi="Times New Roman" w:cs="Times New Roman"/>
          <w:b/>
          <w:bCs/>
          <w:noProof/>
          <w:sz w:val="16"/>
          <w:szCs w:val="16"/>
        </w:rPr>
        <w:t>Smith, Ellen M and Tangpricha, Vin.</w:t>
      </w:r>
      <w:r w:rsidRPr="00D54599">
        <w:rPr>
          <w:rFonts w:ascii="Times New Roman" w:hAnsi="Times New Roman" w:cs="Times New Roman"/>
          <w:noProof/>
          <w:sz w:val="16"/>
          <w:szCs w:val="16"/>
        </w:rPr>
        <w:t xml:space="preserve"> 6, s.l. : Current Opinion in Endocrinology,Diabetes and Obesity, 2015, Vol. 22, pp. 432-8.</w:t>
      </w:r>
    </w:p>
    <w:p w14:paraId="7862876B"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4. </w:t>
      </w:r>
      <w:r w:rsidRPr="00D54599">
        <w:rPr>
          <w:rFonts w:ascii="Times New Roman" w:hAnsi="Times New Roman" w:cs="Times New Roman"/>
          <w:i/>
          <w:iCs/>
          <w:noProof/>
          <w:sz w:val="16"/>
          <w:szCs w:val="16"/>
        </w:rPr>
        <w:t xml:space="preserve">Vitamin D-deficiency in Asia. </w:t>
      </w:r>
      <w:r w:rsidRPr="00D54599">
        <w:rPr>
          <w:rFonts w:ascii="Times New Roman" w:hAnsi="Times New Roman" w:cs="Times New Roman"/>
          <w:b/>
          <w:bCs/>
          <w:noProof/>
          <w:sz w:val="16"/>
          <w:szCs w:val="16"/>
        </w:rPr>
        <w:t>Fraser, David R.</w:t>
      </w:r>
      <w:r w:rsidRPr="00D54599">
        <w:rPr>
          <w:rFonts w:ascii="Times New Roman" w:hAnsi="Times New Roman" w:cs="Times New Roman"/>
          <w:noProof/>
          <w:sz w:val="16"/>
          <w:szCs w:val="16"/>
        </w:rPr>
        <w:t xml:space="preserve"> 1-5, s.l. : the Journal of Steriod Biochemistry and Molecular Biology, 2004, Vols. 89-90, pp. 491-5.</w:t>
      </w:r>
    </w:p>
    <w:p w14:paraId="76F21019"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5. </w:t>
      </w:r>
      <w:r w:rsidRPr="00D54599">
        <w:rPr>
          <w:rFonts w:ascii="Times New Roman" w:hAnsi="Times New Roman" w:cs="Times New Roman"/>
          <w:b/>
          <w:bCs/>
          <w:noProof/>
          <w:sz w:val="16"/>
          <w:szCs w:val="16"/>
        </w:rPr>
        <w:t>World Health Organization.</w:t>
      </w:r>
      <w:r w:rsidRPr="00D54599">
        <w:rPr>
          <w:rFonts w:ascii="Times New Roman" w:hAnsi="Times New Roman" w:cs="Times New Roman"/>
          <w:noProof/>
          <w:sz w:val="16"/>
          <w:szCs w:val="16"/>
        </w:rPr>
        <w:t xml:space="preserve"> Sodium Intake for Adults and Children. [Online] https://www.who.int/elena/titles/guidance_summaries/sodium_intake/en/#:~:text=WHO%20recommends%20a%20reduction%20to%20%3C2%20g/day%20sodium,requirements%20of%20children%20relative%20to%20those%20of%20adults..</w:t>
      </w:r>
    </w:p>
    <w:p w14:paraId="3F609594"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6. </w:t>
      </w:r>
      <w:r w:rsidRPr="00D54599">
        <w:rPr>
          <w:rFonts w:ascii="Times New Roman" w:hAnsi="Times New Roman" w:cs="Times New Roman"/>
          <w:b/>
          <w:bCs/>
          <w:noProof/>
          <w:sz w:val="16"/>
          <w:szCs w:val="16"/>
        </w:rPr>
        <w:t>The National Academies of Sciences Engineering Medicine.</w:t>
      </w:r>
      <w:r w:rsidRPr="00D54599">
        <w:rPr>
          <w:rFonts w:ascii="Times New Roman" w:hAnsi="Times New Roman" w:cs="Times New Roman"/>
          <w:noProof/>
          <w:sz w:val="16"/>
          <w:szCs w:val="16"/>
        </w:rPr>
        <w:t xml:space="preserve"> Dietary Reference Intakes for Sodium and Potassium. [Online] 2019. https://www.nap.edu/catalog/25353/dietary-reference-intakes-for-sodium-and-potassium.</w:t>
      </w:r>
    </w:p>
    <w:p w14:paraId="77572A66"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7. </w:t>
      </w:r>
      <w:r w:rsidRPr="00D54599">
        <w:rPr>
          <w:rFonts w:ascii="Times New Roman" w:hAnsi="Times New Roman" w:cs="Times New Roman"/>
          <w:b/>
          <w:bCs/>
          <w:noProof/>
          <w:sz w:val="16"/>
          <w:szCs w:val="16"/>
        </w:rPr>
        <w:t>World Health Organization.</w:t>
      </w:r>
      <w:r w:rsidRPr="00D54599">
        <w:rPr>
          <w:rFonts w:ascii="Times New Roman" w:hAnsi="Times New Roman" w:cs="Times New Roman"/>
          <w:noProof/>
          <w:sz w:val="16"/>
          <w:szCs w:val="16"/>
        </w:rPr>
        <w:t xml:space="preserve"> Guideline: sugars intake for adults and children. [Online] March 4, 2015. https://www.who.int/publications/i/item/9789241549028.</w:t>
      </w:r>
    </w:p>
    <w:p w14:paraId="660290E0"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8. </w:t>
      </w:r>
      <w:r w:rsidRPr="00D54599">
        <w:rPr>
          <w:rFonts w:ascii="Times New Roman" w:hAnsi="Times New Roman" w:cs="Times New Roman"/>
          <w:i/>
          <w:iCs/>
          <w:noProof/>
          <w:sz w:val="16"/>
          <w:szCs w:val="16"/>
        </w:rPr>
        <w:t xml:space="preserve">Food sources, energy and nutrient intakes of adults: 2013 Philippines National Nutrition Survey. </w:t>
      </w:r>
      <w:r w:rsidRPr="00D54599">
        <w:rPr>
          <w:rFonts w:ascii="Times New Roman" w:hAnsi="Times New Roman" w:cs="Times New Roman"/>
          <w:b/>
          <w:bCs/>
          <w:noProof/>
          <w:sz w:val="16"/>
          <w:szCs w:val="16"/>
        </w:rPr>
        <w:t>Angeles-Agdeppa, Imelda, et al.</w:t>
      </w:r>
      <w:r w:rsidRPr="00D54599">
        <w:rPr>
          <w:rFonts w:ascii="Times New Roman" w:hAnsi="Times New Roman" w:cs="Times New Roman"/>
          <w:noProof/>
          <w:sz w:val="16"/>
          <w:szCs w:val="16"/>
        </w:rPr>
        <w:t xml:space="preserve"> 1, s.l. : Nutrition Journal, October 2019, Vol. 18.</w:t>
      </w:r>
    </w:p>
    <w:p w14:paraId="0B7CCB1A"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9. </w:t>
      </w:r>
      <w:r w:rsidRPr="00D54599">
        <w:rPr>
          <w:rFonts w:ascii="Times New Roman" w:hAnsi="Times New Roman" w:cs="Times New Roman"/>
          <w:i/>
          <w:iCs/>
          <w:noProof/>
          <w:sz w:val="16"/>
          <w:szCs w:val="16"/>
        </w:rPr>
        <w:t xml:space="preserve">Dietary pattern and nutrient intakes in association with non-communicable disease risk factors among Filipino adults: a cross-sectional study. </w:t>
      </w:r>
      <w:r w:rsidRPr="00D54599">
        <w:rPr>
          <w:rFonts w:ascii="Times New Roman" w:hAnsi="Times New Roman" w:cs="Times New Roman"/>
          <w:b/>
          <w:bCs/>
          <w:noProof/>
          <w:sz w:val="16"/>
          <w:szCs w:val="16"/>
        </w:rPr>
        <w:t>Angeles-Agdeppa, Imelda, Sun, Ye and Tanda, Keith V.</w:t>
      </w:r>
      <w:r w:rsidRPr="00D54599">
        <w:rPr>
          <w:rFonts w:ascii="Times New Roman" w:hAnsi="Times New Roman" w:cs="Times New Roman"/>
          <w:noProof/>
          <w:sz w:val="16"/>
          <w:szCs w:val="16"/>
        </w:rPr>
        <w:t xml:space="preserve"> 1, s.l. : Nutrition Journal, 2020, Vol. 19.</w:t>
      </w:r>
    </w:p>
    <w:p w14:paraId="4D88633C"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10. </w:t>
      </w:r>
      <w:r w:rsidRPr="00D54599">
        <w:rPr>
          <w:rFonts w:ascii="Times New Roman" w:hAnsi="Times New Roman" w:cs="Times New Roman"/>
          <w:b/>
          <w:bCs/>
          <w:noProof/>
          <w:sz w:val="16"/>
          <w:szCs w:val="16"/>
        </w:rPr>
        <w:t>National Cholesterol Education Program.</w:t>
      </w:r>
      <w:r w:rsidRPr="00D54599">
        <w:rPr>
          <w:rFonts w:ascii="Times New Roman" w:hAnsi="Times New Roman" w:cs="Times New Roman"/>
          <w:noProof/>
          <w:sz w:val="16"/>
          <w:szCs w:val="16"/>
        </w:rPr>
        <w:t xml:space="preserve"> National Cholesterol Education Program (NCEP) Guidelines for Interpretation of Lipid Values. [Online] 2004. https://www.pubinfo.vcu.edu/pathLabs/print%20menu/appendix_ncep_guidelines.pdf.</w:t>
      </w:r>
    </w:p>
    <w:p w14:paraId="0453D6E2" w14:textId="77777777" w:rsidR="008E09CF" w:rsidRPr="00D54599" w:rsidRDefault="008E09CF" w:rsidP="008E09CF">
      <w:pPr>
        <w:pStyle w:val="Bibliography"/>
        <w:spacing w:after="0"/>
        <w:jc w:val="both"/>
        <w:rPr>
          <w:rFonts w:ascii="Times New Roman" w:hAnsi="Times New Roman" w:cs="Times New Roman"/>
          <w:noProof/>
          <w:sz w:val="16"/>
          <w:szCs w:val="16"/>
        </w:rPr>
      </w:pPr>
      <w:r w:rsidRPr="00D54599">
        <w:rPr>
          <w:rFonts w:ascii="Times New Roman" w:hAnsi="Times New Roman" w:cs="Times New Roman"/>
          <w:noProof/>
          <w:sz w:val="16"/>
          <w:szCs w:val="16"/>
        </w:rPr>
        <w:t xml:space="preserve">11. </w:t>
      </w:r>
      <w:r w:rsidRPr="00D54599">
        <w:rPr>
          <w:rFonts w:ascii="Times New Roman" w:hAnsi="Times New Roman" w:cs="Times New Roman"/>
          <w:b/>
          <w:bCs/>
          <w:noProof/>
          <w:sz w:val="16"/>
          <w:szCs w:val="16"/>
        </w:rPr>
        <w:t>the Japan Dietetic Association.</w:t>
      </w:r>
      <w:r w:rsidRPr="00D54599">
        <w:rPr>
          <w:rFonts w:ascii="Times New Roman" w:hAnsi="Times New Roman" w:cs="Times New Roman"/>
          <w:noProof/>
          <w:sz w:val="16"/>
          <w:szCs w:val="16"/>
        </w:rPr>
        <w:t xml:space="preserve"> Overview of Dietary Reference Intakes for Japanese. [Online] 2015. https://www.mhlw.go.jp/file/06-Seisakujouhou-10900000-Kenkoukyoku/Overview.pdf.</w:t>
      </w:r>
    </w:p>
    <w:p w14:paraId="3A797538" w14:textId="47EBB185" w:rsidR="008E09CF" w:rsidRPr="00D54599" w:rsidRDefault="008E09CF" w:rsidP="008E09CF">
      <w:pPr>
        <w:spacing w:after="0" w:line="240" w:lineRule="auto"/>
        <w:jc w:val="both"/>
        <w:rPr>
          <w:rFonts w:ascii="Times New Roman" w:hAnsi="Times New Roman" w:cs="Times New Roman"/>
        </w:rPr>
      </w:pPr>
      <w:r w:rsidRPr="00D54599">
        <w:rPr>
          <w:rFonts w:ascii="Times New Roman" w:hAnsi="Times New Roman" w:cs="Times New Roman"/>
          <w:sz w:val="16"/>
          <w:szCs w:val="16"/>
        </w:rPr>
        <w:fldChar w:fldCharType="end"/>
      </w:r>
    </w:p>
    <w:sectPr w:rsidR="008E09CF" w:rsidRPr="00D54599" w:rsidSect="00B75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3DB2A" w14:textId="77777777" w:rsidR="00D84C4B" w:rsidRDefault="00D84C4B" w:rsidP="00F303E3">
      <w:pPr>
        <w:spacing w:after="0" w:line="240" w:lineRule="auto"/>
      </w:pPr>
      <w:r>
        <w:separator/>
      </w:r>
    </w:p>
  </w:endnote>
  <w:endnote w:type="continuationSeparator" w:id="0">
    <w:p w14:paraId="0C441D4C" w14:textId="77777777" w:rsidR="00D84C4B" w:rsidRDefault="00D84C4B" w:rsidP="00F3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A6A7A" w14:textId="77777777" w:rsidR="00D84C4B" w:rsidRDefault="00D84C4B" w:rsidP="00F303E3">
      <w:pPr>
        <w:spacing w:after="0" w:line="240" w:lineRule="auto"/>
      </w:pPr>
      <w:r>
        <w:separator/>
      </w:r>
    </w:p>
  </w:footnote>
  <w:footnote w:type="continuationSeparator" w:id="0">
    <w:p w14:paraId="5219719F" w14:textId="77777777" w:rsidR="00D84C4B" w:rsidRDefault="00D84C4B" w:rsidP="00F303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6F13"/>
    <w:multiLevelType w:val="hybridMultilevel"/>
    <w:tmpl w:val="0D28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25015"/>
    <w:multiLevelType w:val="hybridMultilevel"/>
    <w:tmpl w:val="33DA958A"/>
    <w:lvl w:ilvl="0" w:tplc="BBC40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07352"/>
    <w:multiLevelType w:val="multilevel"/>
    <w:tmpl w:val="C7E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500244"/>
    <w:multiLevelType w:val="hybridMultilevel"/>
    <w:tmpl w:val="3BD0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07"/>
    <w:rsid w:val="00001CA5"/>
    <w:rsid w:val="0009705E"/>
    <w:rsid w:val="000D4ACA"/>
    <w:rsid w:val="000E03CA"/>
    <w:rsid w:val="0017080D"/>
    <w:rsid w:val="001977FD"/>
    <w:rsid w:val="001B14EB"/>
    <w:rsid w:val="00215BFE"/>
    <w:rsid w:val="002200A0"/>
    <w:rsid w:val="00221EBB"/>
    <w:rsid w:val="0024222D"/>
    <w:rsid w:val="00263ECB"/>
    <w:rsid w:val="0028626F"/>
    <w:rsid w:val="002870DE"/>
    <w:rsid w:val="002B7EC3"/>
    <w:rsid w:val="002C6D85"/>
    <w:rsid w:val="0031020B"/>
    <w:rsid w:val="00346180"/>
    <w:rsid w:val="003A7BAE"/>
    <w:rsid w:val="003D44D5"/>
    <w:rsid w:val="003F1584"/>
    <w:rsid w:val="00401166"/>
    <w:rsid w:val="0040515A"/>
    <w:rsid w:val="00415071"/>
    <w:rsid w:val="00416FC3"/>
    <w:rsid w:val="00436FCE"/>
    <w:rsid w:val="00456A9A"/>
    <w:rsid w:val="004D2502"/>
    <w:rsid w:val="004E1156"/>
    <w:rsid w:val="004E575B"/>
    <w:rsid w:val="00507D7E"/>
    <w:rsid w:val="0051796C"/>
    <w:rsid w:val="005667DC"/>
    <w:rsid w:val="00597F07"/>
    <w:rsid w:val="005B1B45"/>
    <w:rsid w:val="006007C6"/>
    <w:rsid w:val="00631DDB"/>
    <w:rsid w:val="00634A52"/>
    <w:rsid w:val="0064141F"/>
    <w:rsid w:val="006D6B52"/>
    <w:rsid w:val="006E2A60"/>
    <w:rsid w:val="007007CF"/>
    <w:rsid w:val="00736BCD"/>
    <w:rsid w:val="00785BA1"/>
    <w:rsid w:val="007B24E5"/>
    <w:rsid w:val="007E77E3"/>
    <w:rsid w:val="00814B73"/>
    <w:rsid w:val="00833E30"/>
    <w:rsid w:val="00844287"/>
    <w:rsid w:val="008E09CF"/>
    <w:rsid w:val="008E7A16"/>
    <w:rsid w:val="00917E88"/>
    <w:rsid w:val="00920218"/>
    <w:rsid w:val="00933066"/>
    <w:rsid w:val="009E7979"/>
    <w:rsid w:val="00A07509"/>
    <w:rsid w:val="00A239CE"/>
    <w:rsid w:val="00A43590"/>
    <w:rsid w:val="00A53498"/>
    <w:rsid w:val="00A57F51"/>
    <w:rsid w:val="00A86042"/>
    <w:rsid w:val="00AB54AE"/>
    <w:rsid w:val="00AC1C7E"/>
    <w:rsid w:val="00AE4538"/>
    <w:rsid w:val="00B003EF"/>
    <w:rsid w:val="00B068ED"/>
    <w:rsid w:val="00B427E3"/>
    <w:rsid w:val="00B510B3"/>
    <w:rsid w:val="00B758A6"/>
    <w:rsid w:val="00B83299"/>
    <w:rsid w:val="00BC20C9"/>
    <w:rsid w:val="00BD038C"/>
    <w:rsid w:val="00BD2F5A"/>
    <w:rsid w:val="00BF58CD"/>
    <w:rsid w:val="00C301BB"/>
    <w:rsid w:val="00C425F5"/>
    <w:rsid w:val="00C456DC"/>
    <w:rsid w:val="00CB68E0"/>
    <w:rsid w:val="00CC4592"/>
    <w:rsid w:val="00CF28A3"/>
    <w:rsid w:val="00D255D2"/>
    <w:rsid w:val="00D35CF6"/>
    <w:rsid w:val="00D500C4"/>
    <w:rsid w:val="00D54599"/>
    <w:rsid w:val="00D84C4B"/>
    <w:rsid w:val="00D9120D"/>
    <w:rsid w:val="00D97BB9"/>
    <w:rsid w:val="00DC14AE"/>
    <w:rsid w:val="00E74EB6"/>
    <w:rsid w:val="00EA6093"/>
    <w:rsid w:val="00EC01BC"/>
    <w:rsid w:val="00EE200C"/>
    <w:rsid w:val="00F303E3"/>
    <w:rsid w:val="00F34ED9"/>
    <w:rsid w:val="00F40B33"/>
    <w:rsid w:val="00FA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D808"/>
  <w15:docId w15:val="{33DEB2C5-E87F-48A8-B673-CAF2F745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8A3"/>
    <w:rPr>
      <w:rFonts w:ascii="Tahoma" w:hAnsi="Tahoma" w:cs="Tahoma"/>
      <w:sz w:val="16"/>
      <w:szCs w:val="16"/>
    </w:rPr>
  </w:style>
  <w:style w:type="table" w:styleId="TableGrid">
    <w:name w:val="Table Grid"/>
    <w:basedOn w:val="TableNormal"/>
    <w:uiPriority w:val="59"/>
    <w:rsid w:val="00CF2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ED9"/>
    <w:pPr>
      <w:ind w:left="720"/>
      <w:contextualSpacing/>
    </w:pPr>
  </w:style>
  <w:style w:type="paragraph" w:styleId="FootnoteText">
    <w:name w:val="footnote text"/>
    <w:basedOn w:val="Normal"/>
    <w:link w:val="FootnoteTextChar"/>
    <w:uiPriority w:val="99"/>
    <w:semiHidden/>
    <w:unhideWhenUsed/>
    <w:rsid w:val="00F3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03E3"/>
    <w:rPr>
      <w:sz w:val="20"/>
      <w:szCs w:val="20"/>
    </w:rPr>
  </w:style>
  <w:style w:type="character" w:styleId="FootnoteReference">
    <w:name w:val="footnote reference"/>
    <w:basedOn w:val="DefaultParagraphFont"/>
    <w:uiPriority w:val="99"/>
    <w:semiHidden/>
    <w:unhideWhenUsed/>
    <w:rsid w:val="00F303E3"/>
    <w:rPr>
      <w:vertAlign w:val="superscript"/>
    </w:rPr>
  </w:style>
  <w:style w:type="paragraph" w:styleId="Bibliography">
    <w:name w:val="Bibliography"/>
    <w:basedOn w:val="Normal"/>
    <w:next w:val="Normal"/>
    <w:uiPriority w:val="37"/>
    <w:unhideWhenUsed/>
    <w:rsid w:val="008E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345">
      <w:bodyDiv w:val="1"/>
      <w:marLeft w:val="0"/>
      <w:marRight w:val="0"/>
      <w:marTop w:val="0"/>
      <w:marBottom w:val="0"/>
      <w:divBdr>
        <w:top w:val="none" w:sz="0" w:space="0" w:color="auto"/>
        <w:left w:val="none" w:sz="0" w:space="0" w:color="auto"/>
        <w:bottom w:val="none" w:sz="0" w:space="0" w:color="auto"/>
        <w:right w:val="none" w:sz="0" w:space="0" w:color="auto"/>
      </w:divBdr>
    </w:div>
    <w:div w:id="147401613">
      <w:bodyDiv w:val="1"/>
      <w:marLeft w:val="0"/>
      <w:marRight w:val="0"/>
      <w:marTop w:val="0"/>
      <w:marBottom w:val="0"/>
      <w:divBdr>
        <w:top w:val="none" w:sz="0" w:space="0" w:color="auto"/>
        <w:left w:val="none" w:sz="0" w:space="0" w:color="auto"/>
        <w:bottom w:val="none" w:sz="0" w:space="0" w:color="auto"/>
        <w:right w:val="none" w:sz="0" w:space="0" w:color="auto"/>
      </w:divBdr>
    </w:div>
    <w:div w:id="180824081">
      <w:bodyDiv w:val="1"/>
      <w:marLeft w:val="0"/>
      <w:marRight w:val="0"/>
      <w:marTop w:val="0"/>
      <w:marBottom w:val="0"/>
      <w:divBdr>
        <w:top w:val="none" w:sz="0" w:space="0" w:color="auto"/>
        <w:left w:val="none" w:sz="0" w:space="0" w:color="auto"/>
        <w:bottom w:val="none" w:sz="0" w:space="0" w:color="auto"/>
        <w:right w:val="none" w:sz="0" w:space="0" w:color="auto"/>
      </w:divBdr>
    </w:div>
    <w:div w:id="300112363">
      <w:bodyDiv w:val="1"/>
      <w:marLeft w:val="0"/>
      <w:marRight w:val="0"/>
      <w:marTop w:val="0"/>
      <w:marBottom w:val="0"/>
      <w:divBdr>
        <w:top w:val="none" w:sz="0" w:space="0" w:color="auto"/>
        <w:left w:val="none" w:sz="0" w:space="0" w:color="auto"/>
        <w:bottom w:val="none" w:sz="0" w:space="0" w:color="auto"/>
        <w:right w:val="none" w:sz="0" w:space="0" w:color="auto"/>
      </w:divBdr>
    </w:div>
    <w:div w:id="383410026">
      <w:bodyDiv w:val="1"/>
      <w:marLeft w:val="0"/>
      <w:marRight w:val="0"/>
      <w:marTop w:val="0"/>
      <w:marBottom w:val="0"/>
      <w:divBdr>
        <w:top w:val="none" w:sz="0" w:space="0" w:color="auto"/>
        <w:left w:val="none" w:sz="0" w:space="0" w:color="auto"/>
        <w:bottom w:val="none" w:sz="0" w:space="0" w:color="auto"/>
        <w:right w:val="none" w:sz="0" w:space="0" w:color="auto"/>
      </w:divBdr>
    </w:div>
    <w:div w:id="885678971">
      <w:bodyDiv w:val="1"/>
      <w:marLeft w:val="0"/>
      <w:marRight w:val="0"/>
      <w:marTop w:val="0"/>
      <w:marBottom w:val="0"/>
      <w:divBdr>
        <w:top w:val="none" w:sz="0" w:space="0" w:color="auto"/>
        <w:left w:val="none" w:sz="0" w:space="0" w:color="auto"/>
        <w:bottom w:val="none" w:sz="0" w:space="0" w:color="auto"/>
        <w:right w:val="none" w:sz="0" w:space="0" w:color="auto"/>
      </w:divBdr>
    </w:div>
    <w:div w:id="988290590">
      <w:bodyDiv w:val="1"/>
      <w:marLeft w:val="0"/>
      <w:marRight w:val="0"/>
      <w:marTop w:val="0"/>
      <w:marBottom w:val="0"/>
      <w:divBdr>
        <w:top w:val="none" w:sz="0" w:space="0" w:color="auto"/>
        <w:left w:val="none" w:sz="0" w:space="0" w:color="auto"/>
        <w:bottom w:val="none" w:sz="0" w:space="0" w:color="auto"/>
        <w:right w:val="none" w:sz="0" w:space="0" w:color="auto"/>
      </w:divBdr>
    </w:div>
    <w:div w:id="991715229">
      <w:bodyDiv w:val="1"/>
      <w:marLeft w:val="0"/>
      <w:marRight w:val="0"/>
      <w:marTop w:val="0"/>
      <w:marBottom w:val="0"/>
      <w:divBdr>
        <w:top w:val="none" w:sz="0" w:space="0" w:color="auto"/>
        <w:left w:val="none" w:sz="0" w:space="0" w:color="auto"/>
        <w:bottom w:val="none" w:sz="0" w:space="0" w:color="auto"/>
        <w:right w:val="none" w:sz="0" w:space="0" w:color="auto"/>
      </w:divBdr>
    </w:div>
    <w:div w:id="1174297268">
      <w:bodyDiv w:val="1"/>
      <w:marLeft w:val="0"/>
      <w:marRight w:val="0"/>
      <w:marTop w:val="0"/>
      <w:marBottom w:val="0"/>
      <w:divBdr>
        <w:top w:val="none" w:sz="0" w:space="0" w:color="auto"/>
        <w:left w:val="none" w:sz="0" w:space="0" w:color="auto"/>
        <w:bottom w:val="none" w:sz="0" w:space="0" w:color="auto"/>
        <w:right w:val="none" w:sz="0" w:space="0" w:color="auto"/>
      </w:divBdr>
    </w:div>
    <w:div w:id="1337196657">
      <w:bodyDiv w:val="1"/>
      <w:marLeft w:val="0"/>
      <w:marRight w:val="0"/>
      <w:marTop w:val="0"/>
      <w:marBottom w:val="0"/>
      <w:divBdr>
        <w:top w:val="none" w:sz="0" w:space="0" w:color="auto"/>
        <w:left w:val="none" w:sz="0" w:space="0" w:color="auto"/>
        <w:bottom w:val="none" w:sz="0" w:space="0" w:color="auto"/>
        <w:right w:val="none" w:sz="0" w:space="0" w:color="auto"/>
      </w:divBdr>
    </w:div>
    <w:div w:id="1341666360">
      <w:bodyDiv w:val="1"/>
      <w:marLeft w:val="0"/>
      <w:marRight w:val="0"/>
      <w:marTop w:val="0"/>
      <w:marBottom w:val="0"/>
      <w:divBdr>
        <w:top w:val="none" w:sz="0" w:space="0" w:color="auto"/>
        <w:left w:val="none" w:sz="0" w:space="0" w:color="auto"/>
        <w:bottom w:val="none" w:sz="0" w:space="0" w:color="auto"/>
        <w:right w:val="none" w:sz="0" w:space="0" w:color="auto"/>
      </w:divBdr>
    </w:div>
    <w:div w:id="1407334851">
      <w:bodyDiv w:val="1"/>
      <w:marLeft w:val="0"/>
      <w:marRight w:val="0"/>
      <w:marTop w:val="0"/>
      <w:marBottom w:val="0"/>
      <w:divBdr>
        <w:top w:val="none" w:sz="0" w:space="0" w:color="auto"/>
        <w:left w:val="none" w:sz="0" w:space="0" w:color="auto"/>
        <w:bottom w:val="none" w:sz="0" w:space="0" w:color="auto"/>
        <w:right w:val="none" w:sz="0" w:space="0" w:color="auto"/>
      </w:divBdr>
    </w:div>
    <w:div w:id="1428502963">
      <w:bodyDiv w:val="1"/>
      <w:marLeft w:val="0"/>
      <w:marRight w:val="0"/>
      <w:marTop w:val="0"/>
      <w:marBottom w:val="0"/>
      <w:divBdr>
        <w:top w:val="none" w:sz="0" w:space="0" w:color="auto"/>
        <w:left w:val="none" w:sz="0" w:space="0" w:color="auto"/>
        <w:bottom w:val="none" w:sz="0" w:space="0" w:color="auto"/>
        <w:right w:val="none" w:sz="0" w:space="0" w:color="auto"/>
      </w:divBdr>
    </w:div>
    <w:div w:id="1603146848">
      <w:bodyDiv w:val="1"/>
      <w:marLeft w:val="0"/>
      <w:marRight w:val="0"/>
      <w:marTop w:val="0"/>
      <w:marBottom w:val="0"/>
      <w:divBdr>
        <w:top w:val="none" w:sz="0" w:space="0" w:color="auto"/>
        <w:left w:val="none" w:sz="0" w:space="0" w:color="auto"/>
        <w:bottom w:val="none" w:sz="0" w:space="0" w:color="auto"/>
        <w:right w:val="none" w:sz="0" w:space="0" w:color="auto"/>
      </w:divBdr>
    </w:div>
    <w:div w:id="1609655270">
      <w:bodyDiv w:val="1"/>
      <w:marLeft w:val="0"/>
      <w:marRight w:val="0"/>
      <w:marTop w:val="0"/>
      <w:marBottom w:val="0"/>
      <w:divBdr>
        <w:top w:val="none" w:sz="0" w:space="0" w:color="auto"/>
        <w:left w:val="none" w:sz="0" w:space="0" w:color="auto"/>
        <w:bottom w:val="none" w:sz="0" w:space="0" w:color="auto"/>
        <w:right w:val="none" w:sz="0" w:space="0" w:color="auto"/>
      </w:divBdr>
    </w:div>
    <w:div w:id="1694333035">
      <w:bodyDiv w:val="1"/>
      <w:marLeft w:val="0"/>
      <w:marRight w:val="0"/>
      <w:marTop w:val="0"/>
      <w:marBottom w:val="0"/>
      <w:divBdr>
        <w:top w:val="none" w:sz="0" w:space="0" w:color="auto"/>
        <w:left w:val="none" w:sz="0" w:space="0" w:color="auto"/>
        <w:bottom w:val="none" w:sz="0" w:space="0" w:color="auto"/>
        <w:right w:val="none" w:sz="0" w:space="0" w:color="auto"/>
      </w:divBdr>
    </w:div>
    <w:div w:id="1964538335">
      <w:bodyDiv w:val="1"/>
      <w:marLeft w:val="0"/>
      <w:marRight w:val="0"/>
      <w:marTop w:val="0"/>
      <w:marBottom w:val="0"/>
      <w:divBdr>
        <w:top w:val="none" w:sz="0" w:space="0" w:color="auto"/>
        <w:left w:val="none" w:sz="0" w:space="0" w:color="auto"/>
        <w:bottom w:val="none" w:sz="0" w:space="0" w:color="auto"/>
        <w:right w:val="none" w:sz="0" w:space="0" w:color="auto"/>
      </w:divBdr>
    </w:div>
    <w:div w:id="205469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Dep15</b:Tag>
    <b:SourceType>DocumentFromInternetSite</b:SourceType>
    <b:Guid>{9B97BD5E-C700-401F-9075-AD217A827A14}</b:Guid>
    <b:Author>
      <b:Author>
        <b:Corporate>Department of Science and Technology - Food and Nutrition Research Institute</b:Corporate>
      </b:Author>
    </b:Author>
    <b:Title>the Philippine Dietary Reference Intake 2015</b:Title>
    <b:Year>2015</b:Year>
    <b:City>Taguig, Philippines</b:City>
    <b:URL>https://www.fnri.dost.gov.ph/index.php/159-fnri-launches-the-philippine-dietary-reference-intakes-pdri-2015</b:URL>
    <b:RefOrder>1</b:RefOrder>
  </b:Source>
  <b:Source>
    <b:Tag>Ang21</b:Tag>
    <b:SourceType>JournalArticle</b:SourceType>
    <b:Guid>{5FF638E7-A77B-4E98-8A4E-E8D0476C7AEB}</b:Guid>
    <b:Title>Vitamin D Status and Usual Nutrient Intake of Filipino Children Aged 6-12 Years in Selected Areas in the Philippines: A 2018 National Nutrition Survey</b:Title>
    <b:Year>2021</b:Year>
    <b:Author>
      <b:Author>
        <b:NameList>
          <b:Person>
            <b:Last>Angeles-Agdeppa</b:Last>
            <b:First>Imelda</b:First>
          </b:Person>
          <b:Person>
            <b:Last>Tanda</b:Last>
            <b:First>Keith</b:First>
          </b:Person>
        </b:NameList>
      </b:Author>
    </b:Author>
    <b:JournalName>Journal of Nutrition and Metabolism</b:JournalName>
    <b:Pages>1-9</b:Pages>
    <b:RefOrder>2</b:RefOrder>
  </b:Source>
  <b:Source>
    <b:Tag>Smi15</b:Tag>
    <b:SourceType>JournalArticle</b:SourceType>
    <b:Guid>{42C1CDC2-AE3F-44E6-9530-7545BD97BAFE}</b:Guid>
    <b:Title>Vitamin D and anemia: insights into an emerging association</b:Title>
    <b:Year>2015</b:Year>
    <b:Publisher>Current Opinion in Endocrinology,Diabetes and Obesity</b:Publisher>
    <b:Volume>22</b:Volume>
    <b:Issue>6</b:Issue>
    <b:Author>
      <b:Author>
        <b:NameList>
          <b:Person>
            <b:Last>Smith</b:Last>
            <b:Middle>M</b:Middle>
            <b:First>Ellen</b:First>
          </b:Person>
          <b:Person>
            <b:Last>Tangpricha</b:Last>
            <b:First>Vin</b:First>
          </b:Person>
        </b:NameList>
      </b:Author>
    </b:Author>
    <b:Pages>432-8</b:Pages>
    <b:DOI>10.1097/MED.0000000000000199.</b:DOI>
    <b:RefOrder>3</b:RefOrder>
  </b:Source>
  <b:Source>
    <b:Tag>Fra04</b:Tag>
    <b:SourceType>JournalArticle</b:SourceType>
    <b:Guid>{1BC5DBE6-EFC5-461A-9CC5-D4DAE2654110}</b:Guid>
    <b:Title>Vitamin D-deficiency in Asia</b:Title>
    <b:Year>2004</b:Year>
    <b:Publisher>the Journal of Steriod Biochemistry and Molecular Biology</b:Publisher>
    <b:Volume>89-90</b:Volume>
    <b:Issue>1-5</b:Issue>
    <b:Author>
      <b:Author>
        <b:NameList>
          <b:Person>
            <b:Last>Fraser</b:Last>
            <b:Middle>R</b:Middle>
            <b:First>David </b:First>
          </b:Person>
        </b:NameList>
      </b:Author>
    </b:Author>
    <b:Pages>491-5</b:Pages>
    <b:DOI>10.1016/j.jsbmb.2004.03.057</b:DOI>
    <b:RefOrder>4</b:RefOrder>
  </b:Source>
  <b:Source>
    <b:Tag>Wor</b:Tag>
    <b:SourceType>InternetSite</b:SourceType>
    <b:Guid>{BC9E92AF-081B-4BC7-AFFC-FEB89D67CACD}</b:Guid>
    <b:Title>Sodium Intake for Adults and Children</b:Title>
    <b:Author>
      <b:Author>
        <b:Corporate>World Health Organization</b:Corporate>
      </b:Author>
    </b:Author>
    <b:URL>https://www.who.int/elena/titles/guidance_summaries/sodium_intake/en/#:~:text=WHO%20recommends%20a%20reduction%20to%20%3C2%20g/day%20sodium,requirements%20of%20children%20relative%20to%20those%20of%20adults.</b:URL>
    <b:RefOrder>5</b:RefOrder>
  </b:Source>
  <b:Source>
    <b:Tag>The19</b:Tag>
    <b:SourceType>DocumentFromInternetSite</b:SourceType>
    <b:Guid>{614B68C4-1A46-4541-99BA-F4A04536D3E5}</b:Guid>
    <b:Title>Dietary Reference Intakes for Sodium and Potassium</b:Title>
    <b:Year>2019</b:Year>
    <b:URL>https://www.nap.edu/catalog/25353/dietary-reference-intakes-for-sodium-and-potassium</b:URL>
    <b:Author>
      <b:Author>
        <b:Corporate>The National Academies of Sciences Engineering Medicine</b:Corporate>
      </b:Author>
    </b:Author>
    <b:RefOrder>6</b:RefOrder>
  </b:Source>
  <b:Source>
    <b:Tag>Wor15</b:Tag>
    <b:SourceType>DocumentFromInternetSite</b:SourceType>
    <b:Guid>{D2468F8B-9959-49E8-9235-2E121971C208}</b:Guid>
    <b:Author>
      <b:Author>
        <b:Corporate>World Health Organization</b:Corporate>
      </b:Author>
    </b:Author>
    <b:Title>Guideline: sugars intake for adults and children</b:Title>
    <b:Year>2015</b:Year>
    <b:Month>March</b:Month>
    <b:Day>4</b:Day>
    <b:URL>https://www.who.int/publications/i/item/9789241549028</b:URL>
    <b:RefOrder>7</b:RefOrder>
  </b:Source>
  <b:Source>
    <b:Tag>Ang19</b:Tag>
    <b:SourceType>JournalArticle</b:SourceType>
    <b:Guid>{4BA45479-BE20-4082-871B-D420C95644F8}</b:Guid>
    <b:Title>Food sources, energy and nutrient intakes of adults: 2013 Philippines National Nutrition Survey</b:Title>
    <b:Year>2019</b:Year>
    <b:Month>October</b:Month>
    <b:Publisher>Nutrition Journal</b:Publisher>
    <b:Volume>18</b:Volume>
    <b:Issue>1</b:Issue>
    <b:Author>
      <b:Author>
        <b:NameList>
          <b:Person>
            <b:Last>Angeles-Agdeppa</b:Last>
            <b:First>Imelda</b:First>
          </b:Person>
          <b:Person>
            <b:Last>Sun</b:Last>
            <b:First>Ye</b:First>
          </b:Person>
          <b:Person>
            <b:Last>Denney</b:Last>
            <b:First>Liya</b:First>
          </b:Person>
          <b:Person>
            <b:Last>Tanda</b:Last>
            <b:Middle>V</b:Middle>
            <b:First>Keith</b:First>
          </b:Person>
        </b:NameList>
      </b:Author>
    </b:Author>
    <b:DOI>10.1186/s12937-019-0481-z</b:DOI>
    <b:RefOrder>8</b:RefOrder>
  </b:Source>
  <b:Source>
    <b:Tag>Ang20</b:Tag>
    <b:SourceType>JournalArticle</b:SourceType>
    <b:Guid>{61EB853F-13DC-4B40-9CC8-27FC22C996D8}</b:Guid>
    <b:Title>Dietary pattern and nutrient intakes in association with non-communicable disease risk factors among Filipino adults: a cross-sectional study</b:Title>
    <b:Year>2020</b:Year>
    <b:Publisher>Nutrition Journal</b:Publisher>
    <b:Volume>19</b:Volume>
    <b:Issue>1</b:Issue>
    <b:Author>
      <b:Author>
        <b:NameList>
          <b:Person>
            <b:Last>Angeles-Agdeppa</b:Last>
            <b:First>Imelda</b:First>
          </b:Person>
          <b:Person>
            <b:Last>Sun</b:Last>
            <b:First>Ye</b:First>
          </b:Person>
          <b:Person>
            <b:Last>Tanda</b:Last>
            <b:Middle>V.</b:Middle>
            <b:First>Keith</b:First>
          </b:Person>
        </b:NameList>
      </b:Author>
    </b:Author>
    <b:DOI>10.1186/s12937-020-00597-x</b:DOI>
    <b:RefOrder>9</b:RefOrder>
  </b:Source>
  <b:Source>
    <b:Tag>Nat04</b:Tag>
    <b:SourceType>DocumentFromInternetSite</b:SourceType>
    <b:Guid>{F34FC453-E07B-43FF-8657-262FEF421424}</b:Guid>
    <b:Title>National Cholesterol Education Program (NCEP) Guidelines for Interpretation of Lipid Values</b:Title>
    <b:Year>2004</b:Year>
    <b:Author>
      <b:Author>
        <b:Corporate>National Cholesterol Education Program</b:Corporate>
      </b:Author>
    </b:Author>
    <b:URL>https://www.pubinfo.vcu.edu/pathLabs/print%20menu/appendix_ncep_guidelines.pdf</b:URL>
    <b:RefOrder>10</b:RefOrder>
  </b:Source>
  <b:Source>
    <b:Tag>the15</b:Tag>
    <b:SourceType>DocumentFromInternetSite</b:SourceType>
    <b:Guid>{6050CC78-2AC3-4C2A-8F2C-E9DE7448F6DB}</b:Guid>
    <b:Author>
      <b:Author>
        <b:Corporate>the Japan Dietetic Association</b:Corporate>
      </b:Author>
    </b:Author>
    <b:Title>Overview of Dietary Reference Intakes for Japanese</b:Title>
    <b:Year>2015</b:Year>
    <b:URL>https://www.mhlw.go.jp/file/06-Seisakujouhou-10900000-Kenkoukyoku/Overview.pdf</b:URL>
    <b:RefOrder>11</b:RefOrder>
  </b:Source>
</b:Sources>
</file>

<file path=customXml/itemProps1.xml><?xml version="1.0" encoding="utf-8"?>
<ds:datastoreItem xmlns:ds="http://schemas.openxmlformats.org/officeDocument/2006/customXml" ds:itemID="{C44B4CD4-05B8-404F-8963-F786BC18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NIEPS-ACER3</dc:creator>
  <cp:lastModifiedBy>FNRI</cp:lastModifiedBy>
  <cp:revision>20</cp:revision>
  <cp:lastPrinted>2020-11-18T03:25:00Z</cp:lastPrinted>
  <dcterms:created xsi:type="dcterms:W3CDTF">2021-02-10T01:17:00Z</dcterms:created>
  <dcterms:modified xsi:type="dcterms:W3CDTF">2022-02-23T00:15:00Z</dcterms:modified>
</cp:coreProperties>
</file>