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857B3" w14:textId="4918D68D" w:rsidR="008A005E" w:rsidRDefault="008A005E" w:rsidP="008A005E">
      <w:pPr>
        <w:rPr>
          <w:rFonts w:ascii="Arial" w:hAnsi="Arial" w:cs="Arial"/>
          <w:b/>
          <w:bCs/>
        </w:rPr>
      </w:pPr>
      <w:r w:rsidRPr="006649F5">
        <w:rPr>
          <w:rFonts w:ascii="Arial" w:hAnsi="Arial" w:cs="Arial"/>
          <w:b/>
          <w:bCs/>
        </w:rPr>
        <w:t>Supplementa</w:t>
      </w:r>
      <w:r w:rsidR="00E02491">
        <w:rPr>
          <w:rFonts w:ascii="Arial" w:hAnsi="Arial" w:cs="Arial"/>
          <w:b/>
          <w:bCs/>
        </w:rPr>
        <w:t xml:space="preserve">ry </w:t>
      </w:r>
      <w:r w:rsidRPr="006649F5">
        <w:rPr>
          <w:rFonts w:ascii="Arial" w:hAnsi="Arial" w:cs="Arial"/>
          <w:b/>
          <w:bCs/>
        </w:rPr>
        <w:t>Figure 1.</w:t>
      </w:r>
      <w:r>
        <w:rPr>
          <w:rFonts w:ascii="Arial" w:hAnsi="Arial" w:cs="Arial"/>
          <w:b/>
          <w:bCs/>
        </w:rPr>
        <w:t xml:space="preserve"> Distribution of up- and down-regulated molecules that map to IPA’s canonical pathways </w:t>
      </w:r>
    </w:p>
    <w:p w14:paraId="4B79713A" w14:textId="77777777" w:rsidR="008A005E" w:rsidRDefault="008A005E" w:rsidP="008A005E">
      <w:pPr>
        <w:rPr>
          <w:rFonts w:ascii="Arial" w:hAnsi="Arial" w:cs="Arial"/>
        </w:rPr>
      </w:pPr>
      <w:r>
        <w:rPr>
          <w:rFonts w:ascii="Arial" w:hAnsi="Arial" w:cs="Arial"/>
        </w:rPr>
        <w:t>The number of downregulated and upregulated phosphoproteins observed from the dataset were mapped to IPA’s annotated canonical pathways. The top 10 canonical pathways are shown. The total number of molecules annotated to the pathway from IPA’s Knowledge Base are listed at the end of the stacked bar graph. The green and red bar represents down- or upregulated molecules in Ovx relative to Sham muscle observed in our phosphoproteomics dataset.</w:t>
      </w:r>
    </w:p>
    <w:p w14:paraId="0CF99A03" w14:textId="5334940F" w:rsidR="008A005E" w:rsidRDefault="008A005E" w:rsidP="008A005E">
      <w:pPr>
        <w:rPr>
          <w:rFonts w:ascii="Arial" w:hAnsi="Arial" w:cs="Arial"/>
          <w:b/>
          <w:bCs/>
        </w:rPr>
      </w:pPr>
    </w:p>
    <w:p w14:paraId="2320DDBD" w14:textId="3EE770C7" w:rsidR="008A005E" w:rsidRDefault="008A005E" w:rsidP="008A005E">
      <w:pPr>
        <w:rPr>
          <w:rFonts w:ascii="Arial" w:hAnsi="Arial" w:cs="Arial"/>
          <w:b/>
          <w:bCs/>
        </w:rPr>
      </w:pPr>
      <w:r>
        <w:rPr>
          <w:rFonts w:ascii="Arial" w:hAnsi="Arial" w:cs="Arial"/>
          <w:b/>
          <w:bCs/>
          <w:noProof/>
        </w:rPr>
        <w:drawing>
          <wp:inline distT="0" distB="0" distL="0" distR="0" wp14:anchorId="4FDE6952" wp14:editId="1FC34567">
            <wp:extent cx="5943600" cy="24974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497455"/>
                    </a:xfrm>
                    <a:prstGeom prst="rect">
                      <a:avLst/>
                    </a:prstGeom>
                  </pic:spPr>
                </pic:pic>
              </a:graphicData>
            </a:graphic>
          </wp:inline>
        </w:drawing>
      </w:r>
    </w:p>
    <w:p w14:paraId="5E9613B2" w14:textId="77777777" w:rsidR="008A005E" w:rsidRDefault="008A005E" w:rsidP="008A005E">
      <w:pPr>
        <w:rPr>
          <w:rFonts w:ascii="Arial" w:hAnsi="Arial" w:cs="Arial"/>
          <w:b/>
          <w:bCs/>
        </w:rPr>
      </w:pPr>
    </w:p>
    <w:p w14:paraId="3E7E6CC1" w14:textId="25C88BDD" w:rsidR="008A005E" w:rsidRDefault="008A005E" w:rsidP="008A005E">
      <w:pPr>
        <w:rPr>
          <w:rFonts w:ascii="Arial" w:hAnsi="Arial" w:cs="Arial"/>
          <w:b/>
          <w:bCs/>
        </w:rPr>
      </w:pPr>
    </w:p>
    <w:p w14:paraId="19AA722E" w14:textId="5945E1D7" w:rsidR="008A005E" w:rsidRDefault="008A005E" w:rsidP="008A005E">
      <w:pPr>
        <w:rPr>
          <w:rFonts w:ascii="Arial" w:hAnsi="Arial" w:cs="Arial"/>
          <w:b/>
          <w:bCs/>
        </w:rPr>
      </w:pPr>
    </w:p>
    <w:p w14:paraId="68F5E978" w14:textId="3D0A7DCE" w:rsidR="008A005E" w:rsidRDefault="008A005E" w:rsidP="008A005E">
      <w:pPr>
        <w:rPr>
          <w:rFonts w:ascii="Arial" w:hAnsi="Arial" w:cs="Arial"/>
          <w:b/>
          <w:bCs/>
        </w:rPr>
      </w:pPr>
    </w:p>
    <w:p w14:paraId="5689202D" w14:textId="65A43E1B" w:rsidR="008A005E" w:rsidRDefault="008A005E" w:rsidP="008A005E">
      <w:pPr>
        <w:rPr>
          <w:rFonts w:ascii="Arial" w:hAnsi="Arial" w:cs="Arial"/>
          <w:b/>
          <w:bCs/>
        </w:rPr>
      </w:pPr>
    </w:p>
    <w:p w14:paraId="68EF70E4" w14:textId="44CAC7EC" w:rsidR="008A005E" w:rsidRDefault="008A005E" w:rsidP="008A005E">
      <w:pPr>
        <w:rPr>
          <w:rFonts w:ascii="Arial" w:hAnsi="Arial" w:cs="Arial"/>
          <w:b/>
          <w:bCs/>
        </w:rPr>
      </w:pPr>
    </w:p>
    <w:p w14:paraId="3264948F" w14:textId="57A3F409" w:rsidR="008A005E" w:rsidRDefault="008A005E" w:rsidP="008A005E">
      <w:pPr>
        <w:rPr>
          <w:rFonts w:ascii="Arial" w:hAnsi="Arial" w:cs="Arial"/>
          <w:b/>
          <w:bCs/>
        </w:rPr>
      </w:pPr>
    </w:p>
    <w:p w14:paraId="47D5DF0D" w14:textId="72DAD122" w:rsidR="008A005E" w:rsidRDefault="008A005E" w:rsidP="008A005E">
      <w:pPr>
        <w:rPr>
          <w:rFonts w:ascii="Arial" w:hAnsi="Arial" w:cs="Arial"/>
          <w:b/>
          <w:bCs/>
        </w:rPr>
      </w:pPr>
    </w:p>
    <w:p w14:paraId="4F95F645" w14:textId="471584B7" w:rsidR="008A005E" w:rsidRDefault="008A005E" w:rsidP="008A005E">
      <w:pPr>
        <w:rPr>
          <w:rFonts w:ascii="Arial" w:hAnsi="Arial" w:cs="Arial"/>
          <w:b/>
          <w:bCs/>
        </w:rPr>
      </w:pPr>
    </w:p>
    <w:p w14:paraId="1F913D8B" w14:textId="21F2C7E7" w:rsidR="008A005E" w:rsidRDefault="008A005E" w:rsidP="008A005E">
      <w:pPr>
        <w:rPr>
          <w:rFonts w:ascii="Arial" w:hAnsi="Arial" w:cs="Arial"/>
          <w:b/>
          <w:bCs/>
        </w:rPr>
      </w:pPr>
    </w:p>
    <w:p w14:paraId="79EBAA8D" w14:textId="60FAE7EB" w:rsidR="008A005E" w:rsidRDefault="008A005E" w:rsidP="008A005E">
      <w:pPr>
        <w:rPr>
          <w:rFonts w:ascii="Arial" w:hAnsi="Arial" w:cs="Arial"/>
          <w:b/>
          <w:bCs/>
        </w:rPr>
      </w:pPr>
    </w:p>
    <w:p w14:paraId="14A01696" w14:textId="5C8F47C4" w:rsidR="008A005E" w:rsidRDefault="008A005E" w:rsidP="008A005E">
      <w:pPr>
        <w:rPr>
          <w:rFonts w:ascii="Arial" w:hAnsi="Arial" w:cs="Arial"/>
          <w:b/>
          <w:bCs/>
        </w:rPr>
      </w:pPr>
    </w:p>
    <w:p w14:paraId="7FC10AC8" w14:textId="2BC7A008" w:rsidR="008A005E" w:rsidRDefault="008A005E" w:rsidP="008A005E">
      <w:pPr>
        <w:rPr>
          <w:rFonts w:ascii="Arial" w:hAnsi="Arial" w:cs="Arial"/>
          <w:b/>
          <w:bCs/>
        </w:rPr>
      </w:pPr>
    </w:p>
    <w:p w14:paraId="245312AC" w14:textId="22001A11" w:rsidR="008A005E" w:rsidRDefault="008A005E" w:rsidP="008A005E">
      <w:pPr>
        <w:rPr>
          <w:rFonts w:ascii="Arial" w:hAnsi="Arial" w:cs="Arial"/>
          <w:b/>
          <w:bCs/>
        </w:rPr>
      </w:pPr>
    </w:p>
    <w:p w14:paraId="78F4BFE2" w14:textId="60724CC4" w:rsidR="008A005E" w:rsidRDefault="008A005E" w:rsidP="008A005E">
      <w:pPr>
        <w:rPr>
          <w:rFonts w:ascii="Arial" w:hAnsi="Arial" w:cs="Arial"/>
          <w:b/>
          <w:bCs/>
        </w:rPr>
      </w:pPr>
    </w:p>
    <w:p w14:paraId="1BF7EB39" w14:textId="1107B264" w:rsidR="008A005E" w:rsidRDefault="008A005E" w:rsidP="008A005E">
      <w:pPr>
        <w:rPr>
          <w:rFonts w:ascii="Arial" w:hAnsi="Arial" w:cs="Arial"/>
          <w:b/>
          <w:bCs/>
        </w:rPr>
      </w:pPr>
    </w:p>
    <w:p w14:paraId="6F536125" w14:textId="6CC2B8D5" w:rsidR="008A005E" w:rsidRDefault="008A005E" w:rsidP="008A005E">
      <w:pPr>
        <w:rPr>
          <w:rFonts w:ascii="Arial" w:hAnsi="Arial" w:cs="Arial"/>
          <w:b/>
          <w:bCs/>
        </w:rPr>
      </w:pPr>
    </w:p>
    <w:p w14:paraId="0539AEE8" w14:textId="10F7A093" w:rsidR="008A005E" w:rsidRDefault="008A005E" w:rsidP="008A005E">
      <w:pPr>
        <w:rPr>
          <w:rFonts w:ascii="Arial" w:hAnsi="Arial" w:cs="Arial"/>
          <w:b/>
          <w:bCs/>
        </w:rPr>
      </w:pPr>
    </w:p>
    <w:p w14:paraId="06D7D3EA" w14:textId="20E96771" w:rsidR="008A005E" w:rsidRDefault="008A005E" w:rsidP="008A005E">
      <w:pPr>
        <w:rPr>
          <w:rFonts w:ascii="Arial" w:hAnsi="Arial" w:cs="Arial"/>
          <w:b/>
          <w:bCs/>
        </w:rPr>
      </w:pPr>
    </w:p>
    <w:p w14:paraId="35320CB4" w14:textId="5C1E2723" w:rsidR="008A005E" w:rsidRDefault="008A005E" w:rsidP="008A005E">
      <w:pPr>
        <w:rPr>
          <w:rFonts w:ascii="Arial" w:hAnsi="Arial" w:cs="Arial"/>
          <w:b/>
          <w:bCs/>
        </w:rPr>
      </w:pPr>
    </w:p>
    <w:p w14:paraId="0BD04A13" w14:textId="50B68501" w:rsidR="008A005E" w:rsidRDefault="008A005E" w:rsidP="008A005E">
      <w:pPr>
        <w:rPr>
          <w:rFonts w:ascii="Arial" w:hAnsi="Arial" w:cs="Arial"/>
          <w:b/>
          <w:bCs/>
        </w:rPr>
      </w:pPr>
    </w:p>
    <w:p w14:paraId="051969DC" w14:textId="77777777" w:rsidR="008A005E" w:rsidRDefault="008A005E" w:rsidP="008A005E">
      <w:pPr>
        <w:rPr>
          <w:rFonts w:ascii="Arial" w:hAnsi="Arial" w:cs="Arial"/>
          <w:b/>
          <w:bCs/>
        </w:rPr>
      </w:pPr>
    </w:p>
    <w:p w14:paraId="131F00D5" w14:textId="77777777" w:rsidR="008A005E" w:rsidRDefault="008A005E" w:rsidP="008A005E">
      <w:pPr>
        <w:rPr>
          <w:rFonts w:ascii="Arial" w:hAnsi="Arial" w:cs="Arial"/>
          <w:b/>
          <w:bCs/>
        </w:rPr>
      </w:pPr>
    </w:p>
    <w:p w14:paraId="276FA141" w14:textId="50A55583" w:rsidR="008A005E" w:rsidRDefault="008A005E" w:rsidP="008A005E">
      <w:pPr>
        <w:rPr>
          <w:rFonts w:ascii="Arial" w:hAnsi="Arial" w:cs="Arial"/>
          <w:b/>
          <w:bCs/>
        </w:rPr>
      </w:pPr>
      <w:r>
        <w:rPr>
          <w:rFonts w:ascii="Arial" w:hAnsi="Arial" w:cs="Arial"/>
          <w:b/>
          <w:bCs/>
        </w:rPr>
        <w:lastRenderedPageBreak/>
        <w:t>Supplementa</w:t>
      </w:r>
      <w:r w:rsidR="00E02491">
        <w:rPr>
          <w:rFonts w:ascii="Arial" w:hAnsi="Arial" w:cs="Arial"/>
          <w:b/>
          <w:bCs/>
        </w:rPr>
        <w:t>ry</w:t>
      </w:r>
      <w:r>
        <w:rPr>
          <w:rFonts w:ascii="Arial" w:hAnsi="Arial" w:cs="Arial"/>
          <w:b/>
          <w:bCs/>
        </w:rPr>
        <w:t xml:space="preserve"> Figure 2. </w:t>
      </w:r>
      <w:r w:rsidRPr="006649F5">
        <w:rPr>
          <w:rFonts w:ascii="Arial" w:hAnsi="Arial" w:cs="Arial"/>
          <w:b/>
          <w:bCs/>
        </w:rPr>
        <w:t>E2 targets</w:t>
      </w:r>
      <w:r>
        <w:rPr>
          <w:rFonts w:ascii="Arial" w:hAnsi="Arial" w:cs="Arial"/>
          <w:b/>
          <w:bCs/>
        </w:rPr>
        <w:t xml:space="preserve"> and interactions with upstream regulators.</w:t>
      </w:r>
    </w:p>
    <w:p w14:paraId="008A0519" w14:textId="77777777" w:rsidR="008A005E" w:rsidRPr="00687581" w:rsidRDefault="008A005E" w:rsidP="008A005E">
      <w:pPr>
        <w:rPr>
          <w:rFonts w:ascii="Arial" w:hAnsi="Arial" w:cs="Arial"/>
        </w:rPr>
      </w:pPr>
      <w:r>
        <w:rPr>
          <w:rFonts w:ascii="Arial" w:hAnsi="Arial" w:cs="Arial"/>
        </w:rPr>
        <w:t xml:space="preserve">Based on the phosphorylation alterations in the dataset, IPA’s prediction algorithm was used to predict the activation state of E2 as an upstream regulator. </w:t>
      </w:r>
      <w:r>
        <w:rPr>
          <w:rStyle w:val="hgkelc"/>
          <w:rFonts w:ascii="Arial" w:hAnsi="Arial" w:cs="Arial"/>
        </w:rPr>
        <w:t>The number in the upper right box next to the molecule denotes the number of phosphopeptides observed in the dataset for the molecule.</w:t>
      </w:r>
      <w:r>
        <w:rPr>
          <w:rFonts w:ascii="Arial" w:hAnsi="Arial" w:cs="Arial"/>
        </w:rPr>
        <w:t xml:space="preserve"> (A) E2 targets measured in our dataset that supports the predicted inhibition of E2 are shown. (B) E2 relationship with other predicted upstream regulators that describe the alterations seen in the dataset are plotted. See Figure 5 for explanation of color scheme, edges, and nodes. </w:t>
      </w:r>
    </w:p>
    <w:p w14:paraId="49F23253" w14:textId="3AFEBF04" w:rsidR="008A005E" w:rsidRDefault="008A005E"/>
    <w:p w14:paraId="59F2C8BB" w14:textId="520B8453" w:rsidR="008A005E" w:rsidRDefault="008A005E">
      <w:r>
        <w:rPr>
          <w:rFonts w:ascii="Arial" w:hAnsi="Arial" w:cs="Arial"/>
          <w:b/>
          <w:bCs/>
          <w:noProof/>
        </w:rPr>
        <w:drawing>
          <wp:inline distT="0" distB="0" distL="0" distR="0" wp14:anchorId="1EE04E8E" wp14:editId="1E324E5E">
            <wp:extent cx="2946400" cy="6083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6400" cy="6083300"/>
                    </a:xfrm>
                    <a:prstGeom prst="rect">
                      <a:avLst/>
                    </a:prstGeom>
                  </pic:spPr>
                </pic:pic>
              </a:graphicData>
            </a:graphic>
          </wp:inline>
        </w:drawing>
      </w:r>
    </w:p>
    <w:sectPr w:rsidR="008A0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5E"/>
    <w:rsid w:val="008A005E"/>
    <w:rsid w:val="00E02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EDAB5E"/>
  <w15:chartTrackingRefBased/>
  <w15:docId w15:val="{2F74E844-E805-E241-9115-ACE31FAB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05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8A0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Pangdra Peyton</dc:creator>
  <cp:keywords/>
  <dc:description/>
  <cp:lastModifiedBy>Pangdra Peyton</cp:lastModifiedBy>
  <cp:revision>2</cp:revision>
  <dcterms:created xsi:type="dcterms:W3CDTF">2022-02-03T18:37:00Z</dcterms:created>
  <dcterms:modified xsi:type="dcterms:W3CDTF">2022-02-25T01:47:00Z</dcterms:modified>
</cp:coreProperties>
</file>