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A8D8A" w14:textId="65EF8867" w:rsidR="00360E4F" w:rsidRDefault="00360E4F" w:rsidP="00356C3C">
      <w:pPr>
        <w:rPr>
          <w:b/>
          <w:bCs/>
        </w:rPr>
      </w:pPr>
      <w:r>
        <w:rPr>
          <w:b/>
          <w:bCs/>
        </w:rPr>
        <w:t>Additional File 2</w:t>
      </w:r>
    </w:p>
    <w:p w14:paraId="7AB3AB36" w14:textId="0FB1482D" w:rsidR="00356C3C" w:rsidRDefault="00356C3C" w:rsidP="00356C3C">
      <w:pPr>
        <w:rPr>
          <w:b/>
          <w:bCs/>
        </w:rPr>
      </w:pPr>
      <w:r w:rsidRPr="00C72F90">
        <w:rPr>
          <w:b/>
          <w:bCs/>
        </w:rPr>
        <w:t>Supplementary Figures</w:t>
      </w:r>
    </w:p>
    <w:p w14:paraId="59BC26EF" w14:textId="77777777" w:rsidR="00356C3C" w:rsidRDefault="00356C3C" w:rsidP="00356C3C">
      <w:pPr>
        <w:rPr>
          <w:b/>
          <w:bCs/>
        </w:rPr>
      </w:pPr>
    </w:p>
    <w:p w14:paraId="222E8374" w14:textId="76DED7C9" w:rsidR="00356C3C" w:rsidRDefault="00645FFD" w:rsidP="00356C3C">
      <w:pPr>
        <w:jc w:val="center"/>
      </w:pPr>
      <w:r>
        <w:rPr>
          <w:noProof/>
        </w:rPr>
        <w:drawing>
          <wp:inline distT="0" distB="0" distL="0" distR="0" wp14:anchorId="5E093520" wp14:editId="127CF075">
            <wp:extent cx="5641450" cy="674910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4496" cy="6788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5D0CE" w14:textId="77777777" w:rsidR="00356C3C" w:rsidRDefault="00356C3C" w:rsidP="00356C3C"/>
    <w:p w14:paraId="5BD85C9B" w14:textId="4BA63EFF" w:rsidR="00356C3C" w:rsidRPr="00DE109A" w:rsidRDefault="00356C3C" w:rsidP="00CE7315">
      <w:pPr>
        <w:jc w:val="both"/>
        <w:rPr>
          <w:rFonts w:asciiTheme="majorHAnsi" w:eastAsia="Times New Roman" w:hAnsiTheme="majorHAnsi" w:cstheme="majorHAnsi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78568ECD" wp14:editId="2BB1574B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3276600" cy="12700"/>
                <wp:effectExtent l="0" t="0" r="0" b="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07700" y="3779683"/>
                          <a:ext cx="327660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5190BCB" w14:textId="77777777" w:rsidR="00356C3C" w:rsidRDefault="00356C3C" w:rsidP="00356C3C">
                            <w:pPr>
                              <w:spacing w:after="200" w:line="240" w:lineRule="auto"/>
                              <w:textDirection w:val="btLr"/>
                            </w:pP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24"/>
                              </w:rPr>
                              <w:t>Figure  SEQ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24"/>
                              </w:rPr>
                              <w:t xml:space="preserve"> Figure \* ARABIC 2: Volcano plots of datasets obtained from GEO2R analysis of patients with HGSOC. Each dots show different miRNAs: </w:t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24"/>
                              </w:rPr>
                              <w:t>Blue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24"/>
                              </w:rPr>
                              <w:t xml:space="preserve"> dots are upregulated miRNAs whereas red dots are downregulated miRNAs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568ECD" id="Rectangle 8" o:spid="_x0000_s1026" style="position:absolute;margin-left:0;margin-top:0;width:258pt;height: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" stroked="f">
                <v:textbox inset="0,0,0,0">
                  <w:txbxContent>
                    <w:p w14:paraId="65190BCB" w14:textId="77777777" w:rsidR="00356C3C" w:rsidRDefault="00356C3C" w:rsidP="00356C3C">
                      <w:pPr>
                        <w:spacing w:after="200" w:line="240" w:lineRule="auto"/>
                        <w:textDirection w:val="btLr"/>
                      </w:pPr>
                      <w:proofErr w:type="gramStart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24"/>
                        </w:rPr>
                        <w:t>Figure  SEQ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24"/>
                        </w:rPr>
                        <w:t xml:space="preserve"> Figure \* ARABIC 2: Volcano plots of datasets obtained from GEO2R analysis of patients with HGSOC. Each dots show different miRNAs: </w:t>
                      </w:r>
                      <w:proofErr w:type="gramStart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24"/>
                        </w:rPr>
                        <w:t>Blue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24"/>
                        </w:rPr>
                        <w:t xml:space="preserve"> dots are upregulated miRNAs whereas red dots are downregulated miRNAs</w:t>
                      </w:r>
                    </w:p>
                  </w:txbxContent>
                </v:textbox>
              </v:rect>
            </w:pict>
          </mc:Fallback>
        </mc:AlternateContent>
      </w:r>
      <w:r w:rsidRPr="00DE109A">
        <w:rPr>
          <w:rFonts w:asciiTheme="majorHAnsi" w:eastAsia="Times New Roman" w:hAnsiTheme="majorHAnsi" w:cstheme="majorHAnsi"/>
          <w:b/>
          <w:bCs/>
          <w:sz w:val="20"/>
          <w:szCs w:val="20"/>
        </w:rPr>
        <w:t xml:space="preserve">Figure </w:t>
      </w:r>
      <w:r>
        <w:rPr>
          <w:rFonts w:asciiTheme="majorHAnsi" w:eastAsia="Times New Roman" w:hAnsiTheme="majorHAnsi" w:cstheme="majorHAnsi"/>
          <w:b/>
          <w:bCs/>
          <w:sz w:val="20"/>
          <w:szCs w:val="20"/>
        </w:rPr>
        <w:t>S1</w:t>
      </w:r>
      <w:r w:rsidRPr="00DE109A">
        <w:rPr>
          <w:rFonts w:asciiTheme="majorHAnsi" w:eastAsia="Times New Roman" w:hAnsiTheme="majorHAnsi" w:cstheme="majorHAnsi"/>
          <w:sz w:val="20"/>
          <w:szCs w:val="20"/>
        </w:rPr>
        <w:t xml:space="preserve"> Volcano plots</w:t>
      </w:r>
      <w:r w:rsidR="00050F61">
        <w:rPr>
          <w:rFonts w:asciiTheme="majorHAnsi" w:eastAsia="Times New Roman" w:hAnsiTheme="majorHAnsi" w:cstheme="majorHAnsi"/>
          <w:sz w:val="20"/>
          <w:szCs w:val="20"/>
        </w:rPr>
        <w:t xml:space="preserve">, expression densities, and moderated t statistics </w:t>
      </w:r>
      <w:r w:rsidRPr="00DE109A">
        <w:rPr>
          <w:rFonts w:asciiTheme="majorHAnsi" w:eastAsia="Times New Roman" w:hAnsiTheme="majorHAnsi" w:cstheme="majorHAnsi"/>
          <w:sz w:val="20"/>
          <w:szCs w:val="20"/>
        </w:rPr>
        <w:t>for the miRNAs</w:t>
      </w:r>
      <w:r w:rsidR="00050F61">
        <w:rPr>
          <w:rFonts w:asciiTheme="majorHAnsi" w:eastAsia="Times New Roman" w:hAnsiTheme="majorHAnsi" w:cstheme="majorHAnsi"/>
          <w:sz w:val="20"/>
          <w:szCs w:val="20"/>
        </w:rPr>
        <w:t xml:space="preserve"> at each dataset. </w:t>
      </w:r>
      <w:r w:rsidRPr="00DE109A">
        <w:rPr>
          <w:rFonts w:asciiTheme="majorHAnsi" w:eastAsia="Times New Roman" w:hAnsiTheme="majorHAnsi" w:cstheme="majorHAnsi"/>
          <w:b/>
          <w:bCs/>
          <w:sz w:val="20"/>
          <w:szCs w:val="20"/>
        </w:rPr>
        <w:t>A</w:t>
      </w:r>
      <w:r w:rsidRPr="00DE109A">
        <w:rPr>
          <w:rFonts w:asciiTheme="majorHAnsi" w:eastAsia="Times New Roman" w:hAnsiTheme="majorHAnsi" w:cstheme="majorHAnsi"/>
          <w:sz w:val="20"/>
          <w:szCs w:val="20"/>
        </w:rPr>
        <w:t xml:space="preserve"> </w:t>
      </w:r>
      <w:r w:rsidR="00050F61" w:rsidRPr="00DE109A">
        <w:rPr>
          <w:rFonts w:asciiTheme="majorHAnsi" w:eastAsia="Times New Roman" w:hAnsiTheme="majorHAnsi" w:cstheme="majorHAnsi"/>
          <w:sz w:val="20"/>
          <w:szCs w:val="20"/>
        </w:rPr>
        <w:t>Volcano plots</w:t>
      </w:r>
      <w:r w:rsidR="00050F61">
        <w:rPr>
          <w:rFonts w:asciiTheme="majorHAnsi" w:eastAsia="Times New Roman" w:hAnsiTheme="majorHAnsi" w:cstheme="majorHAnsi"/>
          <w:sz w:val="20"/>
          <w:szCs w:val="20"/>
        </w:rPr>
        <w:t xml:space="preserve">, </w:t>
      </w:r>
      <w:r w:rsidR="00592E14" w:rsidRPr="00DE109A">
        <w:rPr>
          <w:rFonts w:asciiTheme="majorHAnsi" w:eastAsia="Times New Roman" w:hAnsiTheme="majorHAnsi" w:cstheme="majorHAnsi"/>
          <w:b/>
          <w:bCs/>
          <w:sz w:val="20"/>
          <w:szCs w:val="20"/>
        </w:rPr>
        <w:t>B</w:t>
      </w:r>
      <w:r w:rsidR="00592E14" w:rsidRPr="00DE109A">
        <w:rPr>
          <w:rFonts w:asciiTheme="majorHAnsi" w:eastAsia="Times New Roman" w:hAnsiTheme="majorHAnsi" w:cstheme="majorHAnsi"/>
          <w:sz w:val="20"/>
          <w:szCs w:val="20"/>
        </w:rPr>
        <w:t xml:space="preserve"> </w:t>
      </w:r>
      <w:r w:rsidR="00592E14">
        <w:rPr>
          <w:rFonts w:asciiTheme="majorHAnsi" w:eastAsia="Times New Roman" w:hAnsiTheme="majorHAnsi" w:cstheme="majorHAnsi"/>
          <w:sz w:val="20"/>
          <w:szCs w:val="20"/>
        </w:rPr>
        <w:t xml:space="preserve">expression densities, and </w:t>
      </w:r>
      <w:r w:rsidRPr="00DE109A">
        <w:rPr>
          <w:rFonts w:asciiTheme="majorHAnsi" w:eastAsia="Times New Roman" w:hAnsiTheme="majorHAnsi" w:cstheme="majorHAnsi"/>
          <w:b/>
          <w:bCs/>
          <w:sz w:val="20"/>
          <w:szCs w:val="20"/>
        </w:rPr>
        <w:t>C</w:t>
      </w:r>
      <w:r w:rsidR="00592E14">
        <w:rPr>
          <w:rFonts w:asciiTheme="majorHAnsi" w:eastAsia="Times New Roman" w:hAnsiTheme="majorHAnsi" w:cstheme="majorHAnsi"/>
          <w:b/>
          <w:bCs/>
          <w:sz w:val="20"/>
          <w:szCs w:val="20"/>
        </w:rPr>
        <w:t xml:space="preserve"> </w:t>
      </w:r>
      <w:r w:rsidR="00592E14">
        <w:rPr>
          <w:rFonts w:asciiTheme="majorHAnsi" w:eastAsia="Times New Roman" w:hAnsiTheme="majorHAnsi" w:cstheme="majorHAnsi"/>
          <w:sz w:val="20"/>
          <w:szCs w:val="20"/>
        </w:rPr>
        <w:t>moderated t statistics</w:t>
      </w:r>
      <w:r w:rsidRPr="00DE109A">
        <w:rPr>
          <w:rFonts w:asciiTheme="majorHAnsi" w:eastAsia="Times New Roman" w:hAnsiTheme="majorHAnsi" w:cstheme="majorHAnsi"/>
          <w:sz w:val="20"/>
          <w:szCs w:val="20"/>
        </w:rPr>
        <w:t xml:space="preserve"> </w:t>
      </w:r>
      <w:r w:rsidR="00592E14">
        <w:rPr>
          <w:rFonts w:asciiTheme="majorHAnsi" w:eastAsia="Times New Roman" w:hAnsiTheme="majorHAnsi" w:cstheme="majorHAnsi"/>
          <w:sz w:val="20"/>
          <w:szCs w:val="20"/>
        </w:rPr>
        <w:t xml:space="preserve">for miRNAs in </w:t>
      </w:r>
      <w:r w:rsidR="00592E14" w:rsidRPr="00DE109A">
        <w:rPr>
          <w:rFonts w:asciiTheme="majorHAnsi" w:eastAsia="Times New Roman" w:hAnsiTheme="majorHAnsi" w:cstheme="majorHAnsi"/>
          <w:sz w:val="20"/>
          <w:szCs w:val="20"/>
        </w:rPr>
        <w:t xml:space="preserve">GSE25202, GSE25203, </w:t>
      </w:r>
      <w:r w:rsidRPr="00DE109A">
        <w:rPr>
          <w:rFonts w:asciiTheme="majorHAnsi" w:eastAsia="Times New Roman" w:hAnsiTheme="majorHAnsi" w:cstheme="majorHAnsi"/>
          <w:sz w:val="20"/>
          <w:szCs w:val="20"/>
        </w:rPr>
        <w:t>GSE67819</w:t>
      </w:r>
      <w:r w:rsidR="00592E14">
        <w:rPr>
          <w:rFonts w:asciiTheme="majorHAnsi" w:eastAsia="Times New Roman" w:hAnsiTheme="majorHAnsi" w:cstheme="majorHAnsi"/>
          <w:sz w:val="20"/>
          <w:szCs w:val="20"/>
        </w:rPr>
        <w:t>, and</w:t>
      </w:r>
      <w:r w:rsidRPr="00DE109A">
        <w:rPr>
          <w:rFonts w:asciiTheme="majorHAnsi" w:eastAsia="Times New Roman" w:hAnsiTheme="majorHAnsi" w:cstheme="majorHAnsi"/>
          <w:b/>
          <w:bCs/>
          <w:sz w:val="20"/>
          <w:szCs w:val="20"/>
        </w:rPr>
        <w:t xml:space="preserve"> </w:t>
      </w:r>
      <w:r w:rsidRPr="00DE109A">
        <w:rPr>
          <w:rFonts w:asciiTheme="majorHAnsi" w:eastAsia="Times New Roman" w:hAnsiTheme="majorHAnsi" w:cstheme="majorHAnsi"/>
          <w:sz w:val="20"/>
          <w:szCs w:val="20"/>
        </w:rPr>
        <w:t>GSE94320 datasets.</w:t>
      </w:r>
    </w:p>
    <w:p w14:paraId="42C25A51" w14:textId="32145C77" w:rsidR="00594ED8" w:rsidRDefault="00594ED8"/>
    <w:p w14:paraId="522C1CF1" w14:textId="6079A805" w:rsidR="00645FFD" w:rsidRDefault="00645FFD"/>
    <w:p w14:paraId="362FBA15" w14:textId="66BACD43" w:rsidR="00645FFD" w:rsidRDefault="00645FFD">
      <w:r>
        <w:rPr>
          <w:noProof/>
        </w:rPr>
        <w:drawing>
          <wp:inline distT="0" distB="0" distL="0" distR="0" wp14:anchorId="6C0CC5FB" wp14:editId="341B3E10">
            <wp:extent cx="5943600" cy="3118485"/>
            <wp:effectExtent l="0" t="0" r="0" b="5715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1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18412" w14:textId="63145C43" w:rsidR="002169AC" w:rsidRDefault="002169AC"/>
    <w:p w14:paraId="1D82A509" w14:textId="594A088D" w:rsidR="002169AC" w:rsidRPr="00DE109A" w:rsidRDefault="002169AC" w:rsidP="00CE7315">
      <w:pPr>
        <w:jc w:val="both"/>
        <w:rPr>
          <w:rFonts w:asciiTheme="majorHAnsi" w:eastAsia="Times New Roman" w:hAnsiTheme="majorHAnsi" w:cstheme="majorHAnsi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380211FA" wp14:editId="42787724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3276600" cy="1270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07700" y="3779683"/>
                          <a:ext cx="327660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08096BC" w14:textId="77777777" w:rsidR="002169AC" w:rsidRDefault="002169AC" w:rsidP="002169AC">
                            <w:pPr>
                              <w:spacing w:after="200" w:line="240" w:lineRule="auto"/>
                              <w:textDirection w:val="btLr"/>
                            </w:pP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24"/>
                              </w:rPr>
                              <w:t>Figure  SEQ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24"/>
                              </w:rPr>
                              <w:t xml:space="preserve"> Figure \* ARABIC 2: Volcano plots of datasets obtained from GEO2R analysis of patients with HGSOC. Each dots show different miRNAs: </w:t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24"/>
                              </w:rPr>
                              <w:t>Blue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24"/>
                              </w:rPr>
                              <w:t xml:space="preserve"> dots are upregulated miRNAs whereas red dots are downregulated miRNAs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0211FA" id="Rectangle 2" o:spid="_x0000_s1027" style="position:absolute;margin-left:0;margin-top:0;width:258pt;height: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" stroked="f">
                <v:textbox inset="0,0,0,0">
                  <w:txbxContent>
                    <w:p w14:paraId="508096BC" w14:textId="77777777" w:rsidR="002169AC" w:rsidRDefault="002169AC" w:rsidP="002169AC">
                      <w:pPr>
                        <w:spacing w:after="200" w:line="240" w:lineRule="auto"/>
                        <w:textDirection w:val="btLr"/>
                      </w:pPr>
                      <w:proofErr w:type="gramStart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24"/>
                        </w:rPr>
                        <w:t>Figure  SEQ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24"/>
                        </w:rPr>
                        <w:t xml:space="preserve"> Figure \* ARABIC 2: Volcano plots of datasets obtained from GEO2R analysis of patients with HGSOC. Each dots show different miRNAs: </w:t>
                      </w:r>
                      <w:proofErr w:type="gramStart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24"/>
                        </w:rPr>
                        <w:t>Blue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24"/>
                        </w:rPr>
                        <w:t xml:space="preserve"> dots are upregulated miRNAs whereas red dots are downregulated miRNAs</w:t>
                      </w:r>
                    </w:p>
                  </w:txbxContent>
                </v:textbox>
              </v:rect>
            </w:pict>
          </mc:Fallback>
        </mc:AlternateContent>
      </w:r>
      <w:r w:rsidRPr="00DE109A">
        <w:rPr>
          <w:rFonts w:asciiTheme="majorHAnsi" w:eastAsia="Times New Roman" w:hAnsiTheme="majorHAnsi" w:cstheme="majorHAnsi"/>
          <w:b/>
          <w:bCs/>
          <w:sz w:val="20"/>
          <w:szCs w:val="20"/>
        </w:rPr>
        <w:t xml:space="preserve">Figure </w:t>
      </w:r>
      <w:r>
        <w:rPr>
          <w:rFonts w:asciiTheme="majorHAnsi" w:eastAsia="Times New Roman" w:hAnsiTheme="majorHAnsi" w:cstheme="majorHAnsi"/>
          <w:b/>
          <w:bCs/>
          <w:sz w:val="20"/>
          <w:szCs w:val="20"/>
        </w:rPr>
        <w:t>S2</w:t>
      </w:r>
      <w:r w:rsidRPr="00DE109A">
        <w:rPr>
          <w:rFonts w:asciiTheme="majorHAnsi" w:eastAsia="Times New Roman" w:hAnsiTheme="majorHAnsi" w:cstheme="majorHAnsi"/>
          <w:sz w:val="20"/>
          <w:szCs w:val="20"/>
        </w:rPr>
        <w:t xml:space="preserve"> </w:t>
      </w:r>
      <w:r>
        <w:rPr>
          <w:rFonts w:asciiTheme="majorHAnsi" w:eastAsia="Times New Roman" w:hAnsiTheme="majorHAnsi" w:cstheme="majorHAnsi"/>
          <w:sz w:val="20"/>
          <w:szCs w:val="20"/>
        </w:rPr>
        <w:t>Box</w:t>
      </w:r>
      <w:r w:rsidRPr="00DE109A">
        <w:rPr>
          <w:rFonts w:asciiTheme="majorHAnsi" w:eastAsia="Times New Roman" w:hAnsiTheme="majorHAnsi" w:cstheme="majorHAnsi"/>
          <w:sz w:val="20"/>
          <w:szCs w:val="20"/>
        </w:rPr>
        <w:t xml:space="preserve"> plots</w:t>
      </w:r>
      <w:r>
        <w:rPr>
          <w:rFonts w:asciiTheme="majorHAnsi" w:eastAsia="Times New Roman" w:hAnsiTheme="majorHAnsi" w:cstheme="majorHAnsi"/>
          <w:sz w:val="20"/>
          <w:szCs w:val="20"/>
        </w:rPr>
        <w:t xml:space="preserve"> for the samples normalized with the </w:t>
      </w:r>
      <w:r w:rsidRPr="002169AC">
        <w:rPr>
          <w:rFonts w:asciiTheme="majorHAnsi" w:eastAsia="Times New Roman" w:hAnsiTheme="majorHAnsi" w:cstheme="majorHAnsi"/>
          <w:sz w:val="20"/>
          <w:szCs w:val="20"/>
        </w:rPr>
        <w:t>Benjamini-Hochberg procedure</w:t>
      </w:r>
      <w:r w:rsidRPr="00560DC2">
        <w:rPr>
          <w:rFonts w:ascii="Times New Roman" w:eastAsia="Times New Roman" w:hAnsi="Times New Roman" w:cs="Times New Roman"/>
          <w:color w:val="202124"/>
          <w:highlight w:val="white"/>
        </w:rPr>
        <w:t xml:space="preserve"> </w:t>
      </w:r>
      <w:r>
        <w:rPr>
          <w:rFonts w:asciiTheme="majorHAnsi" w:eastAsia="Times New Roman" w:hAnsiTheme="majorHAnsi" w:cstheme="majorHAnsi"/>
          <w:sz w:val="20"/>
          <w:szCs w:val="20"/>
        </w:rPr>
        <w:t xml:space="preserve">in four datasets. </w:t>
      </w:r>
      <w:r w:rsidRPr="00DE109A">
        <w:rPr>
          <w:rFonts w:asciiTheme="majorHAnsi" w:eastAsia="Times New Roman" w:hAnsiTheme="majorHAnsi" w:cstheme="majorHAnsi"/>
          <w:b/>
          <w:bCs/>
          <w:sz w:val="20"/>
          <w:szCs w:val="20"/>
        </w:rPr>
        <w:t>A</w:t>
      </w:r>
      <w:r>
        <w:rPr>
          <w:rFonts w:asciiTheme="majorHAnsi" w:eastAsia="Times New Roman" w:hAnsiTheme="majorHAnsi" w:cstheme="majorHAnsi"/>
          <w:sz w:val="20"/>
          <w:szCs w:val="20"/>
        </w:rPr>
        <w:t xml:space="preserve"> </w:t>
      </w:r>
      <w:r w:rsidRPr="00DE109A">
        <w:rPr>
          <w:rFonts w:asciiTheme="majorHAnsi" w:eastAsia="Times New Roman" w:hAnsiTheme="majorHAnsi" w:cstheme="majorHAnsi"/>
          <w:sz w:val="20"/>
          <w:szCs w:val="20"/>
        </w:rPr>
        <w:t>GSE25202,</w:t>
      </w:r>
      <w:r>
        <w:rPr>
          <w:rFonts w:asciiTheme="majorHAnsi" w:eastAsia="Times New Roman" w:hAnsiTheme="majorHAnsi" w:cstheme="majorHAnsi"/>
          <w:sz w:val="20"/>
          <w:szCs w:val="20"/>
        </w:rPr>
        <w:t xml:space="preserve"> </w:t>
      </w:r>
      <w:r w:rsidRPr="00DE109A">
        <w:rPr>
          <w:rFonts w:asciiTheme="majorHAnsi" w:eastAsia="Times New Roman" w:hAnsiTheme="majorHAnsi" w:cstheme="majorHAnsi"/>
          <w:b/>
          <w:bCs/>
          <w:sz w:val="20"/>
          <w:szCs w:val="20"/>
        </w:rPr>
        <w:t>B</w:t>
      </w:r>
      <w:r>
        <w:rPr>
          <w:rFonts w:asciiTheme="majorHAnsi" w:eastAsia="Times New Roman" w:hAnsiTheme="majorHAnsi" w:cstheme="majorHAnsi"/>
          <w:b/>
          <w:bCs/>
          <w:sz w:val="20"/>
          <w:szCs w:val="20"/>
        </w:rPr>
        <w:t xml:space="preserve"> </w:t>
      </w:r>
      <w:r w:rsidRPr="00DE109A">
        <w:rPr>
          <w:rFonts w:asciiTheme="majorHAnsi" w:eastAsia="Times New Roman" w:hAnsiTheme="majorHAnsi" w:cstheme="majorHAnsi"/>
          <w:sz w:val="20"/>
          <w:szCs w:val="20"/>
        </w:rPr>
        <w:t xml:space="preserve">GSE25203, </w:t>
      </w:r>
      <w:r w:rsidRPr="00DE109A">
        <w:rPr>
          <w:rFonts w:asciiTheme="majorHAnsi" w:eastAsia="Times New Roman" w:hAnsiTheme="majorHAnsi" w:cstheme="majorHAnsi"/>
          <w:b/>
          <w:bCs/>
          <w:sz w:val="20"/>
          <w:szCs w:val="20"/>
        </w:rPr>
        <w:t>C</w:t>
      </w:r>
      <w:r>
        <w:rPr>
          <w:rFonts w:asciiTheme="majorHAnsi" w:eastAsia="Times New Roman" w:hAnsiTheme="majorHAnsi" w:cstheme="majorHAnsi"/>
          <w:b/>
          <w:bCs/>
          <w:sz w:val="20"/>
          <w:szCs w:val="20"/>
        </w:rPr>
        <w:t xml:space="preserve"> </w:t>
      </w:r>
      <w:r w:rsidRPr="00DE109A">
        <w:rPr>
          <w:rFonts w:asciiTheme="majorHAnsi" w:eastAsia="Times New Roman" w:hAnsiTheme="majorHAnsi" w:cstheme="majorHAnsi"/>
          <w:sz w:val="20"/>
          <w:szCs w:val="20"/>
        </w:rPr>
        <w:t>GSE67819</w:t>
      </w:r>
      <w:r>
        <w:rPr>
          <w:rFonts w:asciiTheme="majorHAnsi" w:eastAsia="Times New Roman" w:hAnsiTheme="majorHAnsi" w:cstheme="majorHAnsi"/>
          <w:sz w:val="20"/>
          <w:szCs w:val="20"/>
        </w:rPr>
        <w:t>, and</w:t>
      </w:r>
      <w:r w:rsidRPr="00DE109A">
        <w:rPr>
          <w:rFonts w:asciiTheme="majorHAnsi" w:eastAsia="Times New Roman" w:hAnsiTheme="majorHAnsi" w:cstheme="majorHAnsi"/>
          <w:b/>
          <w:bCs/>
          <w:sz w:val="20"/>
          <w:szCs w:val="20"/>
        </w:rPr>
        <w:t xml:space="preserve"> </w:t>
      </w:r>
      <w:r>
        <w:rPr>
          <w:rFonts w:asciiTheme="majorHAnsi" w:eastAsia="Times New Roman" w:hAnsiTheme="majorHAnsi" w:cstheme="majorHAnsi"/>
          <w:b/>
          <w:bCs/>
          <w:sz w:val="20"/>
          <w:szCs w:val="20"/>
        </w:rPr>
        <w:t xml:space="preserve">D </w:t>
      </w:r>
      <w:r w:rsidRPr="00DE109A">
        <w:rPr>
          <w:rFonts w:asciiTheme="majorHAnsi" w:eastAsia="Times New Roman" w:hAnsiTheme="majorHAnsi" w:cstheme="majorHAnsi"/>
          <w:sz w:val="20"/>
          <w:szCs w:val="20"/>
        </w:rPr>
        <w:t>GSE94320 datasets.</w:t>
      </w:r>
    </w:p>
    <w:p w14:paraId="1F24593F" w14:textId="77777777" w:rsidR="002169AC" w:rsidRDefault="002169AC"/>
    <w:sectPr w:rsidR="002169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7A3"/>
    <w:rsid w:val="00050F61"/>
    <w:rsid w:val="000F37A3"/>
    <w:rsid w:val="002169AC"/>
    <w:rsid w:val="00356C3C"/>
    <w:rsid w:val="00360E4F"/>
    <w:rsid w:val="00592E14"/>
    <w:rsid w:val="00594ED8"/>
    <w:rsid w:val="005A6659"/>
    <w:rsid w:val="00645FFD"/>
    <w:rsid w:val="00973185"/>
    <w:rsid w:val="00AF696B"/>
    <w:rsid w:val="00CE7315"/>
    <w:rsid w:val="00EB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84038"/>
  <w15:chartTrackingRefBased/>
  <w15:docId w15:val="{F64B9F2E-12D2-40E9-9D5D-83C5C43F6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C3C"/>
    <w:pPr>
      <w:spacing w:after="0" w:line="276" w:lineRule="auto"/>
    </w:pPr>
    <w:rPr>
      <w:rFonts w:ascii="Arial" w:eastAsia="Arial" w:hAnsi="Arial" w:cs="Arial"/>
      <w:lang w:val="en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Gülnihal Özcan</dc:creator>
  <cp:keywords/>
  <dc:description/>
  <cp:lastModifiedBy>Gülnihal Özcan</cp:lastModifiedBy>
  <cp:revision>14</cp:revision>
  <dcterms:created xsi:type="dcterms:W3CDTF">2022-01-08T20:34:00Z</dcterms:created>
  <dcterms:modified xsi:type="dcterms:W3CDTF">2022-02-22T19:55:00Z</dcterms:modified>
</cp:coreProperties>
</file>