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615519" w14:textId="77777777" w:rsidR="00EB6423" w:rsidRPr="002A23EF" w:rsidRDefault="00EB6423" w:rsidP="00EB6423">
      <w:pPr>
        <w:widowControl/>
        <w:spacing w:line="276" w:lineRule="auto"/>
        <w:ind w:firstLineChars="0" w:firstLine="0"/>
        <w:jc w:val="left"/>
      </w:pPr>
    </w:p>
    <w:p w14:paraId="5B0A5F52" w14:textId="77777777" w:rsidR="00EB6423" w:rsidRPr="002A23EF" w:rsidRDefault="00EB6423" w:rsidP="00EB6423">
      <w:pPr>
        <w:spacing w:after="0" w:line="240" w:lineRule="auto"/>
        <w:ind w:firstLineChars="0" w:firstLine="0"/>
        <w:rPr>
          <w:rFonts w:eastAsiaTheme="minorEastAsia"/>
          <w:sz w:val="21"/>
          <w:szCs w:val="22"/>
        </w:rPr>
      </w:pPr>
      <w:r w:rsidRPr="002A23EF">
        <w:rPr>
          <w:rFonts w:eastAsiaTheme="minorEastAsia"/>
          <w:noProof/>
          <w:sz w:val="21"/>
          <w:szCs w:val="22"/>
        </w:rPr>
        <w:drawing>
          <wp:inline distT="0" distB="0" distL="0" distR="0" wp14:anchorId="5E1A5FC3" wp14:editId="34D8B5AD">
            <wp:extent cx="5607685" cy="5021580"/>
            <wp:effectExtent l="0" t="0" r="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 cstate="print">
                      <a:extLst>
                        <a:ext uri="{28A0092B-C50C-407E-A947-70E740481C1C}">
                          <a14:useLocalDpi xmlns:a14="http://schemas.microsoft.com/office/drawing/2010/main" val="0"/>
                        </a:ext>
                      </a:extLst>
                    </a:blip>
                    <a:srcRect t="2306" b="34390"/>
                    <a:stretch>
                      <a:fillRect/>
                    </a:stretch>
                  </pic:blipFill>
                  <pic:spPr>
                    <a:xfrm>
                      <a:off x="0" y="0"/>
                      <a:ext cx="5608320" cy="5021982"/>
                    </a:xfrm>
                    <a:prstGeom prst="rect">
                      <a:avLst/>
                    </a:prstGeom>
                    <a:ln>
                      <a:noFill/>
                    </a:ln>
                  </pic:spPr>
                </pic:pic>
              </a:graphicData>
            </a:graphic>
          </wp:inline>
        </w:drawing>
      </w:r>
    </w:p>
    <w:p w14:paraId="37F7B251" w14:textId="77777777" w:rsidR="00EB6423" w:rsidRPr="002A23EF" w:rsidRDefault="00EB6423" w:rsidP="00EB6423">
      <w:pPr>
        <w:spacing w:after="0" w:line="480" w:lineRule="auto"/>
        <w:ind w:firstLineChars="0" w:firstLine="0"/>
        <w:rPr>
          <w:rFonts w:eastAsiaTheme="minorEastAsia"/>
          <w:sz w:val="21"/>
          <w:szCs w:val="21"/>
        </w:rPr>
      </w:pPr>
      <w:r w:rsidRPr="002A23EF">
        <w:rPr>
          <w:rFonts w:eastAsiaTheme="minorEastAsia"/>
          <w:b/>
          <w:sz w:val="21"/>
          <w:szCs w:val="21"/>
        </w:rPr>
        <w:t>Extended Data Fig. 1 The interaction between EBOV VP35 and AKIP1.</w:t>
      </w:r>
    </w:p>
    <w:p w14:paraId="3480ABFC" w14:textId="77777777" w:rsidR="00EB6423" w:rsidRPr="002A23EF" w:rsidRDefault="00EB6423" w:rsidP="00EB6423">
      <w:pPr>
        <w:spacing w:after="0" w:line="480" w:lineRule="auto"/>
        <w:ind w:firstLineChars="0" w:firstLine="0"/>
        <w:rPr>
          <w:rFonts w:eastAsiaTheme="minorEastAsia"/>
          <w:sz w:val="21"/>
          <w:szCs w:val="21"/>
        </w:rPr>
      </w:pPr>
      <w:r w:rsidRPr="002A23EF">
        <w:rPr>
          <w:rFonts w:eastAsiaTheme="minorEastAsia"/>
          <w:b/>
          <w:sz w:val="21"/>
          <w:szCs w:val="21"/>
        </w:rPr>
        <w:t>a,</w:t>
      </w:r>
      <w:r w:rsidRPr="002A23EF">
        <w:rPr>
          <w:rFonts w:eastAsiaTheme="minorEastAsia"/>
          <w:sz w:val="21"/>
          <w:szCs w:val="21"/>
        </w:rPr>
        <w:t xml:space="preserve"> Yeast Y2HGold cells were transformed with the indicated plasmids (bait and prey for the two-hybrid assay) and grown on selective medium. Positive interactions were indicated by colonies that grow on selective medium and have β-galactosidase activity (blue).</w:t>
      </w:r>
      <w:r w:rsidRPr="002A23EF">
        <w:rPr>
          <w:rFonts w:eastAsiaTheme="minorEastAsia"/>
          <w:b/>
          <w:sz w:val="21"/>
          <w:szCs w:val="21"/>
        </w:rPr>
        <w:t xml:space="preserve"> b, c, e,</w:t>
      </w:r>
      <w:r w:rsidRPr="002A23EF">
        <w:rPr>
          <w:rFonts w:eastAsiaTheme="minorEastAsia"/>
          <w:sz w:val="21"/>
          <w:szCs w:val="21"/>
        </w:rPr>
        <w:t xml:space="preserve"> Lysates of HEK293 cells co-transfected with indicated plasmids were analyzed by immunoprecipitation and immunoblotting. </w:t>
      </w:r>
      <w:r w:rsidRPr="002A23EF">
        <w:rPr>
          <w:rFonts w:eastAsiaTheme="minorEastAsia"/>
          <w:b/>
          <w:sz w:val="21"/>
          <w:szCs w:val="21"/>
        </w:rPr>
        <w:t>d,</w:t>
      </w:r>
      <w:r w:rsidRPr="002A23EF">
        <w:rPr>
          <w:rFonts w:eastAsiaTheme="minorEastAsia"/>
          <w:sz w:val="21"/>
          <w:szCs w:val="21"/>
        </w:rPr>
        <w:t xml:space="preserve"> Graphical representation of VP35 and AKIP1 mutants.</w:t>
      </w:r>
    </w:p>
    <w:p w14:paraId="4752C53A" w14:textId="77777777" w:rsidR="00EB6423" w:rsidRPr="002A23EF" w:rsidRDefault="00EB6423" w:rsidP="00EB6423">
      <w:pPr>
        <w:widowControl/>
        <w:spacing w:after="0" w:line="240" w:lineRule="auto"/>
        <w:ind w:firstLineChars="0" w:firstLine="0"/>
        <w:jc w:val="left"/>
        <w:rPr>
          <w:rFonts w:eastAsiaTheme="minorEastAsia"/>
          <w:sz w:val="21"/>
          <w:szCs w:val="21"/>
        </w:rPr>
      </w:pPr>
      <w:r w:rsidRPr="002A23EF">
        <w:rPr>
          <w:rFonts w:eastAsiaTheme="minorEastAsia"/>
          <w:sz w:val="21"/>
          <w:szCs w:val="21"/>
        </w:rPr>
        <w:br w:type="page"/>
      </w:r>
    </w:p>
    <w:p w14:paraId="4D652460" w14:textId="77777777" w:rsidR="00EB6423" w:rsidRPr="002A23EF" w:rsidRDefault="00EB6423" w:rsidP="00EB6423">
      <w:pPr>
        <w:spacing w:after="0" w:line="240" w:lineRule="auto"/>
        <w:ind w:firstLineChars="0" w:firstLine="0"/>
        <w:rPr>
          <w:rFonts w:eastAsiaTheme="minorEastAsia"/>
          <w:sz w:val="21"/>
          <w:szCs w:val="22"/>
        </w:rPr>
      </w:pPr>
      <w:r w:rsidRPr="002A23EF">
        <w:rPr>
          <w:rFonts w:eastAsiaTheme="minorEastAsia"/>
          <w:noProof/>
          <w:sz w:val="21"/>
          <w:szCs w:val="22"/>
        </w:rPr>
        <w:lastRenderedPageBreak/>
        <w:drawing>
          <wp:inline distT="0" distB="0" distL="0" distR="0" wp14:anchorId="78BE6EA8" wp14:editId="3CA827CE">
            <wp:extent cx="5486400" cy="61417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 cstate="print">
                      <a:extLst>
                        <a:ext uri="{28A0092B-C50C-407E-A947-70E740481C1C}">
                          <a14:useLocalDpi xmlns:a14="http://schemas.microsoft.com/office/drawing/2010/main" val="0"/>
                        </a:ext>
                      </a:extLst>
                    </a:blip>
                    <a:srcRect t="1825" r="2166" b="20750"/>
                    <a:stretch>
                      <a:fillRect/>
                    </a:stretch>
                  </pic:blipFill>
                  <pic:spPr>
                    <a:xfrm>
                      <a:off x="0" y="0"/>
                      <a:ext cx="5486400" cy="6141720"/>
                    </a:xfrm>
                    <a:prstGeom prst="rect">
                      <a:avLst/>
                    </a:prstGeom>
                    <a:ln>
                      <a:noFill/>
                    </a:ln>
                  </pic:spPr>
                </pic:pic>
              </a:graphicData>
            </a:graphic>
          </wp:inline>
        </w:drawing>
      </w:r>
    </w:p>
    <w:p w14:paraId="3C315CB4" w14:textId="77777777" w:rsidR="00EB6423" w:rsidRPr="002A23EF" w:rsidRDefault="00EB6423" w:rsidP="00EB6423">
      <w:pPr>
        <w:spacing w:after="0" w:line="480" w:lineRule="auto"/>
        <w:ind w:firstLineChars="0" w:firstLine="0"/>
        <w:rPr>
          <w:rFonts w:eastAsiaTheme="minorEastAsia"/>
          <w:b/>
          <w:sz w:val="21"/>
          <w:szCs w:val="21"/>
        </w:rPr>
      </w:pPr>
      <w:r w:rsidRPr="002A23EF">
        <w:rPr>
          <w:rFonts w:eastAsiaTheme="minorEastAsia"/>
          <w:b/>
          <w:sz w:val="21"/>
          <w:szCs w:val="21"/>
        </w:rPr>
        <w:t xml:space="preserve">Extended Data Fig. 2 </w:t>
      </w:r>
      <w:r w:rsidRPr="002A23EF">
        <w:rPr>
          <w:rFonts w:eastAsiaTheme="minorEastAsia"/>
          <w:b/>
          <w:i/>
          <w:iCs/>
          <w:sz w:val="21"/>
          <w:szCs w:val="21"/>
        </w:rPr>
        <w:t>In situ</w:t>
      </w:r>
      <w:r w:rsidRPr="002A23EF">
        <w:rPr>
          <w:rFonts w:eastAsiaTheme="minorEastAsia"/>
          <w:b/>
          <w:sz w:val="21"/>
          <w:szCs w:val="21"/>
        </w:rPr>
        <w:t xml:space="preserve"> association of EBOV VP35 with cellular AKIP1.</w:t>
      </w:r>
    </w:p>
    <w:p w14:paraId="4CBE3976" w14:textId="77777777" w:rsidR="00EB6423" w:rsidRPr="002A23EF" w:rsidRDefault="00EB6423" w:rsidP="00EB6423">
      <w:pPr>
        <w:spacing w:after="0" w:line="480" w:lineRule="auto"/>
        <w:ind w:firstLineChars="0" w:firstLine="0"/>
        <w:rPr>
          <w:rFonts w:eastAsiaTheme="minorEastAsia"/>
          <w:b/>
          <w:sz w:val="21"/>
          <w:szCs w:val="21"/>
        </w:rPr>
        <w:sectPr w:rsidR="00EB6423" w:rsidRPr="002A23EF" w:rsidSect="00EB6423">
          <w:pgSz w:w="11906" w:h="16838"/>
          <w:pgMar w:top="1440" w:right="1274" w:bottom="1440" w:left="1800" w:header="851" w:footer="992" w:gutter="0"/>
          <w:cols w:space="425"/>
          <w:docGrid w:type="lines" w:linePitch="326"/>
        </w:sectPr>
      </w:pPr>
      <w:r w:rsidRPr="002A23EF">
        <w:rPr>
          <w:rFonts w:eastAsiaTheme="minorEastAsia"/>
          <w:b/>
          <w:sz w:val="21"/>
          <w:szCs w:val="21"/>
        </w:rPr>
        <w:t>a,</w:t>
      </w:r>
      <w:r w:rsidRPr="002A23EF">
        <w:rPr>
          <w:rFonts w:eastAsiaTheme="minorEastAsia"/>
          <w:sz w:val="21"/>
          <w:szCs w:val="21"/>
        </w:rPr>
        <w:t xml:space="preserve"> HeLa cells were co-transfected with GFP-VP35 and Myc-AKIP1 and </w:t>
      </w:r>
      <w:proofErr w:type="spellStart"/>
      <w:r w:rsidRPr="002A23EF">
        <w:rPr>
          <w:rFonts w:eastAsiaTheme="minorEastAsia"/>
          <w:sz w:val="21"/>
          <w:szCs w:val="21"/>
        </w:rPr>
        <w:t>immunostained</w:t>
      </w:r>
      <w:proofErr w:type="spellEnd"/>
      <w:r w:rsidRPr="002A23EF">
        <w:rPr>
          <w:rFonts w:eastAsiaTheme="minorEastAsia"/>
          <w:sz w:val="21"/>
          <w:szCs w:val="21"/>
        </w:rPr>
        <w:t xml:space="preserve"> with an anti-AKIP1 (red) antibody. </w:t>
      </w:r>
      <w:r w:rsidRPr="002A23EF">
        <w:rPr>
          <w:rFonts w:eastAsiaTheme="minorEastAsia"/>
          <w:b/>
          <w:bCs/>
          <w:sz w:val="21"/>
          <w:szCs w:val="21"/>
        </w:rPr>
        <w:t>b, c</w:t>
      </w:r>
      <w:r w:rsidRPr="002A23EF">
        <w:rPr>
          <w:rFonts w:eastAsiaTheme="minorEastAsia"/>
          <w:sz w:val="21"/>
          <w:szCs w:val="21"/>
        </w:rPr>
        <w:t>, HepG2 cells were transfected with GFP-VP35 (</w:t>
      </w:r>
      <w:r w:rsidRPr="002A23EF">
        <w:rPr>
          <w:rFonts w:eastAsiaTheme="minorEastAsia"/>
          <w:b/>
          <w:sz w:val="21"/>
          <w:szCs w:val="21"/>
        </w:rPr>
        <w:t>b</w:t>
      </w:r>
      <w:r w:rsidRPr="002A23EF">
        <w:rPr>
          <w:rFonts w:eastAsiaTheme="minorEastAsia"/>
          <w:sz w:val="21"/>
          <w:szCs w:val="21"/>
        </w:rPr>
        <w:t>) or GFP vector (</w:t>
      </w:r>
      <w:r w:rsidRPr="002A23EF">
        <w:rPr>
          <w:rFonts w:eastAsiaTheme="minorEastAsia"/>
          <w:b/>
          <w:sz w:val="21"/>
          <w:szCs w:val="21"/>
        </w:rPr>
        <w:t>c</w:t>
      </w:r>
      <w:r w:rsidRPr="002A23EF">
        <w:rPr>
          <w:rFonts w:eastAsiaTheme="minorEastAsia"/>
          <w:sz w:val="21"/>
          <w:szCs w:val="21"/>
        </w:rPr>
        <w:t xml:space="preserve">), and then subjected to an </w:t>
      </w:r>
      <w:proofErr w:type="gramStart"/>
      <w:r w:rsidRPr="002A23EF">
        <w:rPr>
          <w:rFonts w:eastAsiaTheme="minorEastAsia"/>
          <w:i/>
          <w:sz w:val="21"/>
          <w:szCs w:val="21"/>
        </w:rPr>
        <w:t>in situ</w:t>
      </w:r>
      <w:proofErr w:type="gramEnd"/>
      <w:r w:rsidRPr="002A23EF">
        <w:rPr>
          <w:rFonts w:eastAsiaTheme="minorEastAsia"/>
          <w:sz w:val="21"/>
          <w:szCs w:val="21"/>
        </w:rPr>
        <w:t xml:space="preserve"> PLA assay with indicated antibodies. </w:t>
      </w:r>
      <w:r w:rsidRPr="002A23EF">
        <w:rPr>
          <w:rFonts w:eastAsiaTheme="minorEastAsia"/>
          <w:b/>
          <w:sz w:val="21"/>
          <w:szCs w:val="21"/>
        </w:rPr>
        <w:t>d,</w:t>
      </w:r>
      <w:r w:rsidRPr="002A23EF">
        <w:rPr>
          <w:rFonts w:eastAsiaTheme="minorEastAsia"/>
          <w:sz w:val="21"/>
          <w:szCs w:val="21"/>
        </w:rPr>
        <w:t xml:space="preserve"> </w:t>
      </w:r>
      <w:proofErr w:type="gramStart"/>
      <w:r w:rsidRPr="002A23EF">
        <w:rPr>
          <w:rFonts w:eastAsiaTheme="minorEastAsia"/>
          <w:sz w:val="21"/>
          <w:szCs w:val="21"/>
        </w:rPr>
        <w:t>As</w:t>
      </w:r>
      <w:proofErr w:type="gramEnd"/>
      <w:r w:rsidRPr="002A23EF">
        <w:rPr>
          <w:rFonts w:eastAsiaTheme="minorEastAsia"/>
          <w:sz w:val="21"/>
          <w:szCs w:val="21"/>
        </w:rPr>
        <w:t xml:space="preserve"> control of the main text Fig. 1e, uninfected HepG2 cells were subjected to </w:t>
      </w:r>
      <w:r w:rsidRPr="002A23EF">
        <w:rPr>
          <w:rFonts w:eastAsiaTheme="minorEastAsia"/>
          <w:i/>
          <w:iCs/>
          <w:sz w:val="21"/>
          <w:szCs w:val="21"/>
        </w:rPr>
        <w:t xml:space="preserve">in situ </w:t>
      </w:r>
      <w:r w:rsidRPr="002A23EF">
        <w:rPr>
          <w:rFonts w:eastAsiaTheme="minorEastAsia"/>
          <w:sz w:val="21"/>
          <w:szCs w:val="21"/>
        </w:rPr>
        <w:t>PLA assay and immunofluorescent staining with an anti-NP antibody.</w:t>
      </w:r>
    </w:p>
    <w:p w14:paraId="38AF3610" w14:textId="77777777" w:rsidR="00EB6423" w:rsidRPr="002A23EF" w:rsidRDefault="00EB6423" w:rsidP="00EB6423">
      <w:pPr>
        <w:spacing w:after="0" w:line="480" w:lineRule="auto"/>
        <w:ind w:firstLineChars="0" w:firstLine="0"/>
        <w:rPr>
          <w:rFonts w:eastAsiaTheme="minorEastAsia"/>
          <w:b/>
          <w:color w:val="FF0000"/>
          <w:sz w:val="21"/>
          <w:szCs w:val="21"/>
        </w:rPr>
      </w:pPr>
      <w:r w:rsidRPr="002A23EF">
        <w:rPr>
          <w:rFonts w:eastAsiaTheme="minorEastAsia"/>
          <w:b/>
          <w:noProof/>
          <w:color w:val="FF0000"/>
          <w:sz w:val="21"/>
          <w:szCs w:val="21"/>
        </w:rPr>
        <w:lastRenderedPageBreak/>
        <w:drawing>
          <wp:inline distT="0" distB="0" distL="0" distR="0" wp14:anchorId="1A0BDE95" wp14:editId="5466BE50">
            <wp:extent cx="5607685" cy="25222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cstate="print">
                      <a:extLst>
                        <a:ext uri="{28A0092B-C50C-407E-A947-70E740481C1C}">
                          <a14:useLocalDpi xmlns:a14="http://schemas.microsoft.com/office/drawing/2010/main" val="0"/>
                        </a:ext>
                      </a:extLst>
                    </a:blip>
                    <a:srcRect t="961" b="67242"/>
                    <a:stretch>
                      <a:fillRect/>
                    </a:stretch>
                  </pic:blipFill>
                  <pic:spPr>
                    <a:xfrm>
                      <a:off x="0" y="0"/>
                      <a:ext cx="5608320" cy="2522422"/>
                    </a:xfrm>
                    <a:prstGeom prst="rect">
                      <a:avLst/>
                    </a:prstGeom>
                    <a:ln>
                      <a:noFill/>
                    </a:ln>
                  </pic:spPr>
                </pic:pic>
              </a:graphicData>
            </a:graphic>
          </wp:inline>
        </w:drawing>
      </w:r>
    </w:p>
    <w:p w14:paraId="34B9E79E" w14:textId="77777777" w:rsidR="00EB6423" w:rsidRPr="002A23EF" w:rsidRDefault="00EB6423" w:rsidP="00EB6423">
      <w:pPr>
        <w:spacing w:after="0" w:line="480" w:lineRule="auto"/>
        <w:ind w:firstLineChars="0" w:firstLine="0"/>
        <w:rPr>
          <w:rFonts w:eastAsiaTheme="minorEastAsia"/>
          <w:b/>
          <w:sz w:val="21"/>
          <w:szCs w:val="21"/>
        </w:rPr>
      </w:pPr>
      <w:r w:rsidRPr="002A23EF">
        <w:rPr>
          <w:rFonts w:eastAsiaTheme="minorEastAsia"/>
          <w:b/>
          <w:sz w:val="21"/>
          <w:szCs w:val="21"/>
        </w:rPr>
        <w:t>Extended Data Fig. 3 Transmission electron microscopy of HepG2 cells transfected with EBOV minigenome system.</w:t>
      </w:r>
    </w:p>
    <w:p w14:paraId="5AF77023" w14:textId="77777777" w:rsidR="00EB6423" w:rsidRPr="002A23EF" w:rsidRDefault="00EB6423" w:rsidP="00EB6423">
      <w:pPr>
        <w:spacing w:after="0" w:line="480" w:lineRule="auto"/>
        <w:ind w:firstLineChars="0" w:firstLine="0"/>
        <w:rPr>
          <w:rFonts w:eastAsiaTheme="minorEastAsia"/>
          <w:sz w:val="21"/>
          <w:szCs w:val="21"/>
        </w:rPr>
      </w:pPr>
      <w:r w:rsidRPr="002A23EF">
        <w:rPr>
          <w:rFonts w:eastAsiaTheme="minorEastAsia"/>
          <w:sz w:val="21"/>
          <w:szCs w:val="21"/>
        </w:rPr>
        <w:t>HepG2 cells transfected with EBOV minigenome (p0) were observed with a HITACHI H-7650 transmission electron microscopy at an accelerating voltage of 80 kV. The VIBs and viral particles are marked with bold arrows and regular arrows, respectively.</w:t>
      </w:r>
    </w:p>
    <w:p w14:paraId="6195E374" w14:textId="77777777" w:rsidR="00EB6423" w:rsidRPr="002A23EF" w:rsidRDefault="00EB6423" w:rsidP="00EB6423">
      <w:pPr>
        <w:widowControl/>
        <w:spacing w:after="0" w:line="240" w:lineRule="auto"/>
        <w:ind w:firstLineChars="0" w:firstLine="0"/>
        <w:jc w:val="left"/>
        <w:rPr>
          <w:rFonts w:eastAsiaTheme="minorEastAsia"/>
          <w:sz w:val="21"/>
          <w:szCs w:val="21"/>
        </w:rPr>
      </w:pPr>
      <w:r w:rsidRPr="002A23EF">
        <w:rPr>
          <w:rFonts w:eastAsiaTheme="minorEastAsia"/>
          <w:sz w:val="21"/>
          <w:szCs w:val="21"/>
        </w:rPr>
        <w:br w:type="page"/>
      </w:r>
    </w:p>
    <w:p w14:paraId="4E43B2D4" w14:textId="77777777" w:rsidR="00EB6423" w:rsidRPr="002A23EF" w:rsidRDefault="00EB6423" w:rsidP="00EB6423">
      <w:pPr>
        <w:spacing w:after="0" w:line="480" w:lineRule="auto"/>
        <w:ind w:firstLineChars="0" w:firstLine="0"/>
        <w:rPr>
          <w:rFonts w:eastAsiaTheme="minorEastAsia"/>
          <w:sz w:val="21"/>
          <w:szCs w:val="21"/>
        </w:rPr>
      </w:pPr>
      <w:r w:rsidRPr="002A23EF">
        <w:rPr>
          <w:rFonts w:eastAsiaTheme="minorEastAsia"/>
          <w:noProof/>
          <w:sz w:val="21"/>
          <w:szCs w:val="21"/>
        </w:rPr>
        <w:lastRenderedPageBreak/>
        <w:drawing>
          <wp:inline distT="0" distB="0" distL="0" distR="0" wp14:anchorId="049FE825" wp14:editId="05998832">
            <wp:extent cx="5607685" cy="550926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7" cstate="print">
                      <a:extLst>
                        <a:ext uri="{28A0092B-C50C-407E-A947-70E740481C1C}">
                          <a14:useLocalDpi xmlns:a14="http://schemas.microsoft.com/office/drawing/2010/main" val="0"/>
                        </a:ext>
                      </a:extLst>
                    </a:blip>
                    <a:srcRect t="2786" b="27761"/>
                    <a:stretch>
                      <a:fillRect/>
                    </a:stretch>
                  </pic:blipFill>
                  <pic:spPr>
                    <a:xfrm>
                      <a:off x="0" y="0"/>
                      <a:ext cx="5608320" cy="5509701"/>
                    </a:xfrm>
                    <a:prstGeom prst="rect">
                      <a:avLst/>
                    </a:prstGeom>
                    <a:ln>
                      <a:noFill/>
                    </a:ln>
                  </pic:spPr>
                </pic:pic>
              </a:graphicData>
            </a:graphic>
          </wp:inline>
        </w:drawing>
      </w:r>
    </w:p>
    <w:p w14:paraId="1630591E" w14:textId="77777777" w:rsidR="00EB6423" w:rsidRPr="002A23EF" w:rsidRDefault="00EB6423" w:rsidP="00EB6423">
      <w:pPr>
        <w:spacing w:after="0" w:line="480" w:lineRule="auto"/>
        <w:ind w:firstLineChars="0" w:firstLine="0"/>
        <w:rPr>
          <w:sz w:val="21"/>
          <w:szCs w:val="21"/>
        </w:rPr>
      </w:pPr>
      <w:r w:rsidRPr="002A23EF">
        <w:rPr>
          <w:b/>
          <w:sz w:val="21"/>
          <w:szCs w:val="21"/>
        </w:rPr>
        <w:t>Extended Data Fig. 4 EBOV VP35 promotes AKIP1-PKA interaction and CREB1 activation.</w:t>
      </w:r>
    </w:p>
    <w:p w14:paraId="57D78F2A" w14:textId="77777777" w:rsidR="00EB6423" w:rsidRPr="002A23EF" w:rsidRDefault="00EB6423" w:rsidP="00EB6423">
      <w:pPr>
        <w:spacing w:after="0" w:line="480" w:lineRule="auto"/>
        <w:ind w:firstLineChars="0" w:firstLine="0"/>
        <w:rPr>
          <w:sz w:val="21"/>
          <w:szCs w:val="21"/>
        </w:rPr>
      </w:pPr>
      <w:r w:rsidRPr="002A23EF">
        <w:rPr>
          <w:b/>
          <w:sz w:val="21"/>
          <w:szCs w:val="21"/>
        </w:rPr>
        <w:t>a,</w:t>
      </w:r>
      <w:r w:rsidRPr="002A23EF">
        <w:rPr>
          <w:sz w:val="21"/>
          <w:szCs w:val="21"/>
        </w:rPr>
        <w:t xml:space="preserve"> HepG2 cells transfected with GFP-VP35 or GFP were subjected to </w:t>
      </w:r>
      <w:r w:rsidRPr="002A23EF">
        <w:rPr>
          <w:i/>
          <w:iCs/>
          <w:sz w:val="21"/>
          <w:szCs w:val="21"/>
        </w:rPr>
        <w:t>in situ</w:t>
      </w:r>
      <w:r w:rsidRPr="002A23EF">
        <w:rPr>
          <w:sz w:val="21"/>
          <w:szCs w:val="21"/>
        </w:rPr>
        <w:t xml:space="preserve"> PLA with anti-AKIP1 and anti-PRKACA antibodies (left), and PLA complex signal in each cell were counted for at least 10 cells and presented as mean </w:t>
      </w:r>
      <w:r w:rsidRPr="002A23EF">
        <w:rPr>
          <w:sz w:val="21"/>
          <w:szCs w:val="21"/>
        </w:rPr>
        <w:sym w:font="Symbol" w:char="F0B1"/>
      </w:r>
      <w:r w:rsidRPr="002A23EF">
        <w:rPr>
          <w:sz w:val="21"/>
          <w:szCs w:val="21"/>
        </w:rPr>
        <w:t>SEM (right).</w:t>
      </w:r>
      <w:r w:rsidRPr="002A23EF">
        <w:rPr>
          <w:b/>
          <w:sz w:val="21"/>
          <w:szCs w:val="21"/>
        </w:rPr>
        <w:t xml:space="preserve"> b, c, </w:t>
      </w:r>
      <w:proofErr w:type="gramStart"/>
      <w:r w:rsidRPr="002A23EF">
        <w:rPr>
          <w:bCs/>
          <w:sz w:val="21"/>
          <w:szCs w:val="21"/>
        </w:rPr>
        <w:t>Two</w:t>
      </w:r>
      <w:proofErr w:type="gramEnd"/>
      <w:r w:rsidRPr="002A23EF">
        <w:rPr>
          <w:bCs/>
          <w:sz w:val="21"/>
          <w:szCs w:val="21"/>
        </w:rPr>
        <w:t xml:space="preserve"> independent clo</w:t>
      </w:r>
      <w:r w:rsidRPr="002A23EF">
        <w:rPr>
          <w:sz w:val="21"/>
          <w:szCs w:val="21"/>
        </w:rPr>
        <w:t xml:space="preserve">nes of </w:t>
      </w:r>
      <w:r w:rsidRPr="002A23EF">
        <w:rPr>
          <w:i/>
          <w:sz w:val="21"/>
          <w:szCs w:val="21"/>
        </w:rPr>
        <w:t>AKIP1</w:t>
      </w:r>
      <w:r w:rsidRPr="002A23EF">
        <w:rPr>
          <w:sz w:val="21"/>
          <w:szCs w:val="21"/>
        </w:rPr>
        <w:t xml:space="preserve"> KO HepG2 cell (KO1 and KO2) were generated with CRISPR/Cas9, and confirmed by sequencing (</w:t>
      </w:r>
      <w:r w:rsidRPr="002A23EF">
        <w:rPr>
          <w:b/>
          <w:bCs/>
          <w:sz w:val="21"/>
          <w:szCs w:val="21"/>
        </w:rPr>
        <w:t>b</w:t>
      </w:r>
      <w:r w:rsidRPr="002A23EF">
        <w:rPr>
          <w:sz w:val="21"/>
          <w:szCs w:val="21"/>
        </w:rPr>
        <w:t xml:space="preserve">). Cell proliferation was compared in </w:t>
      </w:r>
      <w:r w:rsidRPr="002A23EF">
        <w:rPr>
          <w:b/>
          <w:sz w:val="21"/>
          <w:szCs w:val="21"/>
        </w:rPr>
        <w:t>(c).</w:t>
      </w:r>
      <w:r w:rsidRPr="002A23EF">
        <w:rPr>
          <w:sz w:val="21"/>
          <w:szCs w:val="21"/>
        </w:rPr>
        <w:t xml:space="preserve"> </w:t>
      </w:r>
      <w:r w:rsidRPr="002A23EF">
        <w:rPr>
          <w:b/>
          <w:sz w:val="21"/>
          <w:szCs w:val="21"/>
        </w:rPr>
        <w:t>d,</w:t>
      </w:r>
      <w:r w:rsidRPr="002A23EF">
        <w:rPr>
          <w:sz w:val="21"/>
          <w:szCs w:val="21"/>
        </w:rPr>
        <w:t xml:space="preserve"> C57BL/6N mice (10 weeks) were infected with Ad-VP35 or Ad-GFP (</w:t>
      </w:r>
      <w:bookmarkStart w:id="0" w:name="OLE_LINK3"/>
      <w:r w:rsidRPr="002A23EF">
        <w:rPr>
          <w:sz w:val="21"/>
          <w:szCs w:val="21"/>
        </w:rPr>
        <w:t>2×10</w:t>
      </w:r>
      <w:r w:rsidRPr="002A23EF">
        <w:rPr>
          <w:sz w:val="21"/>
          <w:szCs w:val="21"/>
          <w:vertAlign w:val="superscript"/>
        </w:rPr>
        <w:t>9</w:t>
      </w:r>
      <w:bookmarkEnd w:id="0"/>
      <w:r w:rsidRPr="002A23EF">
        <w:rPr>
          <w:sz w:val="21"/>
          <w:szCs w:val="21"/>
          <w:vertAlign w:val="superscript"/>
        </w:rPr>
        <w:t xml:space="preserve"> </w:t>
      </w:r>
      <w:r w:rsidRPr="002A23EF">
        <w:rPr>
          <w:sz w:val="21"/>
          <w:szCs w:val="21"/>
        </w:rPr>
        <w:t xml:space="preserve">PFU) via tail vein injection twice at 24 h intervals. Three days later, the liver tissues were fragmented by a homogenizer and analyzed by immunoblotting with anti-CREB1 pS133 and anti-CREB1 antibodies (left). </w:t>
      </w:r>
      <w:r w:rsidRPr="002A23EF">
        <w:rPr>
          <w:sz w:val="21"/>
          <w:szCs w:val="21"/>
        </w:rPr>
        <w:lastRenderedPageBreak/>
        <w:t xml:space="preserve">(Right panel) The ratio of CREB1 pS133/CREB1 was quantified by grayscale scanning using ImageJ software (n=3) (right). All data of 3 independent replications were presented as mean </w:t>
      </w:r>
      <w:r w:rsidRPr="002A23EF">
        <w:rPr>
          <w:sz w:val="21"/>
          <w:szCs w:val="21"/>
        </w:rPr>
        <w:sym w:font="Symbol" w:char="F0B1"/>
      </w:r>
      <w:r w:rsidRPr="002A23EF">
        <w:rPr>
          <w:sz w:val="21"/>
          <w:szCs w:val="21"/>
        </w:rPr>
        <w:t>SEM (**P&lt;0.01).</w:t>
      </w:r>
    </w:p>
    <w:p w14:paraId="039C321A" w14:textId="77777777" w:rsidR="00EB6423" w:rsidRPr="002A23EF" w:rsidRDefault="00EB6423" w:rsidP="00EB6423">
      <w:pPr>
        <w:widowControl/>
        <w:spacing w:after="0" w:line="240" w:lineRule="auto"/>
        <w:ind w:firstLineChars="0" w:firstLine="0"/>
        <w:jc w:val="left"/>
        <w:rPr>
          <w:rFonts w:eastAsiaTheme="minorEastAsia"/>
          <w:sz w:val="21"/>
          <w:szCs w:val="22"/>
        </w:rPr>
      </w:pPr>
      <w:r w:rsidRPr="002A23EF">
        <w:rPr>
          <w:rFonts w:eastAsiaTheme="minorEastAsia"/>
          <w:sz w:val="21"/>
          <w:szCs w:val="22"/>
        </w:rPr>
        <w:br w:type="page"/>
      </w:r>
    </w:p>
    <w:p w14:paraId="1A3ABBE1" w14:textId="77777777" w:rsidR="00EB6423" w:rsidRPr="002A23EF" w:rsidRDefault="00EB6423" w:rsidP="00EB6423">
      <w:pPr>
        <w:spacing w:after="0" w:line="240" w:lineRule="auto"/>
        <w:ind w:firstLineChars="0" w:firstLine="0"/>
        <w:rPr>
          <w:rFonts w:eastAsiaTheme="minorEastAsia"/>
          <w:sz w:val="21"/>
          <w:szCs w:val="22"/>
        </w:rPr>
      </w:pPr>
      <w:r w:rsidRPr="002A23EF">
        <w:rPr>
          <w:rFonts w:eastAsiaTheme="minorEastAsia"/>
          <w:noProof/>
          <w:sz w:val="21"/>
          <w:szCs w:val="22"/>
        </w:rPr>
        <w:lastRenderedPageBreak/>
        <w:drawing>
          <wp:inline distT="0" distB="0" distL="0" distR="0" wp14:anchorId="6E0A94D8" wp14:editId="26FD0287">
            <wp:extent cx="5607685" cy="397002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8" cstate="print">
                      <a:extLst>
                        <a:ext uri="{28A0092B-C50C-407E-A947-70E740481C1C}">
                          <a14:useLocalDpi xmlns:a14="http://schemas.microsoft.com/office/drawing/2010/main" val="0"/>
                        </a:ext>
                      </a:extLst>
                    </a:blip>
                    <a:srcRect t="2210" b="47742"/>
                    <a:stretch>
                      <a:fillRect/>
                    </a:stretch>
                  </pic:blipFill>
                  <pic:spPr>
                    <a:xfrm>
                      <a:off x="0" y="0"/>
                      <a:ext cx="5608320" cy="3970338"/>
                    </a:xfrm>
                    <a:prstGeom prst="rect">
                      <a:avLst/>
                    </a:prstGeom>
                    <a:ln>
                      <a:noFill/>
                    </a:ln>
                  </pic:spPr>
                </pic:pic>
              </a:graphicData>
            </a:graphic>
          </wp:inline>
        </w:drawing>
      </w:r>
    </w:p>
    <w:p w14:paraId="5A467590" w14:textId="77777777" w:rsidR="00EB6423" w:rsidRPr="002A23EF" w:rsidRDefault="00EB6423" w:rsidP="00EB6423">
      <w:pPr>
        <w:spacing w:after="0" w:line="480" w:lineRule="auto"/>
        <w:ind w:firstLineChars="0" w:firstLine="0"/>
        <w:rPr>
          <w:b/>
          <w:sz w:val="21"/>
          <w:szCs w:val="21"/>
        </w:rPr>
      </w:pPr>
      <w:r w:rsidRPr="002A23EF">
        <w:rPr>
          <w:b/>
          <w:sz w:val="21"/>
          <w:szCs w:val="21"/>
        </w:rPr>
        <w:t xml:space="preserve">Extended Data Fig. 5 CREB1 is hijacked by viral VP35 in the V IBs of </w:t>
      </w:r>
      <w:proofErr w:type="spellStart"/>
      <w:r w:rsidRPr="002A23EF">
        <w:rPr>
          <w:b/>
          <w:sz w:val="21"/>
          <w:szCs w:val="21"/>
        </w:rPr>
        <w:t>trVLPs</w:t>
      </w:r>
      <w:proofErr w:type="spellEnd"/>
      <w:r w:rsidRPr="002A23EF">
        <w:rPr>
          <w:b/>
          <w:sz w:val="21"/>
          <w:szCs w:val="21"/>
        </w:rPr>
        <w:t>-infected cells.</w:t>
      </w:r>
    </w:p>
    <w:p w14:paraId="5C18F272" w14:textId="77777777" w:rsidR="00EB6423" w:rsidRPr="002A23EF" w:rsidRDefault="00EB6423" w:rsidP="00EB6423">
      <w:pPr>
        <w:spacing w:after="0" w:line="480" w:lineRule="auto"/>
        <w:ind w:firstLineChars="0" w:firstLine="0"/>
        <w:rPr>
          <w:sz w:val="21"/>
          <w:szCs w:val="21"/>
        </w:rPr>
      </w:pPr>
      <w:r w:rsidRPr="002A23EF">
        <w:rPr>
          <w:b/>
          <w:sz w:val="21"/>
          <w:szCs w:val="21"/>
        </w:rPr>
        <w:t>a, b,</w:t>
      </w:r>
      <w:r w:rsidRPr="002A23EF">
        <w:rPr>
          <w:sz w:val="21"/>
          <w:szCs w:val="21"/>
        </w:rPr>
        <w:t xml:space="preserve"> WT and </w:t>
      </w:r>
      <w:r w:rsidRPr="002A23EF">
        <w:rPr>
          <w:i/>
          <w:iCs/>
          <w:sz w:val="21"/>
          <w:szCs w:val="21"/>
        </w:rPr>
        <w:t>AKIP1</w:t>
      </w:r>
      <w:r w:rsidRPr="002A23EF">
        <w:rPr>
          <w:sz w:val="21"/>
          <w:szCs w:val="21"/>
        </w:rPr>
        <w:t xml:space="preserve"> KO HepG2 cells transfected with EBOV minigenome (p0) and treated with or without 666-15 (1 </w:t>
      </w:r>
      <w:proofErr w:type="spellStart"/>
      <w:r w:rsidRPr="002A23EF">
        <w:rPr>
          <w:sz w:val="21"/>
          <w:szCs w:val="21"/>
        </w:rPr>
        <w:t>μM</w:t>
      </w:r>
      <w:proofErr w:type="spellEnd"/>
      <w:r w:rsidRPr="002A23EF">
        <w:rPr>
          <w:sz w:val="21"/>
          <w:szCs w:val="21"/>
        </w:rPr>
        <w:t xml:space="preserve">) were </w:t>
      </w:r>
      <w:proofErr w:type="spellStart"/>
      <w:r w:rsidRPr="002A23EF">
        <w:rPr>
          <w:sz w:val="21"/>
          <w:szCs w:val="21"/>
        </w:rPr>
        <w:t>immunostained</w:t>
      </w:r>
      <w:proofErr w:type="spellEnd"/>
      <w:r w:rsidRPr="002A23EF">
        <w:rPr>
          <w:sz w:val="21"/>
          <w:szCs w:val="21"/>
        </w:rPr>
        <w:t xml:space="preserve"> with indicated antibodies. Cytoplasm/nuclei distribution of CREB1 in (</w:t>
      </w:r>
      <w:r w:rsidRPr="002A23EF">
        <w:rPr>
          <w:b/>
          <w:sz w:val="21"/>
          <w:szCs w:val="21"/>
        </w:rPr>
        <w:t>b</w:t>
      </w:r>
      <w:r w:rsidRPr="002A23EF">
        <w:rPr>
          <w:sz w:val="21"/>
          <w:szCs w:val="21"/>
        </w:rPr>
        <w:t>, left) was analyzed by ImageJ software (</w:t>
      </w:r>
      <w:r w:rsidRPr="002A23EF">
        <w:rPr>
          <w:b/>
          <w:bCs/>
          <w:sz w:val="21"/>
          <w:szCs w:val="21"/>
        </w:rPr>
        <w:t xml:space="preserve">b, </w:t>
      </w:r>
      <w:r w:rsidRPr="002A23EF">
        <w:rPr>
          <w:bCs/>
          <w:sz w:val="21"/>
          <w:szCs w:val="21"/>
        </w:rPr>
        <w:t>right</w:t>
      </w:r>
      <w:r w:rsidRPr="002A23EF">
        <w:rPr>
          <w:sz w:val="21"/>
          <w:szCs w:val="21"/>
        </w:rPr>
        <w:t xml:space="preserve">). The ratio of CREB1 distribution in at least 10 cells was expressed as mean </w:t>
      </w:r>
      <w:r w:rsidRPr="002A23EF">
        <w:rPr>
          <w:sz w:val="21"/>
          <w:szCs w:val="21"/>
        </w:rPr>
        <w:sym w:font="Symbol" w:char="F0B1"/>
      </w:r>
      <w:r w:rsidRPr="002A23EF">
        <w:rPr>
          <w:sz w:val="21"/>
          <w:szCs w:val="21"/>
        </w:rPr>
        <w:t xml:space="preserve">SEM (***P&lt;0.001). </w:t>
      </w:r>
    </w:p>
    <w:p w14:paraId="4419F726" w14:textId="77777777" w:rsidR="00EB6423" w:rsidRPr="002A23EF" w:rsidRDefault="00EB6423" w:rsidP="00EB6423">
      <w:pPr>
        <w:widowControl/>
        <w:spacing w:after="0" w:line="240" w:lineRule="auto"/>
        <w:ind w:firstLineChars="0" w:firstLine="0"/>
        <w:jc w:val="left"/>
        <w:rPr>
          <w:rFonts w:eastAsiaTheme="minorEastAsia"/>
          <w:sz w:val="21"/>
          <w:szCs w:val="22"/>
        </w:rPr>
      </w:pPr>
      <w:r w:rsidRPr="002A23EF">
        <w:rPr>
          <w:rFonts w:eastAsiaTheme="minorEastAsia"/>
          <w:sz w:val="21"/>
          <w:szCs w:val="22"/>
        </w:rPr>
        <w:br w:type="page"/>
      </w:r>
    </w:p>
    <w:p w14:paraId="332B50AF" w14:textId="77777777" w:rsidR="00EB6423" w:rsidRPr="002A23EF" w:rsidRDefault="00EB6423" w:rsidP="00EB6423">
      <w:pPr>
        <w:spacing w:after="0" w:line="240" w:lineRule="auto"/>
        <w:ind w:firstLineChars="0" w:firstLine="0"/>
        <w:rPr>
          <w:rFonts w:eastAsiaTheme="minorEastAsia"/>
          <w:sz w:val="21"/>
          <w:szCs w:val="22"/>
        </w:rPr>
      </w:pPr>
      <w:r w:rsidRPr="002A23EF">
        <w:rPr>
          <w:rFonts w:eastAsiaTheme="minorEastAsia"/>
          <w:noProof/>
          <w:sz w:val="21"/>
          <w:szCs w:val="22"/>
        </w:rPr>
        <w:lastRenderedPageBreak/>
        <w:drawing>
          <wp:inline distT="0" distB="0" distL="0" distR="0" wp14:anchorId="5356C9C9" wp14:editId="43880E91">
            <wp:extent cx="5607685" cy="3954780"/>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9" cstate="print">
                      <a:extLst>
                        <a:ext uri="{28A0092B-C50C-407E-A947-70E740481C1C}">
                          <a14:useLocalDpi xmlns:a14="http://schemas.microsoft.com/office/drawing/2010/main" val="0"/>
                        </a:ext>
                      </a:extLst>
                    </a:blip>
                    <a:srcRect t="1345" b="48799"/>
                    <a:stretch>
                      <a:fillRect/>
                    </a:stretch>
                  </pic:blipFill>
                  <pic:spPr>
                    <a:xfrm>
                      <a:off x="0" y="0"/>
                      <a:ext cx="5608320" cy="3955096"/>
                    </a:xfrm>
                    <a:prstGeom prst="rect">
                      <a:avLst/>
                    </a:prstGeom>
                    <a:ln>
                      <a:noFill/>
                    </a:ln>
                  </pic:spPr>
                </pic:pic>
              </a:graphicData>
            </a:graphic>
          </wp:inline>
        </w:drawing>
      </w:r>
    </w:p>
    <w:p w14:paraId="1FC32849" w14:textId="77777777" w:rsidR="00EB6423" w:rsidRPr="002A23EF" w:rsidRDefault="00EB6423" w:rsidP="00EB6423">
      <w:pPr>
        <w:spacing w:after="0" w:line="480" w:lineRule="auto"/>
        <w:ind w:firstLineChars="0" w:firstLine="0"/>
        <w:rPr>
          <w:sz w:val="21"/>
          <w:szCs w:val="21"/>
        </w:rPr>
      </w:pPr>
      <w:r w:rsidRPr="002A23EF">
        <w:rPr>
          <w:b/>
          <w:sz w:val="21"/>
          <w:szCs w:val="21"/>
        </w:rPr>
        <w:t xml:space="preserve">Extended data Fig. 6 EBOV </w:t>
      </w:r>
      <w:proofErr w:type="spellStart"/>
      <w:r w:rsidRPr="002A23EF">
        <w:rPr>
          <w:b/>
          <w:sz w:val="21"/>
          <w:szCs w:val="21"/>
        </w:rPr>
        <w:t>trVLPs</w:t>
      </w:r>
      <w:proofErr w:type="spellEnd"/>
      <w:r w:rsidRPr="002A23EF">
        <w:rPr>
          <w:b/>
          <w:sz w:val="21"/>
          <w:szCs w:val="21"/>
        </w:rPr>
        <w:t xml:space="preserve"> replication was compromised by </w:t>
      </w:r>
      <w:r w:rsidRPr="002A23EF">
        <w:rPr>
          <w:b/>
          <w:i/>
          <w:sz w:val="21"/>
          <w:szCs w:val="21"/>
        </w:rPr>
        <w:t>AKIP1</w:t>
      </w:r>
      <w:r w:rsidRPr="002A23EF">
        <w:rPr>
          <w:b/>
          <w:sz w:val="21"/>
          <w:szCs w:val="21"/>
        </w:rPr>
        <w:t xml:space="preserve"> knockdown or knockout.</w:t>
      </w:r>
      <w:r w:rsidRPr="002A23EF">
        <w:rPr>
          <w:sz w:val="21"/>
          <w:szCs w:val="21"/>
        </w:rPr>
        <w:t xml:space="preserve"> </w:t>
      </w:r>
    </w:p>
    <w:p w14:paraId="1CED42C7" w14:textId="77777777" w:rsidR="00EB6423" w:rsidRPr="002A23EF" w:rsidRDefault="00EB6423" w:rsidP="00EB6423">
      <w:pPr>
        <w:spacing w:after="0" w:line="480" w:lineRule="auto"/>
        <w:ind w:firstLineChars="0" w:firstLine="0"/>
        <w:rPr>
          <w:sz w:val="21"/>
          <w:szCs w:val="21"/>
        </w:rPr>
      </w:pPr>
      <w:r w:rsidRPr="002A23EF">
        <w:rPr>
          <w:b/>
          <w:sz w:val="21"/>
          <w:szCs w:val="21"/>
        </w:rPr>
        <w:t>a,</w:t>
      </w:r>
      <w:r w:rsidRPr="002A23EF">
        <w:rPr>
          <w:sz w:val="21"/>
          <w:szCs w:val="21"/>
        </w:rPr>
        <w:t xml:space="preserve"> WT and </w:t>
      </w:r>
      <w:r w:rsidRPr="002A23EF">
        <w:rPr>
          <w:i/>
          <w:iCs/>
          <w:sz w:val="21"/>
          <w:szCs w:val="21"/>
        </w:rPr>
        <w:t>AKIP1</w:t>
      </w:r>
      <w:r w:rsidRPr="002A23EF">
        <w:rPr>
          <w:sz w:val="21"/>
          <w:szCs w:val="21"/>
        </w:rPr>
        <w:t xml:space="preserve"> KO HepG2 cells transfected with EBOV minigenome (p0 and p1) for 48 h. were </w:t>
      </w:r>
      <w:proofErr w:type="spellStart"/>
      <w:r w:rsidRPr="002A23EF">
        <w:rPr>
          <w:sz w:val="21"/>
          <w:szCs w:val="21"/>
        </w:rPr>
        <w:t>immunostained</w:t>
      </w:r>
      <w:proofErr w:type="spellEnd"/>
      <w:r w:rsidRPr="002A23EF">
        <w:rPr>
          <w:sz w:val="21"/>
          <w:szCs w:val="21"/>
        </w:rPr>
        <w:t xml:space="preserve"> with an anti-VP35 antibody (green).</w:t>
      </w:r>
      <w:r w:rsidRPr="002A23EF">
        <w:rPr>
          <w:b/>
          <w:sz w:val="21"/>
          <w:szCs w:val="21"/>
        </w:rPr>
        <w:t xml:space="preserve"> b,</w:t>
      </w:r>
      <w:r w:rsidRPr="002A23EF">
        <w:rPr>
          <w:sz w:val="21"/>
          <w:szCs w:val="21"/>
        </w:rPr>
        <w:t xml:space="preserve"> HepG2 cells were transfected with EBOV minigenome (p0 and p1) for 12 h. Then, p1 cells were transfected with AKIP1 siRNA or scrambled siRNA. siRNA efficiency of AKIP1 was determined by </w:t>
      </w:r>
      <w:proofErr w:type="spellStart"/>
      <w:r w:rsidRPr="002A23EF">
        <w:rPr>
          <w:sz w:val="21"/>
          <w:szCs w:val="21"/>
        </w:rPr>
        <w:t>qRT</w:t>
      </w:r>
      <w:proofErr w:type="spellEnd"/>
      <w:r w:rsidRPr="002A23EF">
        <w:rPr>
          <w:sz w:val="21"/>
          <w:szCs w:val="21"/>
        </w:rPr>
        <w:t xml:space="preserve">-PCR (left), and </w:t>
      </w:r>
      <w:proofErr w:type="gramStart"/>
      <w:r w:rsidRPr="002A23EF">
        <w:rPr>
          <w:sz w:val="21"/>
          <w:szCs w:val="21"/>
        </w:rPr>
        <w:t>The</w:t>
      </w:r>
      <w:proofErr w:type="gramEnd"/>
      <w:r w:rsidRPr="002A23EF">
        <w:rPr>
          <w:sz w:val="21"/>
          <w:szCs w:val="21"/>
        </w:rPr>
        <w:t xml:space="preserve"> amounts of </w:t>
      </w:r>
      <w:proofErr w:type="spellStart"/>
      <w:r w:rsidRPr="002A23EF">
        <w:rPr>
          <w:sz w:val="21"/>
          <w:szCs w:val="21"/>
        </w:rPr>
        <w:t>trVLPs</w:t>
      </w:r>
      <w:proofErr w:type="spellEnd"/>
      <w:r w:rsidRPr="002A23EF">
        <w:rPr>
          <w:sz w:val="21"/>
          <w:szCs w:val="21"/>
        </w:rPr>
        <w:t xml:space="preserve"> were determined by luciferase activity assay (right).</w:t>
      </w:r>
      <w:r w:rsidRPr="002A23EF">
        <w:rPr>
          <w:b/>
          <w:sz w:val="21"/>
          <w:szCs w:val="21"/>
        </w:rPr>
        <w:t xml:space="preserve"> c,</w:t>
      </w:r>
      <w:r w:rsidRPr="002A23EF">
        <w:rPr>
          <w:sz w:val="21"/>
          <w:szCs w:val="21"/>
        </w:rPr>
        <w:t xml:space="preserve"> WT and </w:t>
      </w:r>
      <w:r w:rsidRPr="002A23EF">
        <w:rPr>
          <w:i/>
          <w:iCs/>
          <w:sz w:val="21"/>
          <w:szCs w:val="21"/>
        </w:rPr>
        <w:t>AKIP1</w:t>
      </w:r>
      <w:r w:rsidRPr="002A23EF">
        <w:rPr>
          <w:sz w:val="21"/>
          <w:szCs w:val="21"/>
        </w:rPr>
        <w:t xml:space="preserve"> KO HepG2 cells infected with live EBOV were treated with 666-15 (1 </w:t>
      </w:r>
      <w:proofErr w:type="spellStart"/>
      <w:r w:rsidRPr="002A23EF">
        <w:rPr>
          <w:sz w:val="21"/>
          <w:szCs w:val="21"/>
        </w:rPr>
        <w:t>μM</w:t>
      </w:r>
      <w:proofErr w:type="spellEnd"/>
      <w:r w:rsidRPr="002A23EF">
        <w:rPr>
          <w:sz w:val="21"/>
          <w:szCs w:val="21"/>
        </w:rPr>
        <w:t xml:space="preserve">) or vehicle for 48 h. Cells were then analyzed by immunostaining with an anti-VP35 antibody (green). All data of 3 independent replications were presented as mean </w:t>
      </w:r>
      <w:r w:rsidRPr="002A23EF">
        <w:rPr>
          <w:sz w:val="21"/>
          <w:szCs w:val="21"/>
        </w:rPr>
        <w:sym w:font="Symbol" w:char="F0B1"/>
      </w:r>
      <w:r w:rsidRPr="002A23EF">
        <w:rPr>
          <w:sz w:val="21"/>
          <w:szCs w:val="21"/>
        </w:rPr>
        <w:t>SEM (**P&lt;0.01).</w:t>
      </w:r>
    </w:p>
    <w:p w14:paraId="55277FFE" w14:textId="77777777" w:rsidR="00EB6423" w:rsidRPr="002A23EF" w:rsidRDefault="00EB6423" w:rsidP="00EB6423">
      <w:pPr>
        <w:widowControl/>
        <w:spacing w:after="0" w:line="240" w:lineRule="auto"/>
        <w:ind w:firstLineChars="0" w:firstLine="0"/>
        <w:jc w:val="left"/>
        <w:rPr>
          <w:rFonts w:eastAsiaTheme="minorEastAsia"/>
          <w:sz w:val="21"/>
          <w:szCs w:val="22"/>
        </w:rPr>
      </w:pPr>
      <w:r w:rsidRPr="002A23EF">
        <w:rPr>
          <w:rFonts w:eastAsiaTheme="minorEastAsia"/>
          <w:sz w:val="21"/>
          <w:szCs w:val="22"/>
        </w:rPr>
        <w:br w:type="page"/>
      </w:r>
    </w:p>
    <w:p w14:paraId="676619D9" w14:textId="77777777" w:rsidR="00EB6423" w:rsidRPr="002A23EF" w:rsidRDefault="00EB6423" w:rsidP="00EB6423">
      <w:pPr>
        <w:spacing w:after="0" w:line="240" w:lineRule="auto"/>
        <w:ind w:firstLineChars="0" w:firstLine="0"/>
        <w:rPr>
          <w:rFonts w:eastAsiaTheme="minorEastAsia"/>
          <w:sz w:val="21"/>
          <w:szCs w:val="22"/>
        </w:rPr>
      </w:pPr>
      <w:r w:rsidRPr="002A23EF">
        <w:rPr>
          <w:rFonts w:eastAsiaTheme="minorEastAsia"/>
          <w:noProof/>
          <w:sz w:val="21"/>
          <w:szCs w:val="22"/>
        </w:rPr>
        <w:lastRenderedPageBreak/>
        <w:drawing>
          <wp:inline distT="0" distB="0" distL="0" distR="0" wp14:anchorId="55A3B5C1" wp14:editId="0480883B">
            <wp:extent cx="5607685" cy="7787640"/>
            <wp:effectExtent l="0" t="0" r="0"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0" cstate="print">
                      <a:extLst>
                        <a:ext uri="{28A0092B-C50C-407E-A947-70E740481C1C}">
                          <a14:useLocalDpi xmlns:a14="http://schemas.microsoft.com/office/drawing/2010/main" val="0"/>
                        </a:ext>
                      </a:extLst>
                    </a:blip>
                    <a:srcRect t="96" b="1729"/>
                    <a:stretch>
                      <a:fillRect/>
                    </a:stretch>
                  </pic:blipFill>
                  <pic:spPr>
                    <a:xfrm>
                      <a:off x="0" y="0"/>
                      <a:ext cx="5608320" cy="7788263"/>
                    </a:xfrm>
                    <a:prstGeom prst="rect">
                      <a:avLst/>
                    </a:prstGeom>
                    <a:ln>
                      <a:noFill/>
                    </a:ln>
                  </pic:spPr>
                </pic:pic>
              </a:graphicData>
            </a:graphic>
          </wp:inline>
        </w:drawing>
      </w:r>
    </w:p>
    <w:p w14:paraId="52FA8D39" w14:textId="77777777" w:rsidR="00EB6423" w:rsidRPr="002A23EF" w:rsidRDefault="00EB6423" w:rsidP="00EB6423">
      <w:pPr>
        <w:spacing w:after="0" w:line="480" w:lineRule="auto"/>
        <w:ind w:firstLineChars="0" w:firstLine="0"/>
        <w:rPr>
          <w:b/>
          <w:sz w:val="21"/>
          <w:szCs w:val="21"/>
        </w:rPr>
      </w:pPr>
      <w:r w:rsidRPr="002A23EF">
        <w:rPr>
          <w:b/>
          <w:sz w:val="21"/>
          <w:szCs w:val="21"/>
        </w:rPr>
        <w:t xml:space="preserve">Extended Data Fig. 7 EBOV VP35 promotes the transcription and expression of coagulation-related genes via the AKIP1-PKA-CREB1 axis. </w:t>
      </w:r>
    </w:p>
    <w:p w14:paraId="7108930E" w14:textId="77777777" w:rsidR="00EB6423" w:rsidRPr="002A23EF" w:rsidRDefault="00EB6423" w:rsidP="00EB6423">
      <w:pPr>
        <w:spacing w:after="0" w:line="480" w:lineRule="auto"/>
        <w:ind w:firstLineChars="0" w:firstLine="0"/>
        <w:rPr>
          <w:sz w:val="21"/>
          <w:szCs w:val="21"/>
        </w:rPr>
        <w:sectPr w:rsidR="00EB6423" w:rsidRPr="002A23EF">
          <w:pgSz w:w="11906" w:h="16838"/>
          <w:pgMar w:top="1440" w:right="1274" w:bottom="1440" w:left="1800" w:header="851" w:footer="992" w:gutter="0"/>
          <w:lnNumType w:countBy="1" w:restart="continuous"/>
          <w:cols w:space="425"/>
          <w:docGrid w:type="lines" w:linePitch="326"/>
        </w:sectPr>
      </w:pPr>
      <w:r w:rsidRPr="002A23EF">
        <w:rPr>
          <w:b/>
          <w:sz w:val="21"/>
          <w:szCs w:val="21"/>
        </w:rPr>
        <w:lastRenderedPageBreak/>
        <w:t>a,</w:t>
      </w:r>
      <w:r w:rsidRPr="002A23EF">
        <w:rPr>
          <w:sz w:val="21"/>
          <w:szCs w:val="21"/>
        </w:rPr>
        <w:t xml:space="preserve"> Gene expression in HepG2 transfected with VP35 or vector was analyzed with </w:t>
      </w:r>
      <w:r w:rsidRPr="002A23EF">
        <w:rPr>
          <w:bCs/>
          <w:sz w:val="21"/>
          <w:szCs w:val="21"/>
        </w:rPr>
        <w:t>gene expression microarray.</w:t>
      </w:r>
      <w:r w:rsidRPr="002A23EF">
        <w:rPr>
          <w:sz w:val="21"/>
          <w:szCs w:val="21"/>
        </w:rPr>
        <w:t xml:space="preserve"> Differentially expressed genes regulated by VP35 in HepG2 cells were presented via a gene expression spectrum scatter plot. </w:t>
      </w:r>
      <w:r w:rsidRPr="002A23EF">
        <w:rPr>
          <w:b/>
          <w:sz w:val="21"/>
          <w:szCs w:val="21"/>
        </w:rPr>
        <w:t>b,</w:t>
      </w:r>
      <w:r w:rsidRPr="002A23EF">
        <w:rPr>
          <w:sz w:val="21"/>
          <w:szCs w:val="21"/>
        </w:rPr>
        <w:t xml:space="preserve"> Top 20 KEGG pathways enriched in differentially expressed genes (</w:t>
      </w:r>
      <w:r w:rsidRPr="002A23EF">
        <w:rPr>
          <w:sz w:val="21"/>
          <w:szCs w:val="21"/>
        </w:rPr>
        <w:sym w:font="Symbol" w:char="F0B3"/>
      </w:r>
      <w:r w:rsidRPr="002A23EF">
        <w:rPr>
          <w:sz w:val="21"/>
          <w:szCs w:val="21"/>
        </w:rPr>
        <w:t xml:space="preserve">2 fold or </w:t>
      </w:r>
      <w:r w:rsidRPr="002A23EF">
        <w:rPr>
          <w:sz w:val="21"/>
          <w:szCs w:val="21"/>
        </w:rPr>
        <w:sym w:font="Symbol" w:char="F0A3"/>
      </w:r>
      <w:r w:rsidRPr="002A23EF">
        <w:rPr>
          <w:sz w:val="21"/>
          <w:szCs w:val="21"/>
        </w:rPr>
        <w:t xml:space="preserve">-2 fold) regulated by VP35. </w:t>
      </w:r>
      <w:r w:rsidRPr="002A23EF">
        <w:rPr>
          <w:b/>
          <w:sz w:val="21"/>
          <w:szCs w:val="21"/>
        </w:rPr>
        <w:t>c,</w:t>
      </w:r>
      <w:r w:rsidRPr="002A23EF">
        <w:rPr>
          <w:sz w:val="21"/>
          <w:szCs w:val="21"/>
        </w:rPr>
        <w:t xml:space="preserve"> Transcription of coagulation-related genes regulated by VP35 were shown by heat map. </w:t>
      </w:r>
      <w:r w:rsidRPr="002A23EF">
        <w:rPr>
          <w:b/>
          <w:sz w:val="21"/>
          <w:szCs w:val="21"/>
        </w:rPr>
        <w:t>d,</w:t>
      </w:r>
      <w:r w:rsidRPr="002A23EF">
        <w:rPr>
          <w:sz w:val="21"/>
          <w:szCs w:val="21"/>
        </w:rPr>
        <w:t xml:space="preserve"> HepG2 cells infected with Ad-VP35 or Ad-GFP for 48 h were treated with or without the H89 (10 </w:t>
      </w:r>
      <w:proofErr w:type="spellStart"/>
      <w:r w:rsidRPr="002A23EF">
        <w:rPr>
          <w:sz w:val="21"/>
          <w:szCs w:val="21"/>
        </w:rPr>
        <w:t>μM</w:t>
      </w:r>
      <w:proofErr w:type="spellEnd"/>
      <w:r w:rsidRPr="002A23EF">
        <w:rPr>
          <w:sz w:val="21"/>
          <w:szCs w:val="21"/>
        </w:rPr>
        <w:t xml:space="preserve">) for another 4 h. </w:t>
      </w:r>
      <w:r w:rsidRPr="002A23EF">
        <w:rPr>
          <w:i/>
          <w:sz w:val="21"/>
          <w:szCs w:val="21"/>
        </w:rPr>
        <w:t>THBD</w:t>
      </w:r>
      <w:r w:rsidRPr="002A23EF">
        <w:rPr>
          <w:sz w:val="21"/>
          <w:szCs w:val="21"/>
        </w:rPr>
        <w:t xml:space="preserve"> and </w:t>
      </w:r>
      <w:r w:rsidRPr="002A23EF">
        <w:rPr>
          <w:i/>
          <w:sz w:val="21"/>
          <w:szCs w:val="21"/>
        </w:rPr>
        <w:t>SERPINB2</w:t>
      </w:r>
      <w:r w:rsidRPr="002A23EF">
        <w:rPr>
          <w:sz w:val="21"/>
          <w:szCs w:val="21"/>
        </w:rPr>
        <w:t xml:space="preserve"> mRNA levels were determined by </w:t>
      </w:r>
      <w:proofErr w:type="spellStart"/>
      <w:r w:rsidRPr="002A23EF">
        <w:rPr>
          <w:sz w:val="21"/>
          <w:szCs w:val="21"/>
        </w:rPr>
        <w:t>qRT</w:t>
      </w:r>
      <w:proofErr w:type="spellEnd"/>
      <w:r w:rsidRPr="002A23EF">
        <w:rPr>
          <w:sz w:val="21"/>
          <w:szCs w:val="21"/>
        </w:rPr>
        <w:t xml:space="preserve">-PCR and normalized fold induction was demonstrated. </w:t>
      </w:r>
      <w:r w:rsidRPr="002A23EF">
        <w:rPr>
          <w:b/>
          <w:sz w:val="21"/>
          <w:szCs w:val="21"/>
        </w:rPr>
        <w:t>e, f,</w:t>
      </w:r>
      <w:r w:rsidRPr="002A23EF">
        <w:rPr>
          <w:sz w:val="21"/>
          <w:szCs w:val="21"/>
        </w:rPr>
        <w:t xml:space="preserve"> HepG2 cells (the left of e, f) or HUVEC cells (e, right) infected with Ad-VP35 or Ad-GFP were treated with FSK (25 </w:t>
      </w:r>
      <w:proofErr w:type="spellStart"/>
      <w:r w:rsidRPr="002A23EF">
        <w:rPr>
          <w:sz w:val="21"/>
          <w:szCs w:val="21"/>
        </w:rPr>
        <w:t>μM</w:t>
      </w:r>
      <w:proofErr w:type="spellEnd"/>
      <w:r w:rsidRPr="002A23EF">
        <w:rPr>
          <w:sz w:val="21"/>
          <w:szCs w:val="21"/>
        </w:rPr>
        <w:t xml:space="preserve">), H89 (10 </w:t>
      </w:r>
      <w:proofErr w:type="spellStart"/>
      <w:r w:rsidRPr="002A23EF">
        <w:rPr>
          <w:sz w:val="21"/>
          <w:szCs w:val="21"/>
        </w:rPr>
        <w:t>μM</w:t>
      </w:r>
      <w:proofErr w:type="spellEnd"/>
      <w:r w:rsidRPr="002A23EF">
        <w:rPr>
          <w:sz w:val="21"/>
          <w:szCs w:val="21"/>
        </w:rPr>
        <w:t xml:space="preserve">) or vehicle for 4 h. Cell lysates were analyzed by immunoblotting. </w:t>
      </w:r>
      <w:r w:rsidRPr="002A23EF">
        <w:rPr>
          <w:b/>
          <w:sz w:val="21"/>
          <w:szCs w:val="21"/>
        </w:rPr>
        <w:t>g,</w:t>
      </w:r>
      <w:r w:rsidRPr="002A23EF">
        <w:rPr>
          <w:sz w:val="21"/>
          <w:szCs w:val="21"/>
        </w:rPr>
        <w:t xml:space="preserve"> Schematic experimental design of Ad-VP35 or Ad-null infection, as well as 666-15 and LPS administration. </w:t>
      </w:r>
      <w:r w:rsidRPr="002A23EF">
        <w:rPr>
          <w:b/>
          <w:sz w:val="21"/>
          <w:szCs w:val="21"/>
        </w:rPr>
        <w:t>h,</w:t>
      </w:r>
      <w:r w:rsidRPr="002A23EF">
        <w:rPr>
          <w:sz w:val="21"/>
          <w:szCs w:val="21"/>
        </w:rPr>
        <w:t xml:space="preserve"> WT and</w:t>
      </w:r>
      <w:r w:rsidRPr="002A23EF">
        <w:rPr>
          <w:i/>
          <w:sz w:val="21"/>
          <w:szCs w:val="21"/>
        </w:rPr>
        <w:t xml:space="preserve"> Akip1</w:t>
      </w:r>
      <w:r w:rsidRPr="002A23EF">
        <w:rPr>
          <w:sz w:val="21"/>
          <w:szCs w:val="21"/>
          <w:vertAlign w:val="superscript"/>
        </w:rPr>
        <w:t>-/-</w:t>
      </w:r>
      <w:r w:rsidRPr="002A23EF">
        <w:rPr>
          <w:sz w:val="21"/>
          <w:szCs w:val="21"/>
        </w:rPr>
        <w:t xml:space="preserve"> C57BL/6N mice (10 weeks) were intravenously injected with Ad-VP35 or Ad-null (2×10</w:t>
      </w:r>
      <w:r w:rsidRPr="002A23EF">
        <w:rPr>
          <w:sz w:val="21"/>
          <w:szCs w:val="21"/>
          <w:vertAlign w:val="superscript"/>
        </w:rPr>
        <w:t>9</w:t>
      </w:r>
      <w:r w:rsidRPr="002A23EF">
        <w:rPr>
          <w:sz w:val="21"/>
          <w:szCs w:val="21"/>
        </w:rPr>
        <w:t xml:space="preserve"> PFU) via tail vein injection twice at an interval of 24 h. Six days post infection, the mice were injected with LPS (5 mg/kg) via the tail vein. 4 h later, the blood clotting times (PT</w:t>
      </w:r>
      <w:proofErr w:type="gramStart"/>
      <w:r w:rsidRPr="002A23EF">
        <w:rPr>
          <w:sz w:val="21"/>
          <w:szCs w:val="21"/>
        </w:rPr>
        <w:t>)</w:t>
      </w:r>
      <w:proofErr w:type="gramEnd"/>
      <w:r w:rsidRPr="002A23EF">
        <w:rPr>
          <w:sz w:val="21"/>
          <w:szCs w:val="21"/>
        </w:rPr>
        <w:t xml:space="preserve"> and serum fibrinogen (FIB) concentrations were determined (n=2-8). All data of 3 independent experiments were presented as the mean ±SEM (*P&lt;0.05; **P&lt;0.01; ***P&lt;0.001)</w:t>
      </w:r>
    </w:p>
    <w:p w14:paraId="70FE67A2" w14:textId="77777777" w:rsidR="00EB6423" w:rsidRPr="002A23EF" w:rsidRDefault="00EB6423" w:rsidP="00EB6423">
      <w:pPr>
        <w:spacing w:after="0" w:line="480" w:lineRule="auto"/>
        <w:ind w:firstLineChars="0" w:firstLine="0"/>
        <w:rPr>
          <w:b/>
          <w:sz w:val="21"/>
          <w:szCs w:val="21"/>
        </w:rPr>
      </w:pPr>
      <w:r w:rsidRPr="002A23EF">
        <w:rPr>
          <w:b/>
          <w:noProof/>
          <w:sz w:val="21"/>
          <w:szCs w:val="21"/>
        </w:rPr>
        <w:lastRenderedPageBreak/>
        <w:drawing>
          <wp:inline distT="0" distB="0" distL="0" distR="0" wp14:anchorId="51F6EE1D" wp14:editId="0919AE99">
            <wp:extent cx="5607685" cy="2278380"/>
            <wp:effectExtent l="0" t="0" r="0"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1" cstate="print">
                      <a:extLst>
                        <a:ext uri="{28A0092B-C50C-407E-A947-70E740481C1C}">
                          <a14:useLocalDpi xmlns:a14="http://schemas.microsoft.com/office/drawing/2010/main" val="0"/>
                        </a:ext>
                      </a:extLst>
                    </a:blip>
                    <a:srcRect t="2113" b="69164"/>
                    <a:stretch>
                      <a:fillRect/>
                    </a:stretch>
                  </pic:blipFill>
                  <pic:spPr>
                    <a:xfrm>
                      <a:off x="0" y="0"/>
                      <a:ext cx="5608320" cy="2278562"/>
                    </a:xfrm>
                    <a:prstGeom prst="rect">
                      <a:avLst/>
                    </a:prstGeom>
                    <a:ln>
                      <a:noFill/>
                    </a:ln>
                  </pic:spPr>
                </pic:pic>
              </a:graphicData>
            </a:graphic>
          </wp:inline>
        </w:drawing>
      </w:r>
    </w:p>
    <w:p w14:paraId="6ADAB340" w14:textId="77777777" w:rsidR="00EB6423" w:rsidRPr="002A23EF" w:rsidRDefault="00EB6423" w:rsidP="00EB6423">
      <w:pPr>
        <w:spacing w:after="0" w:line="480" w:lineRule="auto"/>
        <w:ind w:firstLineChars="0" w:firstLine="0"/>
        <w:rPr>
          <w:sz w:val="21"/>
          <w:szCs w:val="21"/>
        </w:rPr>
        <w:sectPr w:rsidR="00EB6423" w:rsidRPr="002A23EF">
          <w:pgSz w:w="11906" w:h="16838"/>
          <w:pgMar w:top="1440" w:right="1274" w:bottom="1440" w:left="1800" w:header="851" w:footer="992" w:gutter="0"/>
          <w:lnNumType w:countBy="1" w:restart="continuous"/>
          <w:cols w:space="425"/>
          <w:docGrid w:type="lines" w:linePitch="326"/>
        </w:sectPr>
      </w:pPr>
      <w:r w:rsidRPr="002A23EF">
        <w:rPr>
          <w:b/>
          <w:sz w:val="21"/>
          <w:szCs w:val="21"/>
        </w:rPr>
        <w:t xml:space="preserve">Extended Data Fig. 8 EBOV </w:t>
      </w:r>
      <w:proofErr w:type="spellStart"/>
      <w:r w:rsidRPr="002A23EF">
        <w:rPr>
          <w:rFonts w:eastAsiaTheme="minorEastAsia"/>
          <w:b/>
          <w:sz w:val="21"/>
          <w:szCs w:val="21"/>
        </w:rPr>
        <w:t>trVLPs</w:t>
      </w:r>
      <w:proofErr w:type="spellEnd"/>
      <w:r w:rsidRPr="002A23EF">
        <w:rPr>
          <w:rFonts w:eastAsiaTheme="minorEastAsia"/>
          <w:b/>
          <w:sz w:val="21"/>
          <w:szCs w:val="21"/>
        </w:rPr>
        <w:t xml:space="preserve"> promotes </w:t>
      </w:r>
      <w:r w:rsidRPr="002A23EF">
        <w:rPr>
          <w:rFonts w:eastAsia="Times New Roman"/>
          <w:b/>
          <w:sz w:val="21"/>
          <w:szCs w:val="21"/>
        </w:rPr>
        <w:t>VASP phosphorylation</w:t>
      </w:r>
      <w:r w:rsidRPr="002A23EF">
        <w:rPr>
          <w:rFonts w:eastAsiaTheme="minorEastAsia"/>
          <w:b/>
          <w:sz w:val="21"/>
          <w:szCs w:val="21"/>
        </w:rPr>
        <w:t>.</w:t>
      </w:r>
      <w:r w:rsidRPr="002A23EF">
        <w:rPr>
          <w:sz w:val="21"/>
          <w:szCs w:val="21"/>
        </w:rPr>
        <w:t xml:space="preserve"> HepG2 cells</w:t>
      </w:r>
      <w:bookmarkStart w:id="1" w:name="OLE_LINK1"/>
      <w:r w:rsidRPr="002A23EF">
        <w:rPr>
          <w:sz w:val="21"/>
          <w:szCs w:val="21"/>
        </w:rPr>
        <w:t xml:space="preserve"> transfected with or without EBOV minigenome (p0)</w:t>
      </w:r>
      <w:bookmarkEnd w:id="1"/>
      <w:r w:rsidRPr="002A23EF">
        <w:rPr>
          <w:sz w:val="21"/>
          <w:szCs w:val="21"/>
        </w:rPr>
        <w:t xml:space="preserve"> were lysed and analyzed by immunoblotting.</w:t>
      </w:r>
    </w:p>
    <w:p w14:paraId="631B92C3" w14:textId="77777777" w:rsidR="00EB6423" w:rsidRPr="002A23EF" w:rsidRDefault="00EB6423" w:rsidP="00EB6423">
      <w:pPr>
        <w:spacing w:after="0" w:line="480" w:lineRule="auto"/>
        <w:ind w:firstLineChars="0" w:firstLine="0"/>
        <w:rPr>
          <w:sz w:val="21"/>
          <w:szCs w:val="21"/>
        </w:rPr>
      </w:pPr>
      <w:r w:rsidRPr="002A23EF">
        <w:rPr>
          <w:noProof/>
          <w:sz w:val="21"/>
          <w:szCs w:val="21"/>
        </w:rPr>
        <w:lastRenderedPageBreak/>
        <w:drawing>
          <wp:inline distT="0" distB="0" distL="0" distR="0" wp14:anchorId="394BD1D0" wp14:editId="2CBCF52D">
            <wp:extent cx="5607685" cy="368046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2" cstate="print">
                      <a:extLst>
                        <a:ext uri="{28A0092B-C50C-407E-A947-70E740481C1C}">
                          <a14:useLocalDpi xmlns:a14="http://schemas.microsoft.com/office/drawing/2010/main" val="0"/>
                        </a:ext>
                      </a:extLst>
                    </a:blip>
                    <a:srcRect t="768" b="52834"/>
                    <a:stretch>
                      <a:fillRect/>
                    </a:stretch>
                  </pic:blipFill>
                  <pic:spPr>
                    <a:xfrm>
                      <a:off x="0" y="0"/>
                      <a:ext cx="5608320" cy="3680755"/>
                    </a:xfrm>
                    <a:prstGeom prst="rect">
                      <a:avLst/>
                    </a:prstGeom>
                    <a:ln>
                      <a:noFill/>
                    </a:ln>
                  </pic:spPr>
                </pic:pic>
              </a:graphicData>
            </a:graphic>
          </wp:inline>
        </w:drawing>
      </w:r>
    </w:p>
    <w:p w14:paraId="33DA2E10" w14:textId="77777777" w:rsidR="00EB6423" w:rsidRPr="002A23EF" w:rsidRDefault="00EB6423" w:rsidP="00EB6423">
      <w:pPr>
        <w:spacing w:after="0" w:line="480" w:lineRule="auto"/>
        <w:ind w:firstLineChars="0" w:firstLine="0"/>
        <w:rPr>
          <w:sz w:val="21"/>
          <w:szCs w:val="21"/>
        </w:rPr>
        <w:sectPr w:rsidR="00EB6423" w:rsidRPr="002A23EF">
          <w:pgSz w:w="11906" w:h="16838"/>
          <w:pgMar w:top="1440" w:right="1274" w:bottom="1440" w:left="1800" w:header="851" w:footer="992" w:gutter="0"/>
          <w:lnNumType w:countBy="1" w:restart="continuous"/>
          <w:cols w:space="425"/>
          <w:docGrid w:type="lines" w:linePitch="326"/>
        </w:sectPr>
      </w:pPr>
      <w:r w:rsidRPr="002A23EF">
        <w:rPr>
          <w:b/>
          <w:sz w:val="21"/>
          <w:szCs w:val="21"/>
        </w:rPr>
        <w:t>Extended Data Fig. 9 Graphical view</w:t>
      </w:r>
      <w:r w:rsidRPr="002A23EF">
        <w:rPr>
          <w:b/>
          <w:bCs/>
        </w:rPr>
        <w:t xml:space="preserve"> </w:t>
      </w:r>
      <w:r w:rsidRPr="002A23EF">
        <w:rPr>
          <w:b/>
          <w:sz w:val="21"/>
          <w:szCs w:val="21"/>
        </w:rPr>
        <w:t xml:space="preserve">of AKIP1-PKA-CREB1 axis-regulated viral replication and coagulation disorders through VP35:AKIP1 interaction. </w:t>
      </w:r>
    </w:p>
    <w:p w14:paraId="5425F2E1" w14:textId="77777777" w:rsidR="00EB6423" w:rsidRPr="002A23EF" w:rsidRDefault="00EB6423" w:rsidP="00EB6423">
      <w:pPr>
        <w:spacing w:after="0" w:line="480" w:lineRule="auto"/>
        <w:ind w:firstLineChars="0" w:firstLine="0"/>
        <w:rPr>
          <w:sz w:val="21"/>
          <w:szCs w:val="21"/>
        </w:rPr>
      </w:pPr>
      <w:r w:rsidRPr="002A23EF">
        <w:rPr>
          <w:b/>
          <w:bCs/>
          <w:sz w:val="21"/>
          <w:szCs w:val="21"/>
        </w:rPr>
        <w:lastRenderedPageBreak/>
        <w:t xml:space="preserve">Extended Data Table 1. </w:t>
      </w:r>
      <w:r w:rsidRPr="002A23EF">
        <w:rPr>
          <w:sz w:val="21"/>
          <w:szCs w:val="21"/>
        </w:rPr>
        <w:t xml:space="preserve">Primers used for </w:t>
      </w:r>
      <w:proofErr w:type="spellStart"/>
      <w:r w:rsidRPr="002A23EF">
        <w:rPr>
          <w:sz w:val="21"/>
          <w:szCs w:val="21"/>
        </w:rPr>
        <w:t>qRT</w:t>
      </w:r>
      <w:proofErr w:type="spellEnd"/>
      <w:r w:rsidRPr="002A23EF">
        <w:rPr>
          <w:sz w:val="21"/>
          <w:szCs w:val="21"/>
        </w:rPr>
        <w:t>-PCR.</w:t>
      </w:r>
    </w:p>
    <w:tbl>
      <w:tblPr>
        <w:tblStyle w:val="TableGrid"/>
        <w:tblW w:w="475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6"/>
        <w:gridCol w:w="3167"/>
        <w:gridCol w:w="3267"/>
      </w:tblGrid>
      <w:tr w:rsidR="00EB6423" w:rsidRPr="002A23EF" w14:paraId="5448EC62" w14:textId="77777777" w:rsidTr="007438C0">
        <w:trPr>
          <w:trHeight w:hRule="exact" w:val="567"/>
          <w:jc w:val="center"/>
        </w:trPr>
        <w:tc>
          <w:tcPr>
            <w:tcW w:w="1330" w:type="pct"/>
            <w:tcBorders>
              <w:top w:val="single" w:sz="12" w:space="0" w:color="auto"/>
              <w:bottom w:val="single" w:sz="4" w:space="0" w:color="auto"/>
            </w:tcBorders>
            <w:vAlign w:val="center"/>
          </w:tcPr>
          <w:p w14:paraId="4EE37E20"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Gene Product</w:t>
            </w:r>
          </w:p>
        </w:tc>
        <w:tc>
          <w:tcPr>
            <w:tcW w:w="1802" w:type="pct"/>
            <w:tcBorders>
              <w:top w:val="single" w:sz="12" w:space="0" w:color="auto"/>
              <w:bottom w:val="single" w:sz="4" w:space="0" w:color="auto"/>
            </w:tcBorders>
            <w:vAlign w:val="center"/>
          </w:tcPr>
          <w:p w14:paraId="086A6A0B"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Forward primer (5’ to 3’)</w:t>
            </w:r>
          </w:p>
        </w:tc>
        <w:tc>
          <w:tcPr>
            <w:tcW w:w="1868" w:type="pct"/>
            <w:tcBorders>
              <w:top w:val="single" w:sz="12" w:space="0" w:color="auto"/>
              <w:bottom w:val="single" w:sz="4" w:space="0" w:color="auto"/>
            </w:tcBorders>
            <w:vAlign w:val="center"/>
          </w:tcPr>
          <w:p w14:paraId="7572E85B"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Reverse primer (5’ to 3’)</w:t>
            </w:r>
          </w:p>
        </w:tc>
      </w:tr>
      <w:tr w:rsidR="00EB6423" w:rsidRPr="002A23EF" w14:paraId="02699457" w14:textId="77777777" w:rsidTr="007438C0">
        <w:trPr>
          <w:trHeight w:hRule="exact" w:val="567"/>
          <w:jc w:val="center"/>
        </w:trPr>
        <w:tc>
          <w:tcPr>
            <w:tcW w:w="1330" w:type="pct"/>
            <w:tcBorders>
              <w:top w:val="single" w:sz="4" w:space="0" w:color="auto"/>
            </w:tcBorders>
            <w:vAlign w:val="center"/>
          </w:tcPr>
          <w:p w14:paraId="0CA1593A"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h-GAPDH</w:t>
            </w:r>
          </w:p>
        </w:tc>
        <w:tc>
          <w:tcPr>
            <w:tcW w:w="1802" w:type="pct"/>
            <w:tcBorders>
              <w:top w:val="single" w:sz="4" w:space="0" w:color="auto"/>
            </w:tcBorders>
            <w:vAlign w:val="center"/>
          </w:tcPr>
          <w:p w14:paraId="24E8AF95" w14:textId="77777777" w:rsidR="00EB6423" w:rsidRPr="002A23EF" w:rsidRDefault="00EB6423" w:rsidP="007438C0">
            <w:pPr>
              <w:spacing w:line="480" w:lineRule="auto"/>
              <w:ind w:firstLineChars="0" w:firstLine="0"/>
              <w:rPr>
                <w:kern w:val="0"/>
                <w:sz w:val="18"/>
                <w:szCs w:val="18"/>
                <w:lang w:eastAsia="en-US"/>
              </w:rPr>
            </w:pPr>
            <w:proofErr w:type="spellStart"/>
            <w:r w:rsidRPr="002A23EF">
              <w:rPr>
                <w:rFonts w:eastAsia="Times New Roman"/>
                <w:kern w:val="0"/>
                <w:sz w:val="18"/>
                <w:szCs w:val="18"/>
                <w:lang w:eastAsia="en-US"/>
              </w:rPr>
              <w:t>AAggTCATCCCTgAgCTgAAC</w:t>
            </w:r>
            <w:proofErr w:type="spellEnd"/>
          </w:p>
        </w:tc>
        <w:tc>
          <w:tcPr>
            <w:tcW w:w="1868" w:type="pct"/>
            <w:tcBorders>
              <w:top w:val="single" w:sz="4" w:space="0" w:color="auto"/>
            </w:tcBorders>
            <w:vAlign w:val="center"/>
          </w:tcPr>
          <w:p w14:paraId="0DA4B2BC" w14:textId="77777777" w:rsidR="00EB6423" w:rsidRPr="002A23EF" w:rsidRDefault="00EB6423" w:rsidP="007438C0">
            <w:pPr>
              <w:spacing w:line="480" w:lineRule="auto"/>
              <w:ind w:firstLineChars="0" w:firstLine="0"/>
              <w:rPr>
                <w:kern w:val="0"/>
                <w:sz w:val="18"/>
                <w:szCs w:val="18"/>
                <w:lang w:eastAsia="en-US"/>
              </w:rPr>
            </w:pPr>
            <w:proofErr w:type="spellStart"/>
            <w:r w:rsidRPr="002A23EF">
              <w:rPr>
                <w:rFonts w:eastAsia="Times New Roman"/>
                <w:kern w:val="0"/>
                <w:sz w:val="18"/>
                <w:szCs w:val="18"/>
                <w:lang w:eastAsia="en-US"/>
              </w:rPr>
              <w:t>ACgCCTgCTTCACCACCTTCT</w:t>
            </w:r>
            <w:proofErr w:type="spellEnd"/>
          </w:p>
        </w:tc>
      </w:tr>
      <w:tr w:rsidR="00EB6423" w:rsidRPr="002A23EF" w14:paraId="64B58AAB" w14:textId="77777777" w:rsidTr="007438C0">
        <w:trPr>
          <w:trHeight w:hRule="exact" w:val="567"/>
          <w:jc w:val="center"/>
        </w:trPr>
        <w:tc>
          <w:tcPr>
            <w:tcW w:w="1330" w:type="pct"/>
            <w:vAlign w:val="center"/>
          </w:tcPr>
          <w:p w14:paraId="276C905E"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h-AKIP1</w:t>
            </w:r>
          </w:p>
        </w:tc>
        <w:tc>
          <w:tcPr>
            <w:tcW w:w="1802" w:type="pct"/>
            <w:vAlign w:val="center"/>
          </w:tcPr>
          <w:p w14:paraId="0AEB39ED" w14:textId="77777777" w:rsidR="00EB6423" w:rsidRPr="002A23EF" w:rsidRDefault="00EB6423" w:rsidP="007438C0">
            <w:pPr>
              <w:spacing w:line="480" w:lineRule="auto"/>
              <w:ind w:firstLineChars="0" w:firstLine="0"/>
              <w:rPr>
                <w:kern w:val="0"/>
                <w:sz w:val="18"/>
                <w:szCs w:val="18"/>
                <w:lang w:eastAsia="en-US"/>
              </w:rPr>
            </w:pPr>
            <w:proofErr w:type="spellStart"/>
            <w:r w:rsidRPr="002A23EF">
              <w:rPr>
                <w:rFonts w:eastAsia="Times New Roman"/>
                <w:kern w:val="0"/>
                <w:sz w:val="18"/>
                <w:szCs w:val="18"/>
                <w:lang w:eastAsia="en-US"/>
              </w:rPr>
              <w:t>AAggCTggCTCTAgAAgTgC</w:t>
            </w:r>
            <w:proofErr w:type="spellEnd"/>
          </w:p>
        </w:tc>
        <w:tc>
          <w:tcPr>
            <w:tcW w:w="1868" w:type="pct"/>
            <w:vAlign w:val="center"/>
          </w:tcPr>
          <w:p w14:paraId="7D19E00F" w14:textId="77777777" w:rsidR="00EB6423" w:rsidRPr="002A23EF" w:rsidRDefault="00EB6423" w:rsidP="007438C0">
            <w:pPr>
              <w:spacing w:line="480" w:lineRule="auto"/>
              <w:ind w:firstLineChars="0" w:firstLine="0"/>
              <w:rPr>
                <w:kern w:val="0"/>
                <w:sz w:val="18"/>
                <w:szCs w:val="18"/>
                <w:lang w:eastAsia="en-US"/>
              </w:rPr>
            </w:pPr>
            <w:proofErr w:type="spellStart"/>
            <w:r w:rsidRPr="002A23EF">
              <w:rPr>
                <w:rFonts w:eastAsia="Times New Roman"/>
                <w:color w:val="000000"/>
                <w:kern w:val="0"/>
                <w:sz w:val="18"/>
                <w:szCs w:val="18"/>
                <w:shd w:val="clear" w:color="auto" w:fill="FFFFFF"/>
                <w:lang w:eastAsia="en-US"/>
              </w:rPr>
              <w:t>CTgTTTCTCTAggTggggCg</w:t>
            </w:r>
            <w:proofErr w:type="spellEnd"/>
          </w:p>
        </w:tc>
      </w:tr>
      <w:tr w:rsidR="00EB6423" w:rsidRPr="002A23EF" w14:paraId="1F9897ED" w14:textId="77777777" w:rsidTr="007438C0">
        <w:trPr>
          <w:trHeight w:hRule="exact" w:val="567"/>
          <w:jc w:val="center"/>
        </w:trPr>
        <w:tc>
          <w:tcPr>
            <w:tcW w:w="1330" w:type="pct"/>
            <w:vAlign w:val="center"/>
          </w:tcPr>
          <w:p w14:paraId="2395BFA1"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h-THBD</w:t>
            </w:r>
          </w:p>
        </w:tc>
        <w:tc>
          <w:tcPr>
            <w:tcW w:w="1802" w:type="pct"/>
            <w:vAlign w:val="center"/>
          </w:tcPr>
          <w:p w14:paraId="42E5407B" w14:textId="77777777" w:rsidR="00EB6423" w:rsidRPr="002A23EF" w:rsidRDefault="00EB6423" w:rsidP="007438C0">
            <w:pPr>
              <w:spacing w:line="480" w:lineRule="auto"/>
              <w:ind w:firstLineChars="0" w:firstLine="0"/>
              <w:rPr>
                <w:kern w:val="0"/>
                <w:sz w:val="18"/>
                <w:szCs w:val="18"/>
                <w:lang w:eastAsia="en-US"/>
              </w:rPr>
            </w:pPr>
            <w:proofErr w:type="spellStart"/>
            <w:r w:rsidRPr="002A23EF">
              <w:rPr>
                <w:rFonts w:eastAsia="Times New Roman"/>
                <w:kern w:val="0"/>
                <w:sz w:val="18"/>
                <w:szCs w:val="18"/>
                <w:lang w:eastAsia="en-US"/>
              </w:rPr>
              <w:t>CCCAACACCCAggCTAgCT</w:t>
            </w:r>
            <w:proofErr w:type="spellEnd"/>
          </w:p>
        </w:tc>
        <w:tc>
          <w:tcPr>
            <w:tcW w:w="1868" w:type="pct"/>
            <w:vAlign w:val="center"/>
          </w:tcPr>
          <w:p w14:paraId="6FE782FA" w14:textId="77777777" w:rsidR="00EB6423" w:rsidRPr="002A23EF" w:rsidRDefault="00EB6423" w:rsidP="007438C0">
            <w:pPr>
              <w:spacing w:line="480" w:lineRule="auto"/>
              <w:ind w:firstLineChars="0" w:firstLine="0"/>
              <w:rPr>
                <w:color w:val="000000"/>
                <w:kern w:val="0"/>
                <w:sz w:val="18"/>
                <w:szCs w:val="18"/>
                <w:shd w:val="clear" w:color="auto" w:fill="FFFFFF"/>
                <w:lang w:eastAsia="en-US"/>
              </w:rPr>
            </w:pPr>
            <w:proofErr w:type="spellStart"/>
            <w:r w:rsidRPr="002A23EF">
              <w:rPr>
                <w:rFonts w:eastAsia="Times New Roman"/>
                <w:kern w:val="0"/>
                <w:sz w:val="18"/>
                <w:szCs w:val="18"/>
                <w:lang w:eastAsia="en-US"/>
              </w:rPr>
              <w:t>gATgTCCgTgCAgATgAAACC</w:t>
            </w:r>
            <w:proofErr w:type="spellEnd"/>
          </w:p>
        </w:tc>
      </w:tr>
      <w:tr w:rsidR="00EB6423" w:rsidRPr="002A23EF" w14:paraId="627C69FB" w14:textId="77777777" w:rsidTr="007438C0">
        <w:trPr>
          <w:trHeight w:hRule="exact" w:val="567"/>
          <w:jc w:val="center"/>
        </w:trPr>
        <w:tc>
          <w:tcPr>
            <w:tcW w:w="1330" w:type="pct"/>
            <w:vAlign w:val="center"/>
          </w:tcPr>
          <w:p w14:paraId="3C09102D" w14:textId="77777777" w:rsidR="00EB6423" w:rsidRPr="002A23EF" w:rsidRDefault="00EB6423" w:rsidP="007438C0">
            <w:pPr>
              <w:spacing w:line="480" w:lineRule="auto"/>
              <w:ind w:firstLineChars="0" w:firstLine="0"/>
              <w:rPr>
                <w:kern w:val="0"/>
                <w:sz w:val="18"/>
                <w:szCs w:val="18"/>
                <w:lang w:eastAsia="en-US"/>
              </w:rPr>
            </w:pPr>
            <w:r w:rsidRPr="002A23EF">
              <w:rPr>
                <w:rFonts w:eastAsia="Times New Roman"/>
                <w:kern w:val="0"/>
                <w:sz w:val="18"/>
                <w:szCs w:val="18"/>
                <w:lang w:eastAsia="en-US"/>
              </w:rPr>
              <w:t>h-SerpinB2</w:t>
            </w:r>
          </w:p>
        </w:tc>
        <w:tc>
          <w:tcPr>
            <w:tcW w:w="1802" w:type="pct"/>
            <w:vAlign w:val="center"/>
          </w:tcPr>
          <w:p w14:paraId="42BE6736" w14:textId="77777777" w:rsidR="00EB6423" w:rsidRPr="002A23EF" w:rsidRDefault="00EB6423" w:rsidP="007438C0">
            <w:pPr>
              <w:spacing w:line="480" w:lineRule="auto"/>
              <w:ind w:firstLineChars="0" w:firstLine="0"/>
              <w:rPr>
                <w:kern w:val="0"/>
                <w:sz w:val="18"/>
                <w:szCs w:val="18"/>
                <w:lang w:eastAsia="en-US"/>
              </w:rPr>
            </w:pPr>
            <w:proofErr w:type="spellStart"/>
            <w:r w:rsidRPr="002A23EF">
              <w:rPr>
                <w:rFonts w:eastAsia="Times New Roman"/>
                <w:color w:val="000000"/>
                <w:kern w:val="0"/>
                <w:sz w:val="18"/>
                <w:szCs w:val="18"/>
                <w:shd w:val="clear" w:color="auto" w:fill="FFFFFF"/>
                <w:lang w:eastAsia="en-US"/>
              </w:rPr>
              <w:t>gTTACCCCCATgACTCCAgA</w:t>
            </w:r>
            <w:proofErr w:type="spellEnd"/>
          </w:p>
        </w:tc>
        <w:tc>
          <w:tcPr>
            <w:tcW w:w="1868" w:type="pct"/>
            <w:vAlign w:val="center"/>
          </w:tcPr>
          <w:p w14:paraId="1D8A6CCB" w14:textId="77777777" w:rsidR="00EB6423" w:rsidRPr="002A23EF" w:rsidRDefault="00EB6423" w:rsidP="007438C0">
            <w:pPr>
              <w:spacing w:line="480" w:lineRule="auto"/>
              <w:ind w:firstLineChars="0" w:firstLine="0"/>
              <w:rPr>
                <w:color w:val="000000"/>
                <w:kern w:val="0"/>
                <w:sz w:val="18"/>
                <w:szCs w:val="18"/>
                <w:shd w:val="clear" w:color="auto" w:fill="FFFFFF"/>
                <w:lang w:eastAsia="en-US"/>
              </w:rPr>
            </w:pPr>
            <w:proofErr w:type="spellStart"/>
            <w:r w:rsidRPr="002A23EF">
              <w:rPr>
                <w:rFonts w:eastAsia="Times New Roman"/>
                <w:color w:val="000000"/>
                <w:kern w:val="0"/>
                <w:sz w:val="18"/>
                <w:szCs w:val="18"/>
                <w:shd w:val="clear" w:color="auto" w:fill="FFFFFF"/>
                <w:lang w:eastAsia="en-US"/>
              </w:rPr>
              <w:t>CgCAgACTTCTCACCAAACA</w:t>
            </w:r>
            <w:proofErr w:type="spellEnd"/>
          </w:p>
        </w:tc>
      </w:tr>
      <w:tr w:rsidR="00EB6423" w:rsidRPr="002A23EF" w14:paraId="05F472EE" w14:textId="77777777" w:rsidTr="007438C0">
        <w:trPr>
          <w:trHeight w:hRule="exact" w:val="567"/>
          <w:jc w:val="center"/>
        </w:trPr>
        <w:tc>
          <w:tcPr>
            <w:tcW w:w="1330" w:type="pct"/>
            <w:vAlign w:val="center"/>
          </w:tcPr>
          <w:p w14:paraId="59FAB1E7" w14:textId="77777777" w:rsidR="00EB6423" w:rsidRPr="002A23EF" w:rsidRDefault="00EB6423" w:rsidP="007438C0">
            <w:pPr>
              <w:spacing w:line="480" w:lineRule="auto"/>
              <w:ind w:firstLineChars="0" w:firstLine="0"/>
              <w:rPr>
                <w:strike/>
                <w:kern w:val="0"/>
                <w:sz w:val="18"/>
                <w:szCs w:val="18"/>
                <w:vertAlign w:val="subscript"/>
                <w:lang w:eastAsia="en-US"/>
              </w:rPr>
            </w:pPr>
            <w:r w:rsidRPr="002A23EF">
              <w:rPr>
                <w:rFonts w:eastAsia="Times New Roman"/>
                <w:kern w:val="0"/>
                <w:sz w:val="18"/>
                <w:szCs w:val="18"/>
                <w:lang w:eastAsia="en-US"/>
              </w:rPr>
              <w:t>VP40</w:t>
            </w:r>
          </w:p>
        </w:tc>
        <w:tc>
          <w:tcPr>
            <w:tcW w:w="1802" w:type="pct"/>
            <w:vAlign w:val="center"/>
          </w:tcPr>
          <w:p w14:paraId="0187BE18" w14:textId="77777777" w:rsidR="00EB6423" w:rsidRPr="002A23EF" w:rsidRDefault="00EB6423" w:rsidP="007438C0">
            <w:pPr>
              <w:spacing w:line="480" w:lineRule="auto"/>
              <w:ind w:firstLineChars="0" w:firstLine="0"/>
              <w:rPr>
                <w:strike/>
                <w:kern w:val="0"/>
                <w:sz w:val="18"/>
                <w:szCs w:val="18"/>
                <w:vertAlign w:val="subscript"/>
                <w:lang w:eastAsia="en-US"/>
              </w:rPr>
            </w:pPr>
            <w:r w:rsidRPr="002A23EF">
              <w:rPr>
                <w:rFonts w:eastAsia="Times New Roman"/>
                <w:color w:val="000000"/>
                <w:kern w:val="0"/>
                <w:sz w:val="18"/>
                <w:szCs w:val="18"/>
                <w:shd w:val="clear" w:color="auto" w:fill="FFFFFF"/>
                <w:lang w:eastAsia="en-US"/>
              </w:rPr>
              <w:t>GGAGGCCATATACCCTGTCAGGTC</w:t>
            </w:r>
          </w:p>
        </w:tc>
        <w:tc>
          <w:tcPr>
            <w:tcW w:w="1868" w:type="pct"/>
            <w:vAlign w:val="center"/>
          </w:tcPr>
          <w:p w14:paraId="4F9443A8" w14:textId="77777777" w:rsidR="00EB6423" w:rsidRPr="002A23EF" w:rsidRDefault="00EB6423" w:rsidP="007438C0">
            <w:pPr>
              <w:spacing w:line="480" w:lineRule="auto"/>
              <w:ind w:firstLineChars="0" w:firstLine="0"/>
              <w:rPr>
                <w:strike/>
                <w:kern w:val="0"/>
                <w:sz w:val="18"/>
                <w:szCs w:val="18"/>
                <w:vertAlign w:val="subscript"/>
                <w:lang w:eastAsia="en-US"/>
              </w:rPr>
            </w:pPr>
            <w:r w:rsidRPr="002A23EF">
              <w:rPr>
                <w:rFonts w:eastAsia="Times New Roman"/>
                <w:color w:val="000000"/>
                <w:kern w:val="0"/>
                <w:sz w:val="18"/>
                <w:szCs w:val="18"/>
                <w:shd w:val="clear" w:color="auto" w:fill="FFFFFF"/>
                <w:lang w:eastAsia="en-US"/>
              </w:rPr>
              <w:t>GCCTGGTGTGTGGCTGGCAT</w:t>
            </w:r>
          </w:p>
        </w:tc>
      </w:tr>
      <w:tr w:rsidR="00EB6423" w:rsidRPr="002A23EF" w14:paraId="21220078" w14:textId="77777777" w:rsidTr="007438C0">
        <w:trPr>
          <w:trHeight w:hRule="exact" w:val="567"/>
          <w:jc w:val="center"/>
        </w:trPr>
        <w:tc>
          <w:tcPr>
            <w:tcW w:w="1330" w:type="pct"/>
            <w:vAlign w:val="center"/>
          </w:tcPr>
          <w:p w14:paraId="0DE9CCCF" w14:textId="77777777" w:rsidR="00EB6423" w:rsidRPr="002A23EF" w:rsidRDefault="00EB6423" w:rsidP="007438C0">
            <w:pPr>
              <w:spacing w:line="480" w:lineRule="auto"/>
              <w:ind w:firstLineChars="0" w:firstLine="0"/>
              <w:rPr>
                <w:strike/>
                <w:kern w:val="0"/>
                <w:sz w:val="18"/>
                <w:szCs w:val="18"/>
                <w:lang w:eastAsia="en-US"/>
              </w:rPr>
            </w:pPr>
            <w:r w:rsidRPr="002A23EF">
              <w:rPr>
                <w:rFonts w:eastAsia="Times New Roman"/>
                <w:kern w:val="0"/>
                <w:sz w:val="18"/>
                <w:szCs w:val="18"/>
                <w:lang w:eastAsia="en-US"/>
              </w:rPr>
              <w:t>3Le</w:t>
            </w:r>
          </w:p>
        </w:tc>
        <w:tc>
          <w:tcPr>
            <w:tcW w:w="1802" w:type="pct"/>
            <w:vAlign w:val="center"/>
          </w:tcPr>
          <w:p w14:paraId="5D62EB74" w14:textId="77777777" w:rsidR="00EB6423" w:rsidRPr="002A23EF" w:rsidRDefault="00EB6423" w:rsidP="007438C0">
            <w:pPr>
              <w:spacing w:line="480" w:lineRule="auto"/>
              <w:ind w:firstLineChars="0" w:firstLine="0"/>
              <w:rPr>
                <w:strike/>
                <w:kern w:val="0"/>
                <w:sz w:val="18"/>
                <w:szCs w:val="18"/>
                <w:lang w:eastAsia="en-US"/>
              </w:rPr>
            </w:pPr>
            <w:proofErr w:type="spellStart"/>
            <w:r w:rsidRPr="002A23EF">
              <w:rPr>
                <w:rFonts w:eastAsia="Times New Roman"/>
                <w:color w:val="000000"/>
                <w:kern w:val="0"/>
                <w:sz w:val="18"/>
                <w:szCs w:val="18"/>
                <w:shd w:val="clear" w:color="auto" w:fill="FFFFFF"/>
                <w:lang w:eastAsia="en-US"/>
              </w:rPr>
              <w:t>TCTCCgAAgggAgCAAgggCA</w:t>
            </w:r>
            <w:proofErr w:type="spellEnd"/>
          </w:p>
        </w:tc>
        <w:tc>
          <w:tcPr>
            <w:tcW w:w="1868" w:type="pct"/>
            <w:vAlign w:val="center"/>
          </w:tcPr>
          <w:p w14:paraId="36EF9B35" w14:textId="77777777" w:rsidR="00EB6423" w:rsidRPr="002A23EF" w:rsidRDefault="00EB6423" w:rsidP="007438C0">
            <w:pPr>
              <w:spacing w:line="480" w:lineRule="auto"/>
              <w:ind w:firstLineChars="0" w:firstLine="0"/>
              <w:rPr>
                <w:strike/>
                <w:kern w:val="0"/>
                <w:sz w:val="18"/>
                <w:szCs w:val="18"/>
                <w:lang w:eastAsia="en-US"/>
              </w:rPr>
            </w:pPr>
            <w:proofErr w:type="spellStart"/>
            <w:r w:rsidRPr="002A23EF">
              <w:rPr>
                <w:rFonts w:eastAsia="Times New Roman"/>
                <w:color w:val="000000"/>
                <w:kern w:val="0"/>
                <w:sz w:val="18"/>
                <w:szCs w:val="18"/>
                <w:shd w:val="clear" w:color="auto" w:fill="FFFFFF"/>
                <w:lang w:eastAsia="en-US"/>
              </w:rPr>
              <w:t>ACCCCAAgCTTTAgggTTgTTgAATC</w:t>
            </w:r>
            <w:proofErr w:type="spellEnd"/>
          </w:p>
        </w:tc>
      </w:tr>
      <w:tr w:rsidR="00EB6423" w:rsidRPr="002A23EF" w14:paraId="19CB8C19" w14:textId="77777777" w:rsidTr="007438C0">
        <w:trPr>
          <w:trHeight w:hRule="exact" w:val="567"/>
          <w:jc w:val="center"/>
        </w:trPr>
        <w:tc>
          <w:tcPr>
            <w:tcW w:w="1330" w:type="pct"/>
            <w:tcBorders>
              <w:bottom w:val="single" w:sz="12" w:space="0" w:color="auto"/>
            </w:tcBorders>
            <w:vAlign w:val="center"/>
          </w:tcPr>
          <w:p w14:paraId="3078C89F" w14:textId="77777777" w:rsidR="00EB6423" w:rsidRPr="002A23EF" w:rsidRDefault="00EB6423" w:rsidP="007438C0">
            <w:pPr>
              <w:spacing w:line="480" w:lineRule="auto"/>
              <w:ind w:firstLineChars="0" w:firstLine="0"/>
              <w:rPr>
                <w:strike/>
                <w:kern w:val="0"/>
                <w:sz w:val="18"/>
                <w:szCs w:val="18"/>
                <w:lang w:eastAsia="en-US"/>
              </w:rPr>
            </w:pPr>
            <w:r w:rsidRPr="002A23EF">
              <w:rPr>
                <w:rFonts w:eastAsia="Times New Roman"/>
                <w:kern w:val="0"/>
                <w:sz w:val="18"/>
                <w:szCs w:val="18"/>
                <w:lang w:eastAsia="en-US"/>
              </w:rPr>
              <w:t>5Tr</w:t>
            </w:r>
          </w:p>
        </w:tc>
        <w:tc>
          <w:tcPr>
            <w:tcW w:w="1802" w:type="pct"/>
            <w:tcBorders>
              <w:bottom w:val="single" w:sz="12" w:space="0" w:color="auto"/>
            </w:tcBorders>
            <w:vAlign w:val="center"/>
          </w:tcPr>
          <w:p w14:paraId="24B54B1D" w14:textId="77777777" w:rsidR="00EB6423" w:rsidRPr="002A23EF" w:rsidRDefault="00EB6423" w:rsidP="007438C0">
            <w:pPr>
              <w:spacing w:line="480" w:lineRule="auto"/>
              <w:ind w:firstLineChars="0" w:firstLine="0"/>
              <w:rPr>
                <w:strike/>
                <w:kern w:val="0"/>
                <w:sz w:val="18"/>
                <w:szCs w:val="18"/>
                <w:lang w:eastAsia="en-US"/>
              </w:rPr>
            </w:pPr>
            <w:proofErr w:type="spellStart"/>
            <w:r w:rsidRPr="002A23EF">
              <w:rPr>
                <w:rFonts w:eastAsia="Times New Roman"/>
                <w:color w:val="000000"/>
                <w:kern w:val="0"/>
                <w:sz w:val="18"/>
                <w:szCs w:val="18"/>
                <w:shd w:val="clear" w:color="auto" w:fill="FFFFFF"/>
                <w:lang w:eastAsia="en-US"/>
              </w:rPr>
              <w:t>TggCCTCTCTCCCTgCgTgA</w:t>
            </w:r>
            <w:proofErr w:type="spellEnd"/>
          </w:p>
        </w:tc>
        <w:tc>
          <w:tcPr>
            <w:tcW w:w="1868" w:type="pct"/>
            <w:tcBorders>
              <w:bottom w:val="single" w:sz="12" w:space="0" w:color="auto"/>
            </w:tcBorders>
            <w:vAlign w:val="center"/>
          </w:tcPr>
          <w:p w14:paraId="5A0F58B9" w14:textId="77777777" w:rsidR="00EB6423" w:rsidRPr="002A23EF" w:rsidRDefault="00EB6423" w:rsidP="007438C0">
            <w:pPr>
              <w:spacing w:line="480" w:lineRule="auto"/>
              <w:ind w:firstLineChars="0" w:firstLine="0"/>
              <w:rPr>
                <w:strike/>
                <w:color w:val="000000"/>
                <w:kern w:val="0"/>
                <w:sz w:val="18"/>
                <w:szCs w:val="18"/>
                <w:shd w:val="clear" w:color="auto" w:fill="FFFFFF"/>
                <w:lang w:eastAsia="en-US"/>
              </w:rPr>
            </w:pPr>
            <w:proofErr w:type="spellStart"/>
            <w:r w:rsidRPr="002A23EF">
              <w:rPr>
                <w:rFonts w:eastAsia="Times New Roman"/>
                <w:color w:val="000000"/>
                <w:kern w:val="0"/>
                <w:sz w:val="18"/>
                <w:szCs w:val="18"/>
                <w:shd w:val="clear" w:color="auto" w:fill="FFFFFF"/>
                <w:lang w:eastAsia="en-US"/>
              </w:rPr>
              <w:t>TCAACCAAAgCACTATTCCATCTggC</w:t>
            </w:r>
            <w:proofErr w:type="spellEnd"/>
          </w:p>
        </w:tc>
      </w:tr>
    </w:tbl>
    <w:p w14:paraId="30CA5B39" w14:textId="77777777" w:rsidR="00EB6423" w:rsidRPr="002A23EF" w:rsidRDefault="00EB6423" w:rsidP="00EB6423">
      <w:pPr>
        <w:spacing w:after="0" w:line="480" w:lineRule="auto"/>
        <w:ind w:firstLineChars="0" w:firstLine="0"/>
      </w:pPr>
      <w:r w:rsidRPr="002A23EF">
        <w:fldChar w:fldCharType="begin"/>
      </w:r>
      <w:r w:rsidRPr="002A23EF">
        <w:instrText xml:space="preserve"> ADDIN </w:instrText>
      </w:r>
      <w:r w:rsidRPr="002A23EF">
        <w:fldChar w:fldCharType="end"/>
      </w:r>
      <w:r w:rsidRPr="002A23EF">
        <w:fldChar w:fldCharType="begin"/>
      </w:r>
      <w:r w:rsidRPr="002A23EF">
        <w:instrText xml:space="preserve"> ADDIN </w:instrText>
      </w:r>
      <w:r w:rsidRPr="002A23EF">
        <w:fldChar w:fldCharType="end"/>
      </w:r>
      <w:r w:rsidRPr="002A23EF">
        <w:fldChar w:fldCharType="begin"/>
      </w:r>
      <w:r w:rsidRPr="002A23EF">
        <w:instrText xml:space="preserve"> ADDIN </w:instrText>
      </w:r>
      <w:r w:rsidRPr="002A23EF">
        <w:fldChar w:fldCharType="end"/>
      </w:r>
    </w:p>
    <w:p w14:paraId="78575D7D" w14:textId="1E22AA92" w:rsidR="00EB6423" w:rsidRDefault="00EB6423">
      <w:pPr>
        <w:ind w:firstLine="480"/>
      </w:pPr>
    </w:p>
    <w:sectPr w:rsidR="00EB6423" w:rsidSect="00EB6423">
      <w:pgSz w:w="11906" w:h="16838"/>
      <w:pgMar w:top="1440" w:right="1274" w:bottom="1440" w:left="180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423"/>
    <w:rsid w:val="00EB6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F202F"/>
  <w15:chartTrackingRefBased/>
  <w15:docId w15:val="{5936FFDE-A3F9-4EAD-B2F7-E91487B1B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423"/>
    <w:pPr>
      <w:widowControl w:val="0"/>
      <w:spacing w:after="200" w:line="400" w:lineRule="exact"/>
      <w:ind w:firstLineChars="200" w:firstLine="200"/>
      <w:jc w:val="both"/>
    </w:pPr>
    <w:rPr>
      <w:rFonts w:ascii="Times New Roman" w:eastAsia="SimSun" w:hAnsi="Times New Roman" w:cs="Times New Roman"/>
      <w:kern w:val="2"/>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EB6423"/>
    <w:pPr>
      <w:spacing w:after="0" w:line="240" w:lineRule="auto"/>
    </w:pPr>
    <w:rPr>
      <w:rFonts w:ascii="Calibri" w:eastAsia="Times New Roman" w:hAnsi="Calibri"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B64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890</Words>
  <Characters>5073</Characters>
  <Application>Microsoft Office Word</Application>
  <DocSecurity>0</DocSecurity>
  <Lines>42</Lines>
  <Paragraphs>11</Paragraphs>
  <ScaleCrop>false</ScaleCrop>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2021-01-24T21:50:00Z</dcterms:created>
  <dcterms:modified xsi:type="dcterms:W3CDTF">2021-01-24T21:50:00Z</dcterms:modified>
</cp:coreProperties>
</file>