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60AED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425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Supplementary Table 1. Patients randomized in the study who received steroids</w:t>
      </w:r>
    </w:p>
    <w:p w14:paraId="4B8DC412" w14:textId="77777777" w:rsidR="00123860" w:rsidRPr="003425BF" w:rsidRDefault="00123860" w:rsidP="0012386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W w:w="0" w:type="auto"/>
        <w:tblInd w:w="1560" w:type="dxa"/>
        <w:tblLayout w:type="fixed"/>
        <w:tblLook w:val="04A0" w:firstRow="1" w:lastRow="0" w:firstColumn="1" w:lastColumn="0" w:noHBand="0" w:noVBand="1"/>
      </w:tblPr>
      <w:tblGrid>
        <w:gridCol w:w="3570"/>
        <w:gridCol w:w="3053"/>
        <w:gridCol w:w="1254"/>
        <w:gridCol w:w="1762"/>
      </w:tblGrid>
      <w:tr w:rsidR="00123860" w:rsidRPr="003425BF" w14:paraId="4C5B23B3" w14:textId="77777777" w:rsidTr="00F32890">
        <w:trPr>
          <w:trHeight w:val="300"/>
        </w:trPr>
        <w:tc>
          <w:tcPr>
            <w:tcW w:w="35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7B332" w14:textId="77777777" w:rsidR="00123860" w:rsidRPr="003425BF" w:rsidRDefault="00123860" w:rsidP="00F3289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 Event, N (%)</w:t>
            </w:r>
          </w:p>
        </w:tc>
        <w:tc>
          <w:tcPr>
            <w:tcW w:w="3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923D22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P+TCZ+SOC</w:t>
            </w:r>
          </w:p>
          <w:p w14:paraId="2940357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(N=7)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50EB3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SOC</w:t>
            </w:r>
          </w:p>
          <w:p w14:paraId="7E5D02B5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(N=5)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DD682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P-value</w:t>
            </w:r>
          </w:p>
        </w:tc>
      </w:tr>
      <w:tr w:rsidR="00123860" w:rsidRPr="003425BF" w14:paraId="7EE91CF8" w14:textId="77777777" w:rsidTr="00F32890">
        <w:trPr>
          <w:trHeight w:val="52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56823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treated with steroids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E5F3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7 (100)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6FF2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5 (100)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7A7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123860" w:rsidRPr="003425BF" w14:paraId="3074A39D" w14:textId="77777777" w:rsidTr="00F32890">
        <w:trPr>
          <w:trHeight w:val="528"/>
        </w:trPr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95732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Treatment duration,</w:t>
            </w:r>
          </w:p>
          <w:p w14:paraId="1162F1CF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days, median (min–max)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3411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15 (6–29)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57768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18 (12–33)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2BF61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0.326</w:t>
            </w:r>
          </w:p>
        </w:tc>
      </w:tr>
      <w:tr w:rsidR="00123860" w:rsidRPr="003425BF" w14:paraId="18C5CC8F" w14:textId="77777777" w:rsidTr="00F32890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7A6E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Systemic steroids *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90E0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9CB8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1349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</w:tr>
      <w:tr w:rsidR="00123860" w:rsidRPr="003425BF" w14:paraId="75F818BB" w14:textId="77777777" w:rsidTr="00F32890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594C" w14:textId="77777777" w:rsidR="00123860" w:rsidRPr="003425BF" w:rsidRDefault="00123860" w:rsidP="00F32890">
            <w:pPr>
              <w:ind w:firstLine="326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Dexamethasone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A029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5 (71.4)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1FEF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 (60.0)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E1E6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0.679</w:t>
            </w:r>
          </w:p>
        </w:tc>
      </w:tr>
      <w:tr w:rsidR="00123860" w:rsidRPr="003425BF" w14:paraId="33598599" w14:textId="77777777" w:rsidTr="00F32890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B884" w14:textId="77777777" w:rsidR="00123860" w:rsidRPr="003425BF" w:rsidRDefault="00123860" w:rsidP="00F32890">
            <w:pPr>
              <w:ind w:firstLine="326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Methylprednisolone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016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2 (28.6)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A78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 (60.0)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CB13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0.276</w:t>
            </w:r>
          </w:p>
        </w:tc>
      </w:tr>
      <w:tr w:rsidR="00123860" w:rsidRPr="003425BF" w14:paraId="15B10C1D" w14:textId="77777777" w:rsidTr="00F32890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156D" w14:textId="77777777" w:rsidR="00123860" w:rsidRPr="003425BF" w:rsidRDefault="00123860" w:rsidP="00F32890">
            <w:pPr>
              <w:ind w:firstLine="326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Prednisolone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BE14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2 (28.6)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EA0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(20.0)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8D99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0.735</w:t>
            </w:r>
          </w:p>
        </w:tc>
      </w:tr>
      <w:tr w:rsidR="00123860" w:rsidRPr="003425BF" w14:paraId="42416E78" w14:textId="77777777" w:rsidTr="00F32890">
        <w:trPr>
          <w:trHeight w:val="288"/>
        </w:trPr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A6CBB" w14:textId="77777777" w:rsidR="00123860" w:rsidRPr="003425BF" w:rsidRDefault="00123860" w:rsidP="00F32890">
            <w:pPr>
              <w:ind w:firstLine="326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Hydrocortisone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A249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 (0)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B7D57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(20.0)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4586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0.217</w:t>
            </w:r>
          </w:p>
        </w:tc>
      </w:tr>
      <w:tr w:rsidR="00123860" w:rsidRPr="003425BF" w14:paraId="50F20147" w14:textId="77777777" w:rsidTr="00F32890">
        <w:trPr>
          <w:trHeight w:val="576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7CAD5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Dose per day of systemic steroids **,</w:t>
            </w:r>
          </w:p>
          <w:p w14:paraId="6E6D3407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mg, median (min–max)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EAE6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9.6 (4–20)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6B39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9.8 (8–22.9)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324F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0.392</w:t>
            </w:r>
          </w:p>
        </w:tc>
      </w:tr>
      <w:tr w:rsidR="00123860" w:rsidRPr="003425BF" w14:paraId="109E912D" w14:textId="77777777" w:rsidTr="00F32890">
        <w:trPr>
          <w:trHeight w:val="288"/>
        </w:trPr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CEF1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Inhaled steroids</w:t>
            </w: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DEB2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4947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F0DF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 </w:t>
            </w:r>
          </w:p>
        </w:tc>
      </w:tr>
      <w:tr w:rsidR="00123860" w:rsidRPr="003425BF" w14:paraId="51A9DCD4" w14:textId="77777777" w:rsidTr="00F32890">
        <w:trPr>
          <w:trHeight w:val="300"/>
        </w:trPr>
        <w:tc>
          <w:tcPr>
            <w:tcW w:w="35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4300F" w14:textId="77777777" w:rsidR="00123860" w:rsidRPr="003425BF" w:rsidRDefault="00123860" w:rsidP="00F32890">
            <w:pPr>
              <w:ind w:firstLine="314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Budesonide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47895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(14.3)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2AA65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(20.0)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FBC5C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0.793</w:t>
            </w:r>
          </w:p>
        </w:tc>
      </w:tr>
      <w:tr w:rsidR="00123860" w:rsidRPr="00640612" w14:paraId="1EA8847F" w14:textId="77777777" w:rsidTr="00F32890">
        <w:trPr>
          <w:trHeight w:val="30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8ED3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* Oral or intravenous use. ** Equivalent to 1 mg dexamethasone as per clinical guidelines of Spanish Society of Primary Care.</w:t>
            </w:r>
          </w:p>
          <w:p w14:paraId="44391E60" w14:textId="77777777" w:rsidR="00123860" w:rsidRPr="003425BF" w:rsidRDefault="00123860" w:rsidP="00F32890">
            <w:pPr>
              <w:pStyle w:val="EndNoteBibliography"/>
              <w:spacing w:after="0"/>
              <w:rPr>
                <w:rFonts w:ascii="Arial" w:hAnsi="Arial" w:cs="Arial"/>
                <w:noProof w:val="0"/>
                <w:color w:val="000000" w:themeColor="text1"/>
                <w:sz w:val="20"/>
                <w:szCs w:val="20"/>
              </w:rPr>
            </w:pPr>
            <w:r w:rsidRPr="003425BF">
              <w:rPr>
                <w:rFonts w:ascii="Arial" w:hAnsi="Arial" w:cs="Arial"/>
                <w:noProof w:val="0"/>
                <w:color w:val="000000" w:themeColor="text1"/>
                <w:sz w:val="20"/>
                <w:szCs w:val="20"/>
                <w:lang w:val="es-ES"/>
              </w:rPr>
              <w:t xml:space="preserve">SEMERGEN. Documentos científicos </w:t>
            </w:r>
            <w:proofErr w:type="spellStart"/>
            <w:r w:rsidRPr="003425BF">
              <w:rPr>
                <w:rFonts w:ascii="Arial" w:hAnsi="Arial" w:cs="Arial"/>
                <w:noProof w:val="0"/>
                <w:color w:val="000000" w:themeColor="text1"/>
                <w:sz w:val="20"/>
                <w:szCs w:val="20"/>
                <w:lang w:val="es-ES"/>
              </w:rPr>
              <w:t>semergen</w:t>
            </w:r>
            <w:proofErr w:type="spellEnd"/>
            <w:r w:rsidRPr="003425BF">
              <w:rPr>
                <w:rFonts w:ascii="Arial" w:hAnsi="Arial" w:cs="Arial"/>
                <w:noProof w:val="0"/>
                <w:color w:val="000000" w:themeColor="text1"/>
                <w:sz w:val="20"/>
                <w:szCs w:val="20"/>
                <w:lang w:val="es-ES"/>
              </w:rPr>
              <w:t xml:space="preserve">. ASMA-área aparato respiratorio. </w:t>
            </w:r>
            <w:r w:rsidRPr="003425BF">
              <w:rPr>
                <w:rFonts w:ascii="Arial" w:hAnsi="Arial" w:cs="Arial"/>
                <w:noProof w:val="0"/>
                <w:color w:val="000000" w:themeColor="text1"/>
                <w:sz w:val="20"/>
                <w:szCs w:val="20"/>
              </w:rPr>
              <w:t xml:space="preserve">2018 [cited 19-jan-2022]; Available from: </w:t>
            </w:r>
            <w:hyperlink r:id="rId4" w:history="1">
              <w:r w:rsidRPr="003425BF">
                <w:rPr>
                  <w:rStyle w:val="Hyperlink"/>
                  <w:rFonts w:ascii="Arial" w:hAnsi="Arial" w:cs="Arial"/>
                  <w:noProof w:val="0"/>
                  <w:color w:val="000000" w:themeColor="text1"/>
                  <w:sz w:val="20"/>
                  <w:szCs w:val="20"/>
                </w:rPr>
                <w:t>https://www.semergen.es/files/docs/biblioteca/semDoc/respiratorio/asma18_semergendoc_2018.pdf</w:t>
              </w:r>
            </w:hyperlink>
          </w:p>
          <w:p w14:paraId="5E4F2E1A" w14:textId="77777777" w:rsidR="00123860" w:rsidRPr="003425BF" w:rsidRDefault="00123860" w:rsidP="00F32890">
            <w:pPr>
              <w:pStyle w:val="EndNoteBibliography"/>
              <w:spacing w:after="0"/>
              <w:rPr>
                <w:rFonts w:ascii="Arial" w:eastAsia="Times New Roman" w:hAnsi="Arial" w:cs="Arial"/>
                <w:noProof w:val="0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1EFC8F0" w14:textId="77777777" w:rsidR="00123860" w:rsidRPr="003425BF" w:rsidRDefault="00123860" w:rsidP="0012386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6FC7FFF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sectPr w:rsidR="00123860" w:rsidRPr="003425BF" w:rsidSect="00781B19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3FC72730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425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Supplementary Table 2. Patients randomized in the study who received remdesivir</w:t>
      </w:r>
    </w:p>
    <w:p w14:paraId="56373633" w14:textId="77777777" w:rsidR="00123860" w:rsidRPr="003425BF" w:rsidRDefault="00123860" w:rsidP="0012386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56"/>
        <w:gridCol w:w="1406"/>
        <w:gridCol w:w="906"/>
      </w:tblGrid>
      <w:tr w:rsidR="00123860" w:rsidRPr="003425BF" w14:paraId="3F1F4506" w14:textId="77777777" w:rsidTr="00F32890">
        <w:trPr>
          <w:trHeight w:val="48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73399" w14:textId="77777777" w:rsidR="00123860" w:rsidRPr="003425BF" w:rsidRDefault="00123860" w:rsidP="00F3289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Event, N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F32BB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P+TCZ+SOC</w:t>
            </w:r>
          </w:p>
          <w:p w14:paraId="34E172C9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(N=7)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FD584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SOC</w:t>
            </w:r>
          </w:p>
          <w:p w14:paraId="5D3115D4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(N=5)</w:t>
            </w:r>
          </w:p>
        </w:tc>
      </w:tr>
      <w:tr w:rsidR="00123860" w:rsidRPr="003425BF" w14:paraId="75C299F3" w14:textId="77777777" w:rsidTr="00F32890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7DD4F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treated with remdesivir,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1E948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 (42.9)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F30D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(20.0)</w:t>
            </w:r>
          </w:p>
        </w:tc>
      </w:tr>
      <w:tr w:rsidR="00123860" w:rsidRPr="003425BF" w14:paraId="36060F19" w14:textId="77777777" w:rsidTr="00F32890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EF4C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0FF5E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N=3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17AEF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N=1</w:t>
            </w:r>
          </w:p>
        </w:tc>
      </w:tr>
      <w:tr w:rsidR="00123860" w:rsidRPr="003425BF" w14:paraId="5CAEF069" w14:textId="77777777" w:rsidTr="00F32890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DF79E" w14:textId="77777777" w:rsidR="00123860" w:rsidRPr="003425BF" w:rsidRDefault="00123860" w:rsidP="00F32890">
            <w:pPr>
              <w:ind w:firstLine="326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discharged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13173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 (100)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30CCC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(100)</w:t>
            </w:r>
          </w:p>
        </w:tc>
      </w:tr>
      <w:tr w:rsidR="00123860" w:rsidRPr="003425BF" w14:paraId="5BEAEC8B" w14:textId="77777777" w:rsidTr="00F32890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9C130" w14:textId="77777777" w:rsidR="00123860" w:rsidRPr="003425BF" w:rsidRDefault="00123860" w:rsidP="00F32890">
            <w:pPr>
              <w:ind w:firstLine="326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discharged without sequalae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52E7F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 (100)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592B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 (100)</w:t>
            </w:r>
          </w:p>
        </w:tc>
      </w:tr>
      <w:tr w:rsidR="00123860" w:rsidRPr="003425BF" w14:paraId="502AF400" w14:textId="77777777" w:rsidTr="00F32890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17DD1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dead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4954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 (0)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013F9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 (0)</w:t>
            </w:r>
          </w:p>
        </w:tc>
      </w:tr>
    </w:tbl>
    <w:p w14:paraId="1ADF74DA" w14:textId="77777777" w:rsidR="00123860" w:rsidRPr="003425BF" w:rsidRDefault="00123860" w:rsidP="0012386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992824D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549D72CD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425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Supplementary Table 3. Patients randomized in the study who did not receive remdesivir</w:t>
      </w:r>
    </w:p>
    <w:p w14:paraId="374A1078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9"/>
        <w:gridCol w:w="1391"/>
        <w:gridCol w:w="1075"/>
        <w:gridCol w:w="969"/>
      </w:tblGrid>
      <w:tr w:rsidR="00123860" w:rsidRPr="003425BF" w14:paraId="0F574449" w14:textId="77777777" w:rsidTr="00F32890">
        <w:trPr>
          <w:trHeight w:val="300"/>
        </w:trPr>
        <w:tc>
          <w:tcPr>
            <w:tcW w:w="29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697F2" w14:textId="77777777" w:rsidR="00123860" w:rsidRPr="003425BF" w:rsidRDefault="00123860" w:rsidP="00F3289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Event, N (%)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FFC47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P+TCZ+SOC</w:t>
            </w:r>
          </w:p>
          <w:p w14:paraId="64DDEFB4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(N=7)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41CA45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SOC</w:t>
            </w:r>
          </w:p>
          <w:p w14:paraId="43F998E6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(N=5)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6B959B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P-value</w:t>
            </w:r>
          </w:p>
        </w:tc>
      </w:tr>
      <w:tr w:rsidR="00123860" w:rsidRPr="003425BF" w14:paraId="02A4DC5D" w14:textId="77777777" w:rsidTr="00F32890">
        <w:trPr>
          <w:trHeight w:val="528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6A5B" w14:textId="77777777" w:rsidR="00123860" w:rsidRPr="003425BF" w:rsidRDefault="00123860" w:rsidP="00F3289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not treated with remdesivir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3E3A0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4 (57.1)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3E4C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4 (80.0)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ED42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0.408</w:t>
            </w:r>
          </w:p>
        </w:tc>
      </w:tr>
      <w:tr w:rsidR="00123860" w:rsidRPr="003425BF" w14:paraId="0EFCC2D2" w14:textId="77777777" w:rsidTr="00F32890">
        <w:trPr>
          <w:trHeight w:val="288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69808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31FE2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N=4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AFBAD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N=4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23EA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</w:tr>
      <w:tr w:rsidR="00123860" w:rsidRPr="003425BF" w14:paraId="4E5A25BC" w14:textId="77777777" w:rsidTr="00F32890">
        <w:trPr>
          <w:trHeight w:val="288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A9A9B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discharged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D526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4 (100)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2C60E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2 (50.0)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EA37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0.429</w:t>
            </w:r>
          </w:p>
        </w:tc>
      </w:tr>
      <w:tr w:rsidR="00123860" w:rsidRPr="003425BF" w14:paraId="3B9D460E" w14:textId="77777777" w:rsidTr="00F32890">
        <w:trPr>
          <w:trHeight w:val="528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6A65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Time to discharge,</w:t>
            </w:r>
          </w:p>
          <w:p w14:paraId="3B0CA15F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days, median (95%CI) *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79CF0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8.5 (4–NE)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A4D0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74 (21–NE)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A2B1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0.005</w:t>
            </w:r>
          </w:p>
        </w:tc>
      </w:tr>
      <w:tr w:rsidR="00123860" w:rsidRPr="003425BF" w14:paraId="2498C69C" w14:textId="77777777" w:rsidTr="00F32890">
        <w:trPr>
          <w:trHeight w:val="528"/>
        </w:trPr>
        <w:tc>
          <w:tcPr>
            <w:tcW w:w="29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55431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discharged without sequalae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B8BC1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2 (50.0)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4E8A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 (0)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05C2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0.429</w:t>
            </w:r>
          </w:p>
        </w:tc>
      </w:tr>
      <w:tr w:rsidR="00123860" w:rsidRPr="003425BF" w14:paraId="39611D64" w14:textId="77777777" w:rsidTr="00F32890">
        <w:trPr>
          <w:trHeight w:val="792"/>
        </w:trPr>
        <w:tc>
          <w:tcPr>
            <w:tcW w:w="2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80E10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discharged without sequalae at 10 days, (95% CI) *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048EB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33 (1–77.4)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A0F53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 (NE–NE)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AC696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0.05</w:t>
            </w:r>
          </w:p>
        </w:tc>
      </w:tr>
      <w:tr w:rsidR="00123860" w:rsidRPr="003425BF" w14:paraId="26F6D0B1" w14:textId="77777777" w:rsidTr="00F32890">
        <w:trPr>
          <w:trHeight w:val="288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1684F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alive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7683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3 (75.0)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E7B4C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2 (50.0)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E841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1</w:t>
            </w:r>
          </w:p>
        </w:tc>
      </w:tr>
      <w:tr w:rsidR="00123860" w:rsidRPr="003425BF" w14:paraId="5A2886D3" w14:textId="77777777" w:rsidTr="00F32890">
        <w:trPr>
          <w:trHeight w:val="528"/>
        </w:trPr>
        <w:tc>
          <w:tcPr>
            <w:tcW w:w="2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0F04A" w14:textId="77777777" w:rsidR="00123860" w:rsidRPr="003425BF" w:rsidRDefault="00123860" w:rsidP="00F32890">
            <w:pPr>
              <w:ind w:firstLine="31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Patients alive at 60 days, (95% CI) *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F267E" w14:textId="77777777" w:rsidR="00123860" w:rsidRPr="003425BF" w:rsidRDefault="00123860" w:rsidP="00F32890">
            <w:pPr>
              <w:ind w:left="-208" w:right="-5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75 (12.8–96.1)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480ED" w14:textId="77777777" w:rsidR="00123860" w:rsidRPr="003425BF" w:rsidRDefault="00123860" w:rsidP="00F32890">
            <w:pPr>
              <w:ind w:left="-137" w:right="-16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50 (6–84.5)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2ACB6" w14:textId="77777777" w:rsidR="00123860" w:rsidRPr="003425BF" w:rsidRDefault="00123860" w:rsidP="00F328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</w:pPr>
            <w:r w:rsidRPr="003425B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en-US"/>
              </w:rPr>
              <w:t>0.4</w:t>
            </w:r>
          </w:p>
        </w:tc>
      </w:tr>
    </w:tbl>
    <w:p w14:paraId="5FC93C25" w14:textId="77777777" w:rsidR="00123860" w:rsidRPr="003425BF" w:rsidRDefault="00123860" w:rsidP="00123860">
      <w:pPr>
        <w:rPr>
          <w:rFonts w:ascii="Arial" w:hAnsi="Arial" w:cs="Arial"/>
          <w:color w:val="000000" w:themeColor="text1"/>
          <w:sz w:val="20"/>
          <w:szCs w:val="20"/>
          <w:lang w:val="en-US" w:eastAsia="en-US"/>
        </w:rPr>
      </w:pPr>
      <w:r w:rsidRPr="003425BF">
        <w:rPr>
          <w:rFonts w:ascii="Arial" w:hAnsi="Arial" w:cs="Arial"/>
          <w:color w:val="000000" w:themeColor="text1"/>
          <w:sz w:val="20"/>
          <w:szCs w:val="20"/>
          <w:lang w:val="en-US" w:eastAsia="en-US"/>
        </w:rPr>
        <w:t>* Based on Kaplan-Meier method</w:t>
      </w:r>
    </w:p>
    <w:p w14:paraId="46153C12" w14:textId="77777777" w:rsidR="00123860" w:rsidRPr="003425BF" w:rsidRDefault="00123860" w:rsidP="0012386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7AE5635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sectPr w:rsidR="00123860" w:rsidRPr="003425BF" w:rsidSect="002A1317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362DF6A9" w14:textId="77777777" w:rsidR="00123860" w:rsidRPr="003425BF" w:rsidRDefault="00123860" w:rsidP="00123860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425BF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Supplementary Figure 1. Percentage of patient with mechanical ventilation during the treatment period</w:t>
      </w:r>
    </w:p>
    <w:p w14:paraId="1C5C8F35" w14:textId="77777777" w:rsidR="00123860" w:rsidRPr="003425BF" w:rsidRDefault="00123860" w:rsidP="00123860">
      <w:pPr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FE79E93" w14:textId="713CC597" w:rsidR="004054E6" w:rsidRDefault="00123860">
      <w:r w:rsidRPr="003425BF"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4375294B" wp14:editId="00BDEA68">
            <wp:extent cx="5469729" cy="3192780"/>
            <wp:effectExtent l="0" t="0" r="0" b="7620"/>
            <wp:docPr id="13" name="Imagen 13" descr="Chart, bar 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Chart, bar chart, waterfall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29" cy="3195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60"/>
    <w:rsid w:val="00123860"/>
    <w:rsid w:val="0040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A66BC"/>
  <w15:chartTrackingRefBased/>
  <w15:docId w15:val="{A2A96EF4-F7E1-4C44-A30A-FA160FF3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3860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ar"/>
    <w:rsid w:val="00123860"/>
    <w:pPr>
      <w:spacing w:after="200"/>
    </w:pPr>
    <w:rPr>
      <w:rFonts w:ascii="Calibri" w:eastAsiaTheme="minorEastAsia" w:hAnsi="Calibri" w:cs="Calibri"/>
      <w:noProof/>
      <w:sz w:val="22"/>
      <w:szCs w:val="22"/>
      <w:lang w:val="en-US" w:eastAsia="es-ES"/>
    </w:rPr>
  </w:style>
  <w:style w:type="character" w:customStyle="1" w:styleId="EndNoteBibliographyCar">
    <w:name w:val="EndNote Bibliography Car"/>
    <w:basedOn w:val="DefaultParagraphFont"/>
    <w:link w:val="EndNoteBibliography"/>
    <w:rsid w:val="00123860"/>
    <w:rPr>
      <w:rFonts w:ascii="Calibri" w:eastAsiaTheme="minorEastAsia" w:hAnsi="Calibri" w:cs="Calibri"/>
      <w:noProof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semergen.es/files/docs/biblioteca/semDoc/respiratorio/asma18_semergendoc_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2022-02-25T21:23:00Z</dcterms:created>
  <dcterms:modified xsi:type="dcterms:W3CDTF">2022-02-25T21:23:00Z</dcterms:modified>
</cp:coreProperties>
</file>