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316" w:rsidRPr="002F7973" w:rsidRDefault="001B1316" w:rsidP="001B1316">
      <w:pPr>
        <w:spacing w:line="480" w:lineRule="auto"/>
        <w:rPr>
          <w:rFonts w:ascii="Arial" w:hAnsi="Arial" w:cs="Arial"/>
          <w:b/>
          <w:bCs/>
        </w:rPr>
      </w:pPr>
      <w:r w:rsidRPr="002F7973">
        <w:rPr>
          <w:rFonts w:ascii="Arial" w:hAnsi="Arial" w:cs="Arial"/>
          <w:b/>
          <w:bCs/>
        </w:rPr>
        <w:t xml:space="preserve">Supplemental Figures: </w:t>
      </w:r>
    </w:p>
    <w:p w:rsidR="001B1316" w:rsidRPr="002F7973" w:rsidRDefault="001B1316" w:rsidP="001B1316">
      <w:pPr>
        <w:spacing w:line="480" w:lineRule="auto"/>
        <w:rPr>
          <w:rFonts w:ascii="Arial" w:hAnsi="Arial" w:cs="Arial"/>
        </w:rPr>
      </w:pPr>
    </w:p>
    <w:p w:rsidR="001B1316" w:rsidRPr="002F7973" w:rsidRDefault="001B1316" w:rsidP="001B1316">
      <w:pPr>
        <w:spacing w:line="480" w:lineRule="auto"/>
        <w:rPr>
          <w:rFonts w:ascii="Arial" w:hAnsi="Arial" w:cs="Arial"/>
        </w:rPr>
      </w:pPr>
      <w:r w:rsidRPr="002F7973">
        <w:rPr>
          <w:rFonts w:ascii="Arial" w:hAnsi="Arial" w:cs="Arial"/>
          <w:noProof/>
          <w:lang w:eastAsia="en-US"/>
        </w:rPr>
        <w:drawing>
          <wp:inline distT="0" distB="0" distL="0" distR="0" wp14:anchorId="118E8BE0" wp14:editId="2498D28A">
            <wp:extent cx="5486400" cy="3200400"/>
            <wp:effectExtent l="0" t="0" r="0" b="19050"/>
            <wp:docPr id="16" name="Diagra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1B1316" w:rsidRPr="0068250E" w:rsidRDefault="001B1316" w:rsidP="001B1316">
      <w:pPr>
        <w:spacing w:line="480" w:lineRule="auto"/>
        <w:rPr>
          <w:rFonts w:ascii="Arial" w:hAnsi="Arial" w:cs="Arial"/>
        </w:rPr>
      </w:pPr>
      <w:r w:rsidRPr="009329E7">
        <w:rPr>
          <w:rFonts w:ascii="Arial" w:hAnsi="Arial" w:cs="Arial"/>
          <w:b/>
          <w:bCs/>
        </w:rPr>
        <w:t xml:space="preserve">Supplemental Figure </w:t>
      </w:r>
      <w:proofErr w:type="gramStart"/>
      <w:r w:rsidRPr="009329E7">
        <w:rPr>
          <w:rFonts w:ascii="Arial" w:hAnsi="Arial" w:cs="Arial"/>
          <w:b/>
          <w:bCs/>
        </w:rPr>
        <w:t xml:space="preserve">1 </w:t>
      </w:r>
      <w:r w:rsidRPr="0068250E">
        <w:rPr>
          <w:rFonts w:ascii="Arial" w:hAnsi="Arial" w:cs="Arial"/>
        </w:rPr>
        <w:t>:</w:t>
      </w:r>
      <w:proofErr w:type="gramEnd"/>
      <w:r w:rsidRPr="0068250E">
        <w:rPr>
          <w:rFonts w:ascii="Arial" w:hAnsi="Arial" w:cs="Arial"/>
        </w:rPr>
        <w:t xml:space="preserve"> Flow chart of participant recruitment for sodium MRI studies who were initially  recruited  as part of a peptide-based vaccine immunotherapy trial</w:t>
      </w:r>
    </w:p>
    <w:p w:rsidR="001B1316" w:rsidRPr="002F7973" w:rsidRDefault="001B1316" w:rsidP="001B1316">
      <w:pPr>
        <w:spacing w:line="480" w:lineRule="auto"/>
        <w:rPr>
          <w:rFonts w:ascii="Arial" w:hAnsi="Arial" w:cs="Arial"/>
        </w:rPr>
      </w:pPr>
    </w:p>
    <w:p w:rsidR="001B1316" w:rsidRPr="002F7973" w:rsidRDefault="001B1316" w:rsidP="001B1316">
      <w:pPr>
        <w:spacing w:line="480" w:lineRule="auto"/>
        <w:rPr>
          <w:rFonts w:ascii="Arial" w:hAnsi="Arial" w:cs="Arial"/>
        </w:rPr>
      </w:pPr>
    </w:p>
    <w:p w:rsidR="001B1316" w:rsidRPr="002F7973" w:rsidRDefault="001B1316" w:rsidP="001B1316">
      <w:pPr>
        <w:spacing w:line="480" w:lineRule="auto"/>
        <w:rPr>
          <w:rFonts w:ascii="Arial" w:hAnsi="Arial" w:cs="Arial"/>
        </w:rPr>
      </w:pPr>
      <w:r>
        <w:rPr>
          <w:noProof/>
          <w:lang w:eastAsia="en-US"/>
        </w:rPr>
        <w:lastRenderedPageBreak/>
        <w:drawing>
          <wp:inline distT="0" distB="0" distL="0" distR="0" wp14:anchorId="15D1BA86" wp14:editId="29ED579C">
            <wp:extent cx="5513832" cy="3849624"/>
            <wp:effectExtent l="0" t="0" r="0" b="0"/>
            <wp:docPr id="10" name="Picture 1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832" cy="3849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1316" w:rsidRPr="0068250E" w:rsidRDefault="001B1316" w:rsidP="001B1316">
      <w:pPr>
        <w:spacing w:line="480" w:lineRule="auto"/>
        <w:rPr>
          <w:rFonts w:ascii="Arial" w:hAnsi="Arial" w:cs="Arial"/>
          <w:strike/>
        </w:rPr>
      </w:pPr>
      <w:r w:rsidRPr="002F7973">
        <w:rPr>
          <w:rFonts w:ascii="Arial" w:hAnsi="Arial" w:cs="Arial"/>
        </w:rPr>
        <w:t xml:space="preserve"> </w:t>
      </w:r>
    </w:p>
    <w:p w:rsidR="001B1316" w:rsidRPr="0068250E" w:rsidRDefault="001B1316" w:rsidP="001B1316">
      <w:pPr>
        <w:spacing w:line="480" w:lineRule="auto"/>
        <w:rPr>
          <w:rFonts w:ascii="Arial" w:hAnsi="Arial" w:cs="Arial"/>
        </w:rPr>
      </w:pPr>
      <w:r w:rsidRPr="009329E7">
        <w:rPr>
          <w:rFonts w:ascii="Arial" w:hAnsi="Arial" w:cs="Arial"/>
          <w:b/>
          <w:bCs/>
        </w:rPr>
        <w:t>Supplemental Figure 2</w:t>
      </w:r>
      <w:r w:rsidRPr="0068250E">
        <w:rPr>
          <w:rFonts w:ascii="Arial" w:hAnsi="Arial" w:cs="Arial"/>
        </w:rPr>
        <w:t>:</w:t>
      </w:r>
      <w:r w:rsidRPr="0068250E">
        <w:rPr>
          <w:rFonts w:ascii="Arial" w:eastAsiaTheme="minorEastAsia" w:hAnsi="Arial" w:cs="Arial"/>
          <w:b/>
          <w:bCs/>
          <w:color w:val="595959"/>
          <w:kern w:val="24"/>
          <w14:textFill>
            <w14:solidFill>
              <w14:srgbClr w14:val="595959">
                <w14:lumMod w14:val="65000"/>
                <w14:lumOff w14:val="35000"/>
              </w14:srgbClr>
            </w14:solidFill>
          </w14:textFill>
        </w:rPr>
        <w:t xml:space="preserve"> </w:t>
      </w:r>
      <w:r w:rsidRPr="009329E7">
        <w:rPr>
          <w:rFonts w:ascii="Arial" w:hAnsi="Arial" w:cs="Arial"/>
        </w:rPr>
        <w:t>Regression Analysis relating age to average total sodium concentration (TSC) of uninvolved gray matter (GM), uninvolved white matter (WM), and tumor regions</w:t>
      </w:r>
      <w:r w:rsidRPr="0068250E">
        <w:rPr>
          <w:rFonts w:ascii="Arial" w:hAnsi="Arial" w:cs="Arial"/>
          <w:b/>
          <w:bCs/>
        </w:rPr>
        <w:t xml:space="preserve">. </w:t>
      </w:r>
      <w:r w:rsidRPr="0068250E">
        <w:rPr>
          <w:rFonts w:ascii="Arial" w:hAnsi="Arial" w:cs="Arial"/>
        </w:rPr>
        <w:t>The GM and WM exhibited linear relationship between average TSC and age, while tumor region was not significant.</w:t>
      </w:r>
    </w:p>
    <w:p w:rsidR="001B1316" w:rsidRPr="002F7973" w:rsidRDefault="001B1316" w:rsidP="001B1316">
      <w:pPr>
        <w:spacing w:line="480" w:lineRule="auto"/>
        <w:rPr>
          <w:rFonts w:ascii="Arial" w:hAnsi="Arial" w:cs="Arial"/>
        </w:rPr>
      </w:pPr>
    </w:p>
    <w:p w:rsidR="001B1316" w:rsidRPr="002F7973" w:rsidRDefault="001B1316" w:rsidP="001B1316">
      <w:pPr>
        <w:spacing w:line="480" w:lineRule="auto"/>
        <w:rPr>
          <w:rFonts w:ascii="Arial" w:hAnsi="Arial" w:cs="Arial"/>
        </w:rPr>
      </w:pPr>
    </w:p>
    <w:p w:rsidR="001B1316" w:rsidRPr="002F7973" w:rsidRDefault="001B1316" w:rsidP="001B1316">
      <w:pPr>
        <w:spacing w:line="480" w:lineRule="auto"/>
        <w:rPr>
          <w:rFonts w:ascii="Arial" w:hAnsi="Arial" w:cs="Arial"/>
        </w:rPr>
      </w:pPr>
    </w:p>
    <w:p w:rsidR="001B1316" w:rsidRDefault="001B1316" w:rsidP="001B1316">
      <w:pPr>
        <w:spacing w:line="480" w:lineRule="auto"/>
        <w:rPr>
          <w:rFonts w:ascii="Arial" w:hAnsi="Arial" w:cs="Arial"/>
        </w:rPr>
      </w:pPr>
    </w:p>
    <w:p w:rsidR="001B1316" w:rsidRPr="00C91138" w:rsidRDefault="001B1316" w:rsidP="001B1316">
      <w:pPr>
        <w:spacing w:line="480" w:lineRule="auto"/>
        <w:rPr>
          <w:rFonts w:ascii="Arial" w:hAnsi="Arial" w:cs="Arial"/>
        </w:rPr>
      </w:pPr>
    </w:p>
    <w:p w:rsidR="001B1316" w:rsidRDefault="001B1316" w:rsidP="001B1316">
      <w:pPr>
        <w:spacing w:line="480" w:lineRule="auto"/>
        <w:rPr>
          <w:rFonts w:ascii="Arial" w:hAnsi="Arial" w:cs="Arial"/>
        </w:rPr>
      </w:pPr>
    </w:p>
    <w:p w:rsidR="001B1316" w:rsidRPr="00C91138" w:rsidRDefault="001B1316" w:rsidP="001B1316">
      <w:pPr>
        <w:spacing w:line="480" w:lineRule="auto"/>
        <w:rPr>
          <w:rFonts w:ascii="Arial" w:hAnsi="Arial" w:cs="Arial"/>
        </w:rPr>
      </w:pPr>
      <w:r w:rsidRPr="00C91138">
        <w:rPr>
          <w:rFonts w:ascii="Arial" w:hAnsi="Arial" w:cs="Arial"/>
          <w:noProof/>
          <w:kern w:val="24"/>
          <w:lang w:eastAsia="en-US"/>
        </w:rPr>
        <w:lastRenderedPageBreak/>
        <w:drawing>
          <wp:inline distT="0" distB="0" distL="0" distR="0" wp14:anchorId="1146C69A" wp14:editId="633DCDFF">
            <wp:extent cx="3565470" cy="2875630"/>
            <wp:effectExtent l="0" t="0" r="3810" b="0"/>
            <wp:docPr id="8" name="Picture 8" descr="A picture containing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lock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507" cy="289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316" w:rsidRPr="00C91138" w:rsidRDefault="001B1316" w:rsidP="001B1316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Supplemental </w:t>
      </w:r>
      <w:r w:rsidRPr="00C91138"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/>
          <w:b/>
          <w:bCs/>
        </w:rPr>
        <w:t>3</w:t>
      </w:r>
      <w:r w:rsidRPr="00C91138">
        <w:rPr>
          <w:rFonts w:ascii="Arial" w:hAnsi="Arial" w:cs="Arial"/>
          <w:b/>
          <w:bCs/>
        </w:rPr>
        <w:t xml:space="preserve">: Serial total sodium concentration (TSC) imaging suggesting </w:t>
      </w:r>
      <w:proofErr w:type="spellStart"/>
      <w:r w:rsidRPr="00C91138">
        <w:rPr>
          <w:rFonts w:ascii="Arial" w:hAnsi="Arial" w:cs="Arial"/>
          <w:b/>
          <w:bCs/>
        </w:rPr>
        <w:t>pseudoprogression</w:t>
      </w:r>
      <w:proofErr w:type="spellEnd"/>
      <w:r w:rsidRPr="00C91138">
        <w:rPr>
          <w:rFonts w:ascii="Arial" w:hAnsi="Arial" w:cs="Arial"/>
          <w:b/>
          <w:bCs/>
        </w:rPr>
        <w:t xml:space="preserve">. </w:t>
      </w:r>
      <w:r w:rsidRPr="00C91138">
        <w:rPr>
          <w:rFonts w:ascii="Arial" w:hAnsi="Arial" w:cs="Arial"/>
        </w:rPr>
        <w:t xml:space="preserve">The fluid-attenuated inversion recovery (FLAIR) imaging shows an infiltrative mass in the posterior frontal/parietal region which initially demonstrated increased TSC at baseline. After 4 doses of a vaccine, there is decrease in TSC signal while FLAIR, apparent diffusion coefficient (ADC) and magnetic resonance spectroscopy (white square) are essentially unchanged. At 6 months, there was a clinical concern for progression. However, the sodium continues to show </w:t>
      </w:r>
      <w:r>
        <w:rPr>
          <w:rFonts w:ascii="Arial" w:hAnsi="Arial" w:cs="Arial"/>
        </w:rPr>
        <w:t xml:space="preserve">a </w:t>
      </w:r>
      <w:r w:rsidRPr="00C91138">
        <w:rPr>
          <w:rFonts w:ascii="Arial" w:hAnsi="Arial" w:cs="Arial"/>
        </w:rPr>
        <w:t>decrease</w:t>
      </w:r>
      <w:r>
        <w:rPr>
          <w:rFonts w:ascii="Arial" w:hAnsi="Arial" w:cs="Arial"/>
        </w:rPr>
        <w:t>d</w:t>
      </w:r>
      <w:r w:rsidRPr="00C91138">
        <w:rPr>
          <w:rFonts w:ascii="Arial" w:hAnsi="Arial" w:cs="Arial"/>
        </w:rPr>
        <w:t xml:space="preserve"> TSC while the FLAIR signal demonstrates a slight increase with concomitant decreases in ADC and the ratios of Choline/</w:t>
      </w:r>
      <w:proofErr w:type="spellStart"/>
      <w:r w:rsidRPr="00C91138">
        <w:rPr>
          <w:rFonts w:ascii="Arial" w:hAnsi="Arial" w:cs="Arial"/>
        </w:rPr>
        <w:t>Creatine</w:t>
      </w:r>
      <w:proofErr w:type="spellEnd"/>
      <w:r w:rsidRPr="00C91138">
        <w:rPr>
          <w:rFonts w:ascii="Arial" w:hAnsi="Arial" w:cs="Arial"/>
        </w:rPr>
        <w:t xml:space="preserve"> and Choline/NAA. The sodium MR</w:t>
      </w:r>
      <w:r>
        <w:rPr>
          <w:rFonts w:ascii="Arial" w:hAnsi="Arial" w:cs="Arial"/>
        </w:rPr>
        <w:t>I</w:t>
      </w:r>
      <w:r w:rsidRPr="00C91138">
        <w:rPr>
          <w:rFonts w:ascii="Arial" w:hAnsi="Arial" w:cs="Arial"/>
        </w:rPr>
        <w:t xml:space="preserve"> and MRS supported </w:t>
      </w:r>
      <w:proofErr w:type="spellStart"/>
      <w:r w:rsidRPr="00C91138">
        <w:rPr>
          <w:rFonts w:ascii="Arial" w:hAnsi="Arial" w:cs="Arial"/>
        </w:rPr>
        <w:t>pseudoprogression</w:t>
      </w:r>
      <w:proofErr w:type="spellEnd"/>
      <w:r w:rsidRPr="00C91138">
        <w:rPr>
          <w:rFonts w:ascii="Arial" w:hAnsi="Arial" w:cs="Arial"/>
        </w:rPr>
        <w:t xml:space="preserve"> over true progression. </w:t>
      </w:r>
    </w:p>
    <w:p w:rsidR="001B1316" w:rsidRDefault="001B1316" w:rsidP="001B1316">
      <w:pPr>
        <w:spacing w:line="480" w:lineRule="auto"/>
        <w:rPr>
          <w:rFonts w:ascii="Arial" w:hAnsi="Arial" w:cs="Arial"/>
        </w:rPr>
      </w:pPr>
    </w:p>
    <w:p w:rsidR="001B1316" w:rsidRPr="00C91138" w:rsidRDefault="001B1316" w:rsidP="001B1316">
      <w:pPr>
        <w:spacing w:line="480" w:lineRule="auto"/>
        <w:rPr>
          <w:rFonts w:ascii="Arial" w:hAnsi="Arial" w:cs="Arial"/>
        </w:rPr>
      </w:pPr>
    </w:p>
    <w:p w:rsidR="001B1316" w:rsidRPr="00C91138" w:rsidRDefault="001B1316" w:rsidP="001B1316">
      <w:pPr>
        <w:spacing w:line="480" w:lineRule="auto"/>
        <w:rPr>
          <w:rFonts w:ascii="Arial" w:hAnsi="Arial" w:cs="Arial"/>
        </w:rPr>
      </w:pPr>
    </w:p>
    <w:p w:rsidR="001B1316" w:rsidRPr="00C91138" w:rsidRDefault="001B1316" w:rsidP="001B1316">
      <w:pPr>
        <w:spacing w:line="480" w:lineRule="auto"/>
        <w:rPr>
          <w:rFonts w:ascii="Arial" w:hAnsi="Arial" w:cs="Arial"/>
        </w:rPr>
      </w:pPr>
      <w:r w:rsidRPr="00C91138">
        <w:rPr>
          <w:rFonts w:ascii="Arial" w:hAnsi="Arial" w:cs="Arial"/>
          <w:noProof/>
          <w:lang w:eastAsia="en-US"/>
        </w:rPr>
        <w:lastRenderedPageBreak/>
        <w:drawing>
          <wp:inline distT="0" distB="0" distL="0" distR="0" wp14:anchorId="5514977D" wp14:editId="120466D0">
            <wp:extent cx="4231178" cy="2119657"/>
            <wp:effectExtent l="0" t="0" r="0" b="1270"/>
            <wp:docPr id="14" name="Picture 14" descr="A picture containing photo, many, different, bun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photo, many, different, bunch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5547" cy="213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316" w:rsidRPr="0068250E" w:rsidRDefault="001B1316" w:rsidP="001B1316">
      <w:pPr>
        <w:spacing w:line="480" w:lineRule="auto"/>
        <w:rPr>
          <w:rFonts w:ascii="Arial" w:hAnsi="Arial" w:cs="Arial"/>
        </w:rPr>
      </w:pPr>
      <w:r w:rsidRPr="0068250E">
        <w:rPr>
          <w:rFonts w:ascii="Arial" w:hAnsi="Arial" w:cs="Arial"/>
          <w:b/>
          <w:bCs/>
        </w:rPr>
        <w:t xml:space="preserve">Supplemental Figure </w:t>
      </w:r>
      <w:r>
        <w:rPr>
          <w:rFonts w:ascii="Arial" w:hAnsi="Arial" w:cs="Arial"/>
          <w:b/>
          <w:bCs/>
        </w:rPr>
        <w:t>4</w:t>
      </w:r>
      <w:r w:rsidRPr="0068250E">
        <w:rPr>
          <w:rFonts w:ascii="Arial" w:hAnsi="Arial" w:cs="Arial"/>
          <w:b/>
          <w:bCs/>
        </w:rPr>
        <w:t xml:space="preserve">: Serial </w:t>
      </w:r>
      <w:proofErr w:type="gramStart"/>
      <w:r w:rsidRPr="0068250E">
        <w:rPr>
          <w:rFonts w:ascii="Arial" w:hAnsi="Arial" w:cs="Arial"/>
          <w:b/>
          <w:bCs/>
        </w:rPr>
        <w:t>TSC  in</w:t>
      </w:r>
      <w:proofErr w:type="gramEnd"/>
      <w:r w:rsidRPr="0068250E">
        <w:rPr>
          <w:rFonts w:ascii="Arial" w:hAnsi="Arial" w:cs="Arial"/>
          <w:b/>
          <w:bCs/>
        </w:rPr>
        <w:t xml:space="preserve"> pediatric brainstem glioma [ diffuse intrinsic pontine glioma -DIPG]:</w:t>
      </w:r>
      <w:r w:rsidRPr="0068250E">
        <w:rPr>
          <w:rFonts w:ascii="Arial" w:hAnsi="Arial" w:cs="Arial"/>
        </w:rPr>
        <w:t xml:space="preserve"> At baseline, DIPGs have relatively low total sodium concentration (TSC). After therapy, T</w:t>
      </w:r>
      <w:r w:rsidRPr="0068250E">
        <w:rPr>
          <w:rFonts w:ascii="Arial" w:hAnsi="Arial"/>
          <w:vertAlign w:val="subscript"/>
        </w:rPr>
        <w:t>2</w:t>
      </w:r>
      <w:r w:rsidRPr="0068250E">
        <w:rPr>
          <w:rFonts w:ascii="Arial" w:hAnsi="Arial" w:cs="Arial"/>
        </w:rPr>
        <w:t xml:space="preserve">-weighted image demonstrated an increased </w:t>
      </w:r>
      <w:proofErr w:type="spellStart"/>
      <w:r w:rsidRPr="0068250E">
        <w:rPr>
          <w:rFonts w:ascii="Arial" w:hAnsi="Arial" w:cs="Arial"/>
        </w:rPr>
        <w:t>hyperintensity</w:t>
      </w:r>
      <w:proofErr w:type="spellEnd"/>
      <w:r w:rsidRPr="0068250E">
        <w:rPr>
          <w:rFonts w:ascii="Arial" w:hAnsi="Arial" w:cs="Arial"/>
        </w:rPr>
        <w:t xml:space="preserve"> within the brainstem. Areas of non-enhancing and enhancing tumor began to evolve in the right inferior brainstem. Sodium MRI revealed a slight increase in TSC within the core of the necrotic region, which was confirmed to be tumor progression.</w:t>
      </w:r>
      <w:r w:rsidRPr="0068250E" w:rsidDel="004F1075">
        <w:rPr>
          <w:rFonts w:ascii="Arial" w:hAnsi="Arial" w:cs="Arial"/>
        </w:rPr>
        <w:t xml:space="preserve"> </w:t>
      </w:r>
      <w:r w:rsidRPr="0068250E">
        <w:rPr>
          <w:rFonts w:ascii="Arial" w:hAnsi="Arial" w:cs="Arial"/>
        </w:rPr>
        <w:t xml:space="preserve">The ADC map demonstrated heterogeneous signal at the cross-sectional </w:t>
      </w:r>
      <w:proofErr w:type="spellStart"/>
      <w:r w:rsidRPr="0068250E">
        <w:rPr>
          <w:rFonts w:ascii="Arial" w:hAnsi="Arial" w:cs="Arial"/>
        </w:rPr>
        <w:t>timepoint</w:t>
      </w:r>
      <w:proofErr w:type="spellEnd"/>
      <w:r w:rsidRPr="0068250E">
        <w:rPr>
          <w:rFonts w:ascii="Arial" w:hAnsi="Arial" w:cs="Arial"/>
        </w:rPr>
        <w:t xml:space="preserve">, while a longitudinal analysis of the serial changes (functional diffusion maps) showed spatially and temporally heterogeneous response consisting of areas where there is a clear increase in diffusion (red voxels; co-localizing to the area of increased sodium), decreased diffusion (blue voxels), large areas unchanged (green voxels). The magnetic resonance spectroscopy (MRS) revealed a huge lipid peak, which can be seen both in treatment and tumor related necrosis (red square on bottom </w:t>
      </w:r>
      <w:proofErr w:type="spellStart"/>
      <w:r w:rsidRPr="0068250E">
        <w:rPr>
          <w:rFonts w:ascii="Arial" w:hAnsi="Arial" w:cs="Arial"/>
        </w:rPr>
        <w:t>posttherapy</w:t>
      </w:r>
      <w:proofErr w:type="spellEnd"/>
      <w:r w:rsidRPr="0068250E">
        <w:rPr>
          <w:rFonts w:ascii="Arial" w:hAnsi="Arial" w:cs="Arial"/>
        </w:rPr>
        <w:t xml:space="preserve"> axial T</w:t>
      </w:r>
      <w:r w:rsidRPr="0068250E">
        <w:rPr>
          <w:rFonts w:ascii="Arial" w:hAnsi="Arial"/>
          <w:vertAlign w:val="subscript"/>
        </w:rPr>
        <w:t>2</w:t>
      </w:r>
      <w:r w:rsidRPr="0068250E">
        <w:rPr>
          <w:rFonts w:ascii="Arial" w:hAnsi="Arial" w:cs="Arial"/>
        </w:rPr>
        <w:t xml:space="preserve"> is the MRS voxel).</w:t>
      </w:r>
    </w:p>
    <w:p w:rsidR="001B1316" w:rsidRPr="002F7973" w:rsidRDefault="001B1316" w:rsidP="001B1316">
      <w:pPr>
        <w:spacing w:line="480" w:lineRule="auto"/>
        <w:rPr>
          <w:rFonts w:ascii="Arial" w:hAnsi="Arial" w:cs="Arial"/>
        </w:rPr>
      </w:pPr>
    </w:p>
    <w:p w:rsidR="001B1316" w:rsidRDefault="001B1316" w:rsidP="001B1316">
      <w:pPr>
        <w:spacing w:line="480" w:lineRule="auto"/>
        <w:rPr>
          <w:rFonts w:ascii="Arial" w:hAnsi="Arial" w:cs="Arial"/>
        </w:rPr>
      </w:pPr>
    </w:p>
    <w:p w:rsidR="001B1316" w:rsidRDefault="001B1316" w:rsidP="001B1316">
      <w:pPr>
        <w:spacing w:line="480" w:lineRule="auto"/>
        <w:rPr>
          <w:rFonts w:ascii="Arial" w:hAnsi="Arial" w:cs="Arial"/>
        </w:rPr>
      </w:pPr>
    </w:p>
    <w:p w:rsidR="001B1316" w:rsidRPr="002F7973" w:rsidRDefault="001B1316" w:rsidP="001B1316">
      <w:pPr>
        <w:spacing w:line="480" w:lineRule="auto"/>
        <w:rPr>
          <w:rFonts w:ascii="Arial" w:hAnsi="Arial" w:cs="Arial"/>
        </w:rPr>
      </w:pPr>
      <w:r w:rsidRPr="00103B90">
        <w:rPr>
          <w:rFonts w:ascii="Arial" w:hAnsi="Arial"/>
          <w:noProof/>
          <w:lang w:eastAsia="en-US"/>
        </w:rPr>
        <w:lastRenderedPageBreak/>
        <w:drawing>
          <wp:inline distT="0" distB="0" distL="0" distR="0" wp14:anchorId="4DE8E937" wp14:editId="7B47D0E6">
            <wp:extent cx="5943600" cy="1857375"/>
            <wp:effectExtent l="0" t="0" r="0" b="9525"/>
            <wp:docPr id="11" name="Picture 1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316" w:rsidRPr="002F7973" w:rsidRDefault="001B1316" w:rsidP="001B1316">
      <w:pPr>
        <w:spacing w:line="480" w:lineRule="auto"/>
        <w:rPr>
          <w:rFonts w:ascii="Arial" w:hAnsi="Arial" w:cs="Arial"/>
        </w:rPr>
      </w:pPr>
    </w:p>
    <w:p w:rsidR="001B1316" w:rsidRPr="002F7973" w:rsidRDefault="001B1316" w:rsidP="001B1316">
      <w:pPr>
        <w:spacing w:before="60" w:line="480" w:lineRule="auto"/>
        <w:ind w:left="20" w:right="17"/>
        <w:jc w:val="both"/>
        <w:rPr>
          <w:rFonts w:ascii="Arial" w:hAnsi="Arial" w:cs="Arial"/>
        </w:rPr>
      </w:pPr>
      <w:r>
        <w:rPr>
          <w:rFonts w:ascii="Arial" w:hAnsi="Arial" w:cs="Arial"/>
          <w:b/>
          <w:w w:val="105"/>
        </w:rPr>
        <w:t xml:space="preserve">Supplemental </w:t>
      </w:r>
      <w:r w:rsidRPr="002F7973">
        <w:rPr>
          <w:rFonts w:ascii="Arial" w:hAnsi="Arial" w:cs="Arial"/>
          <w:b/>
          <w:w w:val="105"/>
        </w:rPr>
        <w:t xml:space="preserve">Figure </w:t>
      </w:r>
      <w:r>
        <w:rPr>
          <w:rFonts w:ascii="Arial" w:hAnsi="Arial" w:cs="Arial"/>
          <w:b/>
          <w:w w:val="105"/>
        </w:rPr>
        <w:t>5</w:t>
      </w:r>
      <w:r w:rsidRPr="002F7973">
        <w:rPr>
          <w:rFonts w:ascii="Arial" w:hAnsi="Arial" w:cs="Arial"/>
          <w:b/>
          <w:w w:val="105"/>
        </w:rPr>
        <w:t xml:space="preserve">. </w:t>
      </w:r>
      <w:r>
        <w:rPr>
          <w:rFonts w:ascii="Arial" w:hAnsi="Arial" w:cs="Arial"/>
          <w:b/>
          <w:w w:val="105"/>
        </w:rPr>
        <w:t>Two-TE</w:t>
      </w:r>
      <w:r w:rsidRPr="002F7973">
        <w:rPr>
          <w:rFonts w:ascii="Arial" w:hAnsi="Arial" w:cs="Arial"/>
          <w:b/>
          <w:w w:val="105"/>
        </w:rPr>
        <w:t xml:space="preserve"> sodium (</w:t>
      </w:r>
      <w:r w:rsidRPr="002F7973">
        <w:rPr>
          <w:rFonts w:ascii="Arial" w:hAnsi="Arial" w:cs="Arial"/>
          <w:b/>
          <w:w w:val="105"/>
          <w:vertAlign w:val="superscript"/>
        </w:rPr>
        <w:t>23</w:t>
      </w:r>
      <w:r w:rsidRPr="002F7973">
        <w:rPr>
          <w:rFonts w:ascii="Arial" w:hAnsi="Arial" w:cs="Arial"/>
          <w:b/>
          <w:w w:val="105"/>
        </w:rPr>
        <w:t xml:space="preserve">Na) MRI of a necrotic recurrent lesion in pediatric </w:t>
      </w:r>
      <w:proofErr w:type="spellStart"/>
      <w:r w:rsidRPr="002F7973">
        <w:rPr>
          <w:rFonts w:ascii="Arial" w:hAnsi="Arial" w:cs="Arial"/>
          <w:b/>
          <w:w w:val="105"/>
        </w:rPr>
        <w:t>supratentorial</w:t>
      </w:r>
      <w:proofErr w:type="spellEnd"/>
      <w:r w:rsidRPr="002F7973">
        <w:rPr>
          <w:rFonts w:ascii="Arial" w:hAnsi="Arial" w:cs="Arial"/>
          <w:b/>
          <w:w w:val="105"/>
        </w:rPr>
        <w:t xml:space="preserve"> </w:t>
      </w:r>
      <w:r>
        <w:rPr>
          <w:rFonts w:ascii="Arial" w:hAnsi="Arial" w:cs="Arial"/>
          <w:b/>
          <w:w w:val="105"/>
        </w:rPr>
        <w:t xml:space="preserve">high-grade </w:t>
      </w:r>
      <w:r w:rsidRPr="002F7973">
        <w:rPr>
          <w:rFonts w:ascii="Arial" w:hAnsi="Arial" w:cs="Arial"/>
          <w:b/>
          <w:w w:val="105"/>
        </w:rPr>
        <w:t xml:space="preserve">glioma. [A] </w:t>
      </w:r>
      <w:r w:rsidRPr="002F7973">
        <w:rPr>
          <w:rFonts w:ascii="Arial" w:hAnsi="Arial" w:cs="Arial"/>
          <w:w w:val="105"/>
        </w:rPr>
        <w:t xml:space="preserve">shows a ring enhancing necrotic lesion (red arrowheads); </w:t>
      </w:r>
      <w:r w:rsidRPr="002F7973">
        <w:rPr>
          <w:rFonts w:ascii="Arial" w:hAnsi="Arial" w:cs="Arial"/>
          <w:b/>
          <w:w w:val="105"/>
        </w:rPr>
        <w:t xml:space="preserve">[B] </w:t>
      </w:r>
      <w:proofErr w:type="spellStart"/>
      <w:r>
        <w:rPr>
          <w:rFonts w:ascii="Arial" w:hAnsi="Arial" w:cs="Arial"/>
          <w:bCs/>
          <w:w w:val="105"/>
        </w:rPr>
        <w:t>ultra</w:t>
      </w:r>
      <w:r w:rsidRPr="002F7973">
        <w:rPr>
          <w:rFonts w:ascii="Arial" w:hAnsi="Arial" w:cs="Arial"/>
          <w:bCs/>
          <w:w w:val="105"/>
        </w:rPr>
        <w:t xml:space="preserve"> </w:t>
      </w:r>
      <w:r w:rsidRPr="002F7973">
        <w:rPr>
          <w:rFonts w:ascii="Arial" w:hAnsi="Arial" w:cs="Arial"/>
          <w:w w:val="105"/>
        </w:rPr>
        <w:t>short</w:t>
      </w:r>
      <w:proofErr w:type="spellEnd"/>
      <w:r w:rsidRPr="002F7973">
        <w:rPr>
          <w:rFonts w:ascii="Arial" w:hAnsi="Arial" w:cs="Arial"/>
          <w:w w:val="105"/>
        </w:rPr>
        <w:t xml:space="preserve"> echo</w:t>
      </w:r>
      <w:r w:rsidRPr="00103B90">
        <w:rPr>
          <w:rFonts w:ascii="Arial" w:hAnsi="Arial"/>
          <w:w w:val="105"/>
        </w:rPr>
        <w:t xml:space="preserve"> </w:t>
      </w:r>
      <w:r>
        <w:rPr>
          <w:rFonts w:ascii="Arial" w:hAnsi="Arial" w:cs="Arial"/>
          <w:w w:val="105"/>
        </w:rPr>
        <w:t>time</w:t>
      </w:r>
      <w:r w:rsidRPr="002F7973">
        <w:rPr>
          <w:rFonts w:ascii="Arial" w:hAnsi="Arial" w:cs="Arial"/>
          <w:w w:val="105"/>
        </w:rPr>
        <w:t xml:space="preserve"> (TE</w:t>
      </w:r>
      <w:r w:rsidRPr="002F7973">
        <w:rPr>
          <w:rFonts w:ascii="Arial" w:hAnsi="Arial" w:cs="Arial"/>
          <w:w w:val="105"/>
          <w:vertAlign w:val="subscript"/>
        </w:rPr>
        <w:t>1</w:t>
      </w:r>
      <w:r w:rsidRPr="002F7973">
        <w:rPr>
          <w:rFonts w:ascii="Arial" w:hAnsi="Arial" w:cs="Arial"/>
          <w:w w:val="105"/>
        </w:rPr>
        <w:t xml:space="preserve"> = 0.5 </w:t>
      </w:r>
      <w:proofErr w:type="spellStart"/>
      <w:r w:rsidRPr="002F7973">
        <w:rPr>
          <w:rFonts w:ascii="Arial" w:hAnsi="Arial" w:cs="Arial"/>
          <w:w w:val="105"/>
        </w:rPr>
        <w:t>ms</w:t>
      </w:r>
      <w:proofErr w:type="spellEnd"/>
      <w:r w:rsidRPr="002F7973">
        <w:rPr>
          <w:rFonts w:ascii="Arial" w:hAnsi="Arial" w:cs="Arial"/>
          <w:w w:val="105"/>
        </w:rPr>
        <w:t>) and [</w:t>
      </w:r>
      <w:r w:rsidRPr="002F7973">
        <w:rPr>
          <w:rFonts w:ascii="Arial" w:hAnsi="Arial" w:cs="Arial"/>
          <w:b/>
          <w:w w:val="105"/>
        </w:rPr>
        <w:t xml:space="preserve">C] relatively </w:t>
      </w:r>
      <w:r w:rsidRPr="002F7973">
        <w:rPr>
          <w:rFonts w:ascii="Arial" w:hAnsi="Arial" w:cs="Arial"/>
          <w:w w:val="105"/>
        </w:rPr>
        <w:t>long echo</w:t>
      </w:r>
      <w:r w:rsidRPr="00103B90">
        <w:rPr>
          <w:rFonts w:ascii="Arial" w:hAnsi="Arial"/>
          <w:w w:val="105"/>
        </w:rPr>
        <w:t xml:space="preserve"> </w:t>
      </w:r>
      <w:r>
        <w:rPr>
          <w:rFonts w:ascii="Arial" w:hAnsi="Arial" w:cs="Arial"/>
          <w:w w:val="105"/>
        </w:rPr>
        <w:t>time</w:t>
      </w:r>
      <w:r w:rsidRPr="002F7973">
        <w:rPr>
          <w:rFonts w:ascii="Arial" w:hAnsi="Arial" w:cs="Arial"/>
          <w:w w:val="105"/>
        </w:rPr>
        <w:t xml:space="preserve"> (TE</w:t>
      </w:r>
      <w:r w:rsidRPr="002F7973">
        <w:rPr>
          <w:rFonts w:ascii="Arial" w:hAnsi="Arial" w:cs="Arial"/>
          <w:w w:val="105"/>
          <w:vertAlign w:val="subscript"/>
        </w:rPr>
        <w:t>2</w:t>
      </w:r>
      <w:r w:rsidRPr="002F7973">
        <w:rPr>
          <w:rFonts w:ascii="Arial" w:hAnsi="Arial" w:cs="Arial"/>
          <w:w w:val="105"/>
        </w:rPr>
        <w:t xml:space="preserve"> = 5 </w:t>
      </w:r>
      <w:proofErr w:type="spellStart"/>
      <w:r w:rsidRPr="002F7973">
        <w:rPr>
          <w:rFonts w:ascii="Arial" w:hAnsi="Arial" w:cs="Arial"/>
          <w:w w:val="105"/>
        </w:rPr>
        <w:t>ms</w:t>
      </w:r>
      <w:proofErr w:type="spellEnd"/>
      <w:r w:rsidRPr="002F7973">
        <w:rPr>
          <w:rFonts w:ascii="Arial" w:hAnsi="Arial" w:cs="Arial"/>
          <w:w w:val="105"/>
        </w:rPr>
        <w:t xml:space="preserve">) sodium MRI images showing the total and free (extracellular) sodium increasing in the periphery of the lesion (red arrow); </w:t>
      </w:r>
      <w:r w:rsidRPr="002F7973">
        <w:rPr>
          <w:rFonts w:ascii="Arial" w:hAnsi="Arial" w:cs="Arial"/>
          <w:b/>
          <w:w w:val="105"/>
        </w:rPr>
        <w:t xml:space="preserve">[D] </w:t>
      </w:r>
      <w:r w:rsidRPr="002F7973">
        <w:rPr>
          <w:rFonts w:ascii="Arial" w:hAnsi="Arial" w:cs="Arial"/>
          <w:bCs/>
          <w:w w:val="105"/>
        </w:rPr>
        <w:t>relevant region from the bound (intracellular) sodium concentration (</w:t>
      </w:r>
      <w:proofErr w:type="spellStart"/>
      <w:r w:rsidRPr="002F7973">
        <w:rPr>
          <w:rFonts w:ascii="Arial" w:hAnsi="Arial" w:cs="Arial"/>
          <w:bCs/>
          <w:w w:val="105"/>
        </w:rPr>
        <w:t>vBSC</w:t>
      </w:r>
      <w:proofErr w:type="spellEnd"/>
      <w:r w:rsidRPr="002F7973">
        <w:rPr>
          <w:rFonts w:ascii="Arial" w:hAnsi="Arial" w:cs="Arial"/>
          <w:bCs/>
          <w:w w:val="105"/>
        </w:rPr>
        <w:t xml:space="preserve">) overlaid on a co-registered structural image, </w:t>
      </w:r>
      <w:r w:rsidRPr="002F7973">
        <w:rPr>
          <w:rFonts w:ascii="Arial" w:hAnsi="Arial" w:cs="Arial"/>
          <w:w w:val="105"/>
        </w:rPr>
        <w:t xml:space="preserve">showing the </w:t>
      </w:r>
      <w:r>
        <w:rPr>
          <w:rFonts w:ascii="Arial" w:hAnsi="Arial" w:cs="Arial"/>
          <w:w w:val="105"/>
        </w:rPr>
        <w:t>bound</w:t>
      </w:r>
      <w:r w:rsidRPr="002F7973">
        <w:rPr>
          <w:rFonts w:ascii="Arial" w:hAnsi="Arial" w:cs="Arial"/>
          <w:w w:val="105"/>
        </w:rPr>
        <w:t xml:space="preserve"> sodium increased in the periphery of the necrosis (red and yellow voxels) but decreased in the center  (blue voxels), a typical tumor-related cavitation/necrosis. This necrosis was confirmed as a </w:t>
      </w:r>
      <w:r w:rsidRPr="002F7973">
        <w:rPr>
          <w:rFonts w:ascii="Arial" w:hAnsi="Arial" w:cs="Arial"/>
          <w:b/>
          <w:w w:val="105"/>
        </w:rPr>
        <w:t xml:space="preserve">recurrent tumor </w:t>
      </w:r>
      <w:r w:rsidRPr="002F7973">
        <w:rPr>
          <w:rFonts w:ascii="Arial" w:hAnsi="Arial" w:cs="Arial"/>
          <w:w w:val="105"/>
        </w:rPr>
        <w:t>by the follow</w:t>
      </w:r>
      <w:r w:rsidRPr="002F7973">
        <w:rPr>
          <w:rFonts w:ascii="Arial" w:hAnsi="Arial" w:cs="Arial"/>
          <w:spacing w:val="-12"/>
          <w:w w:val="105"/>
        </w:rPr>
        <w:t xml:space="preserve"> </w:t>
      </w:r>
      <w:r w:rsidRPr="002F7973">
        <w:rPr>
          <w:rFonts w:ascii="Arial" w:hAnsi="Arial" w:cs="Arial"/>
          <w:w w:val="105"/>
        </w:rPr>
        <w:t>up images.</w:t>
      </w:r>
    </w:p>
    <w:p w:rsidR="00390883" w:rsidRDefault="001B1316">
      <w:bookmarkStart w:id="0" w:name="_GoBack"/>
      <w:bookmarkEnd w:id="0"/>
    </w:p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16"/>
    <w:rsid w:val="001A6D85"/>
    <w:rsid w:val="001B1316"/>
    <w:rsid w:val="006E330B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A9DB64-4F1F-4535-AAA0-5CF845D54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image" Target="media/image3.png"/><Relationship Id="rId5" Type="http://schemas.openxmlformats.org/officeDocument/2006/relationships/diagramLayout" Target="diagrams/layout1.xml"/><Relationship Id="rId10" Type="http://schemas.openxmlformats.org/officeDocument/2006/relationships/image" Target="media/image2.png"/><Relationship Id="rId4" Type="http://schemas.openxmlformats.org/officeDocument/2006/relationships/diagramData" Target="diagrams/data1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800017F-EEE4-8D44-89D8-7F7D2E231597}" type="doc">
      <dgm:prSet loTypeId="urn:microsoft.com/office/officeart/2005/8/layout/orgChart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1B72FCD-5685-4A47-B2F4-92A7B0ABF2BA}">
      <dgm:prSet phldrT="[Text]"/>
      <dgm:spPr/>
      <dgm:t>
        <a:bodyPr/>
        <a:lstStyle/>
        <a:p>
          <a:r>
            <a:rPr lang="en-US"/>
            <a:t>28 participants  obtained Na MRI</a:t>
          </a:r>
        </a:p>
      </dgm:t>
    </dgm:pt>
    <dgm:pt modelId="{E313E570-E916-954F-AE93-3246CBF2FF86}" type="parTrans" cxnId="{A8E23AB9-BD83-604C-A0F0-FCEC777A636C}">
      <dgm:prSet/>
      <dgm:spPr/>
      <dgm:t>
        <a:bodyPr/>
        <a:lstStyle/>
        <a:p>
          <a:endParaRPr lang="en-US"/>
        </a:p>
      </dgm:t>
    </dgm:pt>
    <dgm:pt modelId="{8381D9BF-2D62-9D47-AAF7-245C2C648F46}" type="sibTrans" cxnId="{A8E23AB9-BD83-604C-A0F0-FCEC777A636C}">
      <dgm:prSet/>
      <dgm:spPr/>
      <dgm:t>
        <a:bodyPr/>
        <a:lstStyle/>
        <a:p>
          <a:endParaRPr lang="en-US"/>
        </a:p>
      </dgm:t>
    </dgm:pt>
    <dgm:pt modelId="{F0CF653B-A5A5-AF40-A1BF-9E40BA99957F}" type="asst">
      <dgm:prSet phldrT="[Text]"/>
      <dgm:spPr/>
      <dgm:t>
        <a:bodyPr/>
        <a:lstStyle/>
        <a:p>
          <a:r>
            <a:rPr lang="en-US"/>
            <a:t>2 excluded with non CNS tumors</a:t>
          </a:r>
        </a:p>
      </dgm:t>
    </dgm:pt>
    <dgm:pt modelId="{0D0A8EFD-5B30-2F4D-904F-5862A2E1ADD1}" type="parTrans" cxnId="{6AF71732-4313-6345-AFAF-9F762A628975}">
      <dgm:prSet/>
      <dgm:spPr/>
      <dgm:t>
        <a:bodyPr/>
        <a:lstStyle/>
        <a:p>
          <a:endParaRPr lang="en-US"/>
        </a:p>
      </dgm:t>
    </dgm:pt>
    <dgm:pt modelId="{1BA8D1FE-1421-C34E-A224-358FF9343BAB}" type="sibTrans" cxnId="{6AF71732-4313-6345-AFAF-9F762A628975}">
      <dgm:prSet/>
      <dgm:spPr/>
      <dgm:t>
        <a:bodyPr/>
        <a:lstStyle/>
        <a:p>
          <a:endParaRPr lang="en-US"/>
        </a:p>
      </dgm:t>
    </dgm:pt>
    <dgm:pt modelId="{1F17E83C-282E-6149-A392-1EBB8DF81E1D}">
      <dgm:prSet phldrT="[Text]"/>
      <dgm:spPr/>
      <dgm:t>
        <a:bodyPr/>
        <a:lstStyle/>
        <a:p>
          <a:r>
            <a:rPr lang="en-US"/>
            <a:t>26 participants received Na MRI</a:t>
          </a:r>
        </a:p>
      </dgm:t>
    </dgm:pt>
    <dgm:pt modelId="{DB509A9A-7D3B-104D-AFB1-ACB9FC547384}" type="parTrans" cxnId="{E743F803-EA48-F748-82B0-F42D47CA395D}">
      <dgm:prSet/>
      <dgm:spPr/>
      <dgm:t>
        <a:bodyPr/>
        <a:lstStyle/>
        <a:p>
          <a:endParaRPr lang="en-US"/>
        </a:p>
      </dgm:t>
    </dgm:pt>
    <dgm:pt modelId="{2AF95A36-F144-7940-A18E-42EF209A0896}" type="sibTrans" cxnId="{E743F803-EA48-F748-82B0-F42D47CA395D}">
      <dgm:prSet/>
      <dgm:spPr/>
      <dgm:t>
        <a:bodyPr/>
        <a:lstStyle/>
        <a:p>
          <a:endParaRPr lang="en-US"/>
        </a:p>
      </dgm:t>
    </dgm:pt>
    <dgm:pt modelId="{719FF956-5E48-EB49-8FF5-2D670A93E067}">
      <dgm:prSet phldrT="[Text]"/>
      <dgm:spPr/>
      <dgm:t>
        <a:bodyPr/>
        <a:lstStyle/>
        <a:p>
          <a:r>
            <a:rPr lang="en-US"/>
            <a:t>8 participants received serial Na MRI</a:t>
          </a:r>
        </a:p>
      </dgm:t>
    </dgm:pt>
    <dgm:pt modelId="{6BF78527-B1F3-114F-9187-C5841857B454}" type="parTrans" cxnId="{C58640BC-BF3B-F243-97DE-559682613167}">
      <dgm:prSet/>
      <dgm:spPr/>
      <dgm:t>
        <a:bodyPr/>
        <a:lstStyle/>
        <a:p>
          <a:endParaRPr lang="en-US"/>
        </a:p>
      </dgm:t>
    </dgm:pt>
    <dgm:pt modelId="{B73C8630-F2DE-7447-803F-A4DF9E1113F1}" type="sibTrans" cxnId="{C58640BC-BF3B-F243-97DE-559682613167}">
      <dgm:prSet/>
      <dgm:spPr/>
      <dgm:t>
        <a:bodyPr/>
        <a:lstStyle/>
        <a:p>
          <a:endParaRPr lang="en-US"/>
        </a:p>
      </dgm:t>
    </dgm:pt>
    <dgm:pt modelId="{E138C972-F8C7-5C4D-81EB-2B8BE7BCF6EA}">
      <dgm:prSet phldrT="[Text]"/>
      <dgm:spPr/>
      <dgm:t>
        <a:bodyPr/>
        <a:lstStyle/>
        <a:p>
          <a:r>
            <a:rPr lang="en-US"/>
            <a:t>5 participants had 2 TE Na MRI</a:t>
          </a:r>
        </a:p>
      </dgm:t>
    </dgm:pt>
    <dgm:pt modelId="{645E4B1D-5D09-9A45-AAA5-5A4DF8ED023D}" type="parTrans" cxnId="{77639409-1595-5747-B71D-0AE047DF979E}">
      <dgm:prSet/>
      <dgm:spPr/>
      <dgm:t>
        <a:bodyPr/>
        <a:lstStyle/>
        <a:p>
          <a:endParaRPr lang="en-US"/>
        </a:p>
      </dgm:t>
    </dgm:pt>
    <dgm:pt modelId="{B1B071BD-65DF-E849-AA03-89196382819E}" type="sibTrans" cxnId="{77639409-1595-5747-B71D-0AE047DF979E}">
      <dgm:prSet/>
      <dgm:spPr/>
      <dgm:t>
        <a:bodyPr/>
        <a:lstStyle/>
        <a:p>
          <a:endParaRPr lang="en-US"/>
        </a:p>
      </dgm:t>
    </dgm:pt>
    <dgm:pt modelId="{8A441C13-C83E-E94C-ABE5-169A3E3A13C3}">
      <dgm:prSet phldrT="[Text]"/>
      <dgm:spPr/>
      <dgm:t>
        <a:bodyPr/>
        <a:lstStyle/>
        <a:p>
          <a:r>
            <a:rPr lang="en-US"/>
            <a:t>3 of the 5 participants had 2 TE Na MRI at 2 timepoints</a:t>
          </a:r>
        </a:p>
      </dgm:t>
    </dgm:pt>
    <dgm:pt modelId="{C2D52B37-4209-1549-AEC1-811A7304A524}" type="parTrans" cxnId="{50DEF4FD-24E8-AD4D-B642-10123FF75F49}">
      <dgm:prSet/>
      <dgm:spPr/>
      <dgm:t>
        <a:bodyPr/>
        <a:lstStyle/>
        <a:p>
          <a:endParaRPr lang="en-US"/>
        </a:p>
      </dgm:t>
    </dgm:pt>
    <dgm:pt modelId="{FDE6B7A7-EAE7-C943-9C04-972D13AF491A}" type="sibTrans" cxnId="{50DEF4FD-24E8-AD4D-B642-10123FF75F49}">
      <dgm:prSet/>
      <dgm:spPr/>
      <dgm:t>
        <a:bodyPr/>
        <a:lstStyle/>
        <a:p>
          <a:endParaRPr lang="en-US"/>
        </a:p>
      </dgm:t>
    </dgm:pt>
    <dgm:pt modelId="{6574FFF0-7DDE-C04F-B223-18D61B58121B}" type="pres">
      <dgm:prSet presAssocID="{6800017F-EEE4-8D44-89D8-7F7D2E23159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5EF93A88-6227-DE48-A86A-77B10166B934}" type="pres">
      <dgm:prSet presAssocID="{E1B72FCD-5685-4A47-B2F4-92A7B0ABF2BA}" presName="hierRoot1" presStyleCnt="0">
        <dgm:presLayoutVars>
          <dgm:hierBranch val="init"/>
        </dgm:presLayoutVars>
      </dgm:prSet>
      <dgm:spPr/>
    </dgm:pt>
    <dgm:pt modelId="{25CE6C23-F1C2-134D-846D-202078730FB4}" type="pres">
      <dgm:prSet presAssocID="{E1B72FCD-5685-4A47-B2F4-92A7B0ABF2BA}" presName="rootComposite1" presStyleCnt="0"/>
      <dgm:spPr/>
    </dgm:pt>
    <dgm:pt modelId="{58C825E7-85FC-2D42-A699-7EE158852FF7}" type="pres">
      <dgm:prSet presAssocID="{E1B72FCD-5685-4A47-B2F4-92A7B0ABF2BA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F650508-43CB-4141-AE95-F9F54D9473C7}" type="pres">
      <dgm:prSet presAssocID="{E1B72FCD-5685-4A47-B2F4-92A7B0ABF2BA}" presName="rootConnector1" presStyleLbl="node1" presStyleIdx="0" presStyleCnt="0"/>
      <dgm:spPr/>
      <dgm:t>
        <a:bodyPr/>
        <a:lstStyle/>
        <a:p>
          <a:endParaRPr lang="en-US"/>
        </a:p>
      </dgm:t>
    </dgm:pt>
    <dgm:pt modelId="{CC536457-3575-B641-9AA1-D5246B6F3BED}" type="pres">
      <dgm:prSet presAssocID="{E1B72FCD-5685-4A47-B2F4-92A7B0ABF2BA}" presName="hierChild2" presStyleCnt="0"/>
      <dgm:spPr/>
    </dgm:pt>
    <dgm:pt modelId="{837F9C02-2066-B448-B1F5-23061BEC405B}" type="pres">
      <dgm:prSet presAssocID="{DB509A9A-7D3B-104D-AFB1-ACB9FC547384}" presName="Name37" presStyleLbl="parChTrans1D2" presStyleIdx="0" presStyleCnt="2"/>
      <dgm:spPr/>
      <dgm:t>
        <a:bodyPr/>
        <a:lstStyle/>
        <a:p>
          <a:endParaRPr lang="en-US"/>
        </a:p>
      </dgm:t>
    </dgm:pt>
    <dgm:pt modelId="{BA683501-BEAE-9C49-B25E-440A3E2D5A26}" type="pres">
      <dgm:prSet presAssocID="{1F17E83C-282E-6149-A392-1EBB8DF81E1D}" presName="hierRoot2" presStyleCnt="0">
        <dgm:presLayoutVars>
          <dgm:hierBranch val="init"/>
        </dgm:presLayoutVars>
      </dgm:prSet>
      <dgm:spPr/>
    </dgm:pt>
    <dgm:pt modelId="{9F0313D5-2693-3147-8A74-3D69B7F6CCA4}" type="pres">
      <dgm:prSet presAssocID="{1F17E83C-282E-6149-A392-1EBB8DF81E1D}" presName="rootComposite" presStyleCnt="0"/>
      <dgm:spPr/>
    </dgm:pt>
    <dgm:pt modelId="{10AB5F08-996F-B94A-9012-8C945A2EFDF3}" type="pres">
      <dgm:prSet presAssocID="{1F17E83C-282E-6149-A392-1EBB8DF81E1D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13F30A0-BC72-8149-AF60-0C98AE99918E}" type="pres">
      <dgm:prSet presAssocID="{1F17E83C-282E-6149-A392-1EBB8DF81E1D}" presName="rootConnector" presStyleLbl="node2" presStyleIdx="0" presStyleCnt="1"/>
      <dgm:spPr/>
      <dgm:t>
        <a:bodyPr/>
        <a:lstStyle/>
        <a:p>
          <a:endParaRPr lang="en-US"/>
        </a:p>
      </dgm:t>
    </dgm:pt>
    <dgm:pt modelId="{DA16499F-0250-7041-921C-6F74CB22F520}" type="pres">
      <dgm:prSet presAssocID="{1F17E83C-282E-6149-A392-1EBB8DF81E1D}" presName="hierChild4" presStyleCnt="0"/>
      <dgm:spPr/>
    </dgm:pt>
    <dgm:pt modelId="{EA5DDD0F-EF67-E646-B402-73C4B5A5302F}" type="pres">
      <dgm:prSet presAssocID="{645E4B1D-5D09-9A45-AAA5-5A4DF8ED023D}" presName="Name37" presStyleLbl="parChTrans1D3" presStyleIdx="0" presStyleCnt="2"/>
      <dgm:spPr/>
      <dgm:t>
        <a:bodyPr/>
        <a:lstStyle/>
        <a:p>
          <a:endParaRPr lang="en-US"/>
        </a:p>
      </dgm:t>
    </dgm:pt>
    <dgm:pt modelId="{E2DED512-824E-074D-847B-865BCA059D44}" type="pres">
      <dgm:prSet presAssocID="{E138C972-F8C7-5C4D-81EB-2B8BE7BCF6EA}" presName="hierRoot2" presStyleCnt="0">
        <dgm:presLayoutVars>
          <dgm:hierBranch val="init"/>
        </dgm:presLayoutVars>
      </dgm:prSet>
      <dgm:spPr/>
    </dgm:pt>
    <dgm:pt modelId="{5FF92C50-1CBD-5645-A276-CBB6C87F1AF1}" type="pres">
      <dgm:prSet presAssocID="{E138C972-F8C7-5C4D-81EB-2B8BE7BCF6EA}" presName="rootComposite" presStyleCnt="0"/>
      <dgm:spPr/>
    </dgm:pt>
    <dgm:pt modelId="{27B427CA-D617-9349-B16E-F0B72FCE0B6A}" type="pres">
      <dgm:prSet presAssocID="{E138C972-F8C7-5C4D-81EB-2B8BE7BCF6EA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0990F67-D4A6-5C4E-B720-030A38F2F1CE}" type="pres">
      <dgm:prSet presAssocID="{E138C972-F8C7-5C4D-81EB-2B8BE7BCF6EA}" presName="rootConnector" presStyleLbl="node3" presStyleIdx="0" presStyleCnt="2"/>
      <dgm:spPr/>
      <dgm:t>
        <a:bodyPr/>
        <a:lstStyle/>
        <a:p>
          <a:endParaRPr lang="en-US"/>
        </a:p>
      </dgm:t>
    </dgm:pt>
    <dgm:pt modelId="{CEA91F7C-34AF-8D46-8AD9-29AA5D267270}" type="pres">
      <dgm:prSet presAssocID="{E138C972-F8C7-5C4D-81EB-2B8BE7BCF6EA}" presName="hierChild4" presStyleCnt="0"/>
      <dgm:spPr/>
    </dgm:pt>
    <dgm:pt modelId="{132D5C7F-6B52-F545-8917-4E9B80EA754A}" type="pres">
      <dgm:prSet presAssocID="{C2D52B37-4209-1549-AEC1-811A7304A524}" presName="Name37" presStyleLbl="parChTrans1D4" presStyleIdx="0" presStyleCnt="1"/>
      <dgm:spPr/>
      <dgm:t>
        <a:bodyPr/>
        <a:lstStyle/>
        <a:p>
          <a:endParaRPr lang="en-US"/>
        </a:p>
      </dgm:t>
    </dgm:pt>
    <dgm:pt modelId="{76F4CD63-483B-8C41-94AE-F67A33BBAC58}" type="pres">
      <dgm:prSet presAssocID="{8A441C13-C83E-E94C-ABE5-169A3E3A13C3}" presName="hierRoot2" presStyleCnt="0">
        <dgm:presLayoutVars>
          <dgm:hierBranch val="init"/>
        </dgm:presLayoutVars>
      </dgm:prSet>
      <dgm:spPr/>
    </dgm:pt>
    <dgm:pt modelId="{EE4C90A5-B996-234F-93BE-C1D089FFDD09}" type="pres">
      <dgm:prSet presAssocID="{8A441C13-C83E-E94C-ABE5-169A3E3A13C3}" presName="rootComposite" presStyleCnt="0"/>
      <dgm:spPr/>
    </dgm:pt>
    <dgm:pt modelId="{88290B65-50E3-FA40-B75E-2AB4A1EC25A8}" type="pres">
      <dgm:prSet presAssocID="{8A441C13-C83E-E94C-ABE5-169A3E3A13C3}" presName="rootText" presStyleLbl="node4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C9E259A-9EAB-B745-9B66-919A89E5342A}" type="pres">
      <dgm:prSet presAssocID="{8A441C13-C83E-E94C-ABE5-169A3E3A13C3}" presName="rootConnector" presStyleLbl="node4" presStyleIdx="0" presStyleCnt="1"/>
      <dgm:spPr/>
      <dgm:t>
        <a:bodyPr/>
        <a:lstStyle/>
        <a:p>
          <a:endParaRPr lang="en-US"/>
        </a:p>
      </dgm:t>
    </dgm:pt>
    <dgm:pt modelId="{18A925ED-DF30-5F46-88D6-E80E0F8080A8}" type="pres">
      <dgm:prSet presAssocID="{8A441C13-C83E-E94C-ABE5-169A3E3A13C3}" presName="hierChild4" presStyleCnt="0"/>
      <dgm:spPr/>
    </dgm:pt>
    <dgm:pt modelId="{E4FDC7AC-5C85-9043-9C7B-6AADAA644566}" type="pres">
      <dgm:prSet presAssocID="{8A441C13-C83E-E94C-ABE5-169A3E3A13C3}" presName="hierChild5" presStyleCnt="0"/>
      <dgm:spPr/>
    </dgm:pt>
    <dgm:pt modelId="{E5E8688C-842E-5243-80FC-12DF4D41017D}" type="pres">
      <dgm:prSet presAssocID="{E138C972-F8C7-5C4D-81EB-2B8BE7BCF6EA}" presName="hierChild5" presStyleCnt="0"/>
      <dgm:spPr/>
    </dgm:pt>
    <dgm:pt modelId="{BA6F3537-3EBA-AE47-823A-DC7B89B29C5F}" type="pres">
      <dgm:prSet presAssocID="{6BF78527-B1F3-114F-9187-C5841857B454}" presName="Name37" presStyleLbl="parChTrans1D3" presStyleIdx="1" presStyleCnt="2"/>
      <dgm:spPr/>
      <dgm:t>
        <a:bodyPr/>
        <a:lstStyle/>
        <a:p>
          <a:endParaRPr lang="en-US"/>
        </a:p>
      </dgm:t>
    </dgm:pt>
    <dgm:pt modelId="{0096B955-E917-2141-9FE6-0C38E404148E}" type="pres">
      <dgm:prSet presAssocID="{719FF956-5E48-EB49-8FF5-2D670A93E067}" presName="hierRoot2" presStyleCnt="0">
        <dgm:presLayoutVars>
          <dgm:hierBranch val="init"/>
        </dgm:presLayoutVars>
      </dgm:prSet>
      <dgm:spPr/>
    </dgm:pt>
    <dgm:pt modelId="{E2B32984-5C05-794B-9EB9-D7767393EC18}" type="pres">
      <dgm:prSet presAssocID="{719FF956-5E48-EB49-8FF5-2D670A93E067}" presName="rootComposite" presStyleCnt="0"/>
      <dgm:spPr/>
    </dgm:pt>
    <dgm:pt modelId="{368639B7-8313-BA40-8550-14C80345AA49}" type="pres">
      <dgm:prSet presAssocID="{719FF956-5E48-EB49-8FF5-2D670A93E067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7458AF5-108A-154A-B12C-1DE863AC31CE}" type="pres">
      <dgm:prSet presAssocID="{719FF956-5E48-EB49-8FF5-2D670A93E067}" presName="rootConnector" presStyleLbl="node3" presStyleIdx="1" presStyleCnt="2"/>
      <dgm:spPr/>
      <dgm:t>
        <a:bodyPr/>
        <a:lstStyle/>
        <a:p>
          <a:endParaRPr lang="en-US"/>
        </a:p>
      </dgm:t>
    </dgm:pt>
    <dgm:pt modelId="{3B7F664C-A8AB-2945-896E-AC28834EDC1A}" type="pres">
      <dgm:prSet presAssocID="{719FF956-5E48-EB49-8FF5-2D670A93E067}" presName="hierChild4" presStyleCnt="0"/>
      <dgm:spPr/>
    </dgm:pt>
    <dgm:pt modelId="{F5CB7F7A-2888-B44E-A525-055EEDA5587D}" type="pres">
      <dgm:prSet presAssocID="{719FF956-5E48-EB49-8FF5-2D670A93E067}" presName="hierChild5" presStyleCnt="0"/>
      <dgm:spPr/>
    </dgm:pt>
    <dgm:pt modelId="{9D31F0FF-4116-F44C-AEA5-16E083E85354}" type="pres">
      <dgm:prSet presAssocID="{1F17E83C-282E-6149-A392-1EBB8DF81E1D}" presName="hierChild5" presStyleCnt="0"/>
      <dgm:spPr/>
    </dgm:pt>
    <dgm:pt modelId="{1BEFCCB7-723C-BB47-B1FF-0A906D9D2CBF}" type="pres">
      <dgm:prSet presAssocID="{E1B72FCD-5685-4A47-B2F4-92A7B0ABF2BA}" presName="hierChild3" presStyleCnt="0"/>
      <dgm:spPr/>
    </dgm:pt>
    <dgm:pt modelId="{B70F29AA-3DB0-F14C-868D-8B3A7C7ABBF3}" type="pres">
      <dgm:prSet presAssocID="{0D0A8EFD-5B30-2F4D-904F-5862A2E1ADD1}" presName="Name111" presStyleLbl="parChTrans1D2" presStyleIdx="1" presStyleCnt="2"/>
      <dgm:spPr/>
      <dgm:t>
        <a:bodyPr/>
        <a:lstStyle/>
        <a:p>
          <a:endParaRPr lang="en-US"/>
        </a:p>
      </dgm:t>
    </dgm:pt>
    <dgm:pt modelId="{73B7FEB9-4F39-A542-8AD4-3D9D334F7F76}" type="pres">
      <dgm:prSet presAssocID="{F0CF653B-A5A5-AF40-A1BF-9E40BA99957F}" presName="hierRoot3" presStyleCnt="0">
        <dgm:presLayoutVars>
          <dgm:hierBranch val="init"/>
        </dgm:presLayoutVars>
      </dgm:prSet>
      <dgm:spPr/>
    </dgm:pt>
    <dgm:pt modelId="{38091E52-480C-DB48-9F73-83EB4094A058}" type="pres">
      <dgm:prSet presAssocID="{F0CF653B-A5A5-AF40-A1BF-9E40BA99957F}" presName="rootComposite3" presStyleCnt="0"/>
      <dgm:spPr/>
    </dgm:pt>
    <dgm:pt modelId="{83CA4A7C-9837-8348-B475-A78FB007031D}" type="pres">
      <dgm:prSet presAssocID="{F0CF653B-A5A5-AF40-A1BF-9E40BA99957F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8138797-CAEB-BF41-8F06-FB6491FB789B}" type="pres">
      <dgm:prSet presAssocID="{F0CF653B-A5A5-AF40-A1BF-9E40BA99957F}" presName="rootConnector3" presStyleLbl="asst1" presStyleIdx="0" presStyleCnt="1"/>
      <dgm:spPr/>
      <dgm:t>
        <a:bodyPr/>
        <a:lstStyle/>
        <a:p>
          <a:endParaRPr lang="en-US"/>
        </a:p>
      </dgm:t>
    </dgm:pt>
    <dgm:pt modelId="{83B69088-8C07-CA44-8285-114FBF14955F}" type="pres">
      <dgm:prSet presAssocID="{F0CF653B-A5A5-AF40-A1BF-9E40BA99957F}" presName="hierChild6" presStyleCnt="0"/>
      <dgm:spPr/>
    </dgm:pt>
    <dgm:pt modelId="{AB0CB0D7-9935-9A48-A1B9-1EF5023A2DE3}" type="pres">
      <dgm:prSet presAssocID="{F0CF653B-A5A5-AF40-A1BF-9E40BA99957F}" presName="hierChild7" presStyleCnt="0"/>
      <dgm:spPr/>
    </dgm:pt>
  </dgm:ptLst>
  <dgm:cxnLst>
    <dgm:cxn modelId="{98B9F5D0-1BF0-F546-9197-A58EE8DF8411}" type="presOf" srcId="{719FF956-5E48-EB49-8FF5-2D670A93E067}" destId="{27458AF5-108A-154A-B12C-1DE863AC31CE}" srcOrd="1" destOrd="0" presId="urn:microsoft.com/office/officeart/2005/8/layout/orgChart1"/>
    <dgm:cxn modelId="{77639409-1595-5747-B71D-0AE047DF979E}" srcId="{1F17E83C-282E-6149-A392-1EBB8DF81E1D}" destId="{E138C972-F8C7-5C4D-81EB-2B8BE7BCF6EA}" srcOrd="0" destOrd="0" parTransId="{645E4B1D-5D09-9A45-AAA5-5A4DF8ED023D}" sibTransId="{B1B071BD-65DF-E849-AA03-89196382819E}"/>
    <dgm:cxn modelId="{6AF71732-4313-6345-AFAF-9F762A628975}" srcId="{E1B72FCD-5685-4A47-B2F4-92A7B0ABF2BA}" destId="{F0CF653B-A5A5-AF40-A1BF-9E40BA99957F}" srcOrd="0" destOrd="0" parTransId="{0D0A8EFD-5B30-2F4D-904F-5862A2E1ADD1}" sibTransId="{1BA8D1FE-1421-C34E-A224-358FF9343BAB}"/>
    <dgm:cxn modelId="{296CFD50-31F1-EF4C-8697-FB74797C43A9}" type="presOf" srcId="{E138C972-F8C7-5C4D-81EB-2B8BE7BCF6EA}" destId="{27B427CA-D617-9349-B16E-F0B72FCE0B6A}" srcOrd="0" destOrd="0" presId="urn:microsoft.com/office/officeart/2005/8/layout/orgChart1"/>
    <dgm:cxn modelId="{50DEF4FD-24E8-AD4D-B642-10123FF75F49}" srcId="{E138C972-F8C7-5C4D-81EB-2B8BE7BCF6EA}" destId="{8A441C13-C83E-E94C-ABE5-169A3E3A13C3}" srcOrd="0" destOrd="0" parTransId="{C2D52B37-4209-1549-AEC1-811A7304A524}" sibTransId="{FDE6B7A7-EAE7-C943-9C04-972D13AF491A}"/>
    <dgm:cxn modelId="{C58640BC-BF3B-F243-97DE-559682613167}" srcId="{1F17E83C-282E-6149-A392-1EBB8DF81E1D}" destId="{719FF956-5E48-EB49-8FF5-2D670A93E067}" srcOrd="1" destOrd="0" parTransId="{6BF78527-B1F3-114F-9187-C5841857B454}" sibTransId="{B73C8630-F2DE-7447-803F-A4DF9E1113F1}"/>
    <dgm:cxn modelId="{A8E23AB9-BD83-604C-A0F0-FCEC777A636C}" srcId="{6800017F-EEE4-8D44-89D8-7F7D2E231597}" destId="{E1B72FCD-5685-4A47-B2F4-92A7B0ABF2BA}" srcOrd="0" destOrd="0" parTransId="{E313E570-E916-954F-AE93-3246CBF2FF86}" sibTransId="{8381D9BF-2D62-9D47-AAF7-245C2C648F46}"/>
    <dgm:cxn modelId="{0EC73898-BB13-D44E-9F5A-E623CA4650D6}" type="presOf" srcId="{F0CF653B-A5A5-AF40-A1BF-9E40BA99957F}" destId="{58138797-CAEB-BF41-8F06-FB6491FB789B}" srcOrd="1" destOrd="0" presId="urn:microsoft.com/office/officeart/2005/8/layout/orgChart1"/>
    <dgm:cxn modelId="{A4C68CE5-1B43-824E-94E0-32D47B28E8C3}" type="presOf" srcId="{6800017F-EEE4-8D44-89D8-7F7D2E231597}" destId="{6574FFF0-7DDE-C04F-B223-18D61B58121B}" srcOrd="0" destOrd="0" presId="urn:microsoft.com/office/officeart/2005/8/layout/orgChart1"/>
    <dgm:cxn modelId="{77AB9CC3-8D65-154B-A27D-B896490AF199}" type="presOf" srcId="{E138C972-F8C7-5C4D-81EB-2B8BE7BCF6EA}" destId="{90990F67-D4A6-5C4E-B720-030A38F2F1CE}" srcOrd="1" destOrd="0" presId="urn:microsoft.com/office/officeart/2005/8/layout/orgChart1"/>
    <dgm:cxn modelId="{A54FCF3E-65F6-5C4C-8CB3-4DEDEF504492}" type="presOf" srcId="{E1B72FCD-5685-4A47-B2F4-92A7B0ABF2BA}" destId="{CF650508-43CB-4141-AE95-F9F54D9473C7}" srcOrd="1" destOrd="0" presId="urn:microsoft.com/office/officeart/2005/8/layout/orgChart1"/>
    <dgm:cxn modelId="{5A7BAB08-03D8-CB44-A47A-B1040B2A5E48}" type="presOf" srcId="{719FF956-5E48-EB49-8FF5-2D670A93E067}" destId="{368639B7-8313-BA40-8550-14C80345AA49}" srcOrd="0" destOrd="0" presId="urn:microsoft.com/office/officeart/2005/8/layout/orgChart1"/>
    <dgm:cxn modelId="{B7DFF00B-44F5-D841-85BF-DA7A7ACEF400}" type="presOf" srcId="{C2D52B37-4209-1549-AEC1-811A7304A524}" destId="{132D5C7F-6B52-F545-8917-4E9B80EA754A}" srcOrd="0" destOrd="0" presId="urn:microsoft.com/office/officeart/2005/8/layout/orgChart1"/>
    <dgm:cxn modelId="{9971DD54-B603-2642-991D-0FB9230D4246}" type="presOf" srcId="{E1B72FCD-5685-4A47-B2F4-92A7B0ABF2BA}" destId="{58C825E7-85FC-2D42-A699-7EE158852FF7}" srcOrd="0" destOrd="0" presId="urn:microsoft.com/office/officeart/2005/8/layout/orgChart1"/>
    <dgm:cxn modelId="{2247EDA9-C123-D34B-974B-5FD7F5A9218D}" type="presOf" srcId="{0D0A8EFD-5B30-2F4D-904F-5862A2E1ADD1}" destId="{B70F29AA-3DB0-F14C-868D-8B3A7C7ABBF3}" srcOrd="0" destOrd="0" presId="urn:microsoft.com/office/officeart/2005/8/layout/orgChart1"/>
    <dgm:cxn modelId="{C7CDEB79-0847-624D-A892-A3247F502A98}" type="presOf" srcId="{645E4B1D-5D09-9A45-AAA5-5A4DF8ED023D}" destId="{EA5DDD0F-EF67-E646-B402-73C4B5A5302F}" srcOrd="0" destOrd="0" presId="urn:microsoft.com/office/officeart/2005/8/layout/orgChart1"/>
    <dgm:cxn modelId="{3638706D-FC9A-FE4C-A694-F11F338AAB1E}" type="presOf" srcId="{8A441C13-C83E-E94C-ABE5-169A3E3A13C3}" destId="{6C9E259A-9EAB-B745-9B66-919A89E5342A}" srcOrd="1" destOrd="0" presId="urn:microsoft.com/office/officeart/2005/8/layout/orgChart1"/>
    <dgm:cxn modelId="{D9739591-42A3-2A47-9498-96BAF56BB007}" type="presOf" srcId="{1F17E83C-282E-6149-A392-1EBB8DF81E1D}" destId="{E13F30A0-BC72-8149-AF60-0C98AE99918E}" srcOrd="1" destOrd="0" presId="urn:microsoft.com/office/officeart/2005/8/layout/orgChart1"/>
    <dgm:cxn modelId="{D788F2AB-A782-C74B-ADAE-BB150C231C7B}" type="presOf" srcId="{1F17E83C-282E-6149-A392-1EBB8DF81E1D}" destId="{10AB5F08-996F-B94A-9012-8C945A2EFDF3}" srcOrd="0" destOrd="0" presId="urn:microsoft.com/office/officeart/2005/8/layout/orgChart1"/>
    <dgm:cxn modelId="{59312676-D70A-9840-B329-3AF710DFCD23}" type="presOf" srcId="{F0CF653B-A5A5-AF40-A1BF-9E40BA99957F}" destId="{83CA4A7C-9837-8348-B475-A78FB007031D}" srcOrd="0" destOrd="0" presId="urn:microsoft.com/office/officeart/2005/8/layout/orgChart1"/>
    <dgm:cxn modelId="{35BA79FD-72E7-364A-9EDA-283BF2C0916A}" type="presOf" srcId="{DB509A9A-7D3B-104D-AFB1-ACB9FC547384}" destId="{837F9C02-2066-B448-B1F5-23061BEC405B}" srcOrd="0" destOrd="0" presId="urn:microsoft.com/office/officeart/2005/8/layout/orgChart1"/>
    <dgm:cxn modelId="{9A904A6B-C0DD-2340-A3C2-0BF9E9993FA3}" type="presOf" srcId="{8A441C13-C83E-E94C-ABE5-169A3E3A13C3}" destId="{88290B65-50E3-FA40-B75E-2AB4A1EC25A8}" srcOrd="0" destOrd="0" presId="urn:microsoft.com/office/officeart/2005/8/layout/orgChart1"/>
    <dgm:cxn modelId="{E743F803-EA48-F748-82B0-F42D47CA395D}" srcId="{E1B72FCD-5685-4A47-B2F4-92A7B0ABF2BA}" destId="{1F17E83C-282E-6149-A392-1EBB8DF81E1D}" srcOrd="1" destOrd="0" parTransId="{DB509A9A-7D3B-104D-AFB1-ACB9FC547384}" sibTransId="{2AF95A36-F144-7940-A18E-42EF209A0896}"/>
    <dgm:cxn modelId="{0DF7270E-8B1F-3147-99BC-B3917CCAC81D}" type="presOf" srcId="{6BF78527-B1F3-114F-9187-C5841857B454}" destId="{BA6F3537-3EBA-AE47-823A-DC7B89B29C5F}" srcOrd="0" destOrd="0" presId="urn:microsoft.com/office/officeart/2005/8/layout/orgChart1"/>
    <dgm:cxn modelId="{F3F9AB07-6A82-B645-B6F6-5D379903161A}" type="presParOf" srcId="{6574FFF0-7DDE-C04F-B223-18D61B58121B}" destId="{5EF93A88-6227-DE48-A86A-77B10166B934}" srcOrd="0" destOrd="0" presId="urn:microsoft.com/office/officeart/2005/8/layout/orgChart1"/>
    <dgm:cxn modelId="{2926F64C-3F67-A545-9396-5E17A60B8979}" type="presParOf" srcId="{5EF93A88-6227-DE48-A86A-77B10166B934}" destId="{25CE6C23-F1C2-134D-846D-202078730FB4}" srcOrd="0" destOrd="0" presId="urn:microsoft.com/office/officeart/2005/8/layout/orgChart1"/>
    <dgm:cxn modelId="{A59100B0-0762-164A-BFF1-08597FC71E01}" type="presParOf" srcId="{25CE6C23-F1C2-134D-846D-202078730FB4}" destId="{58C825E7-85FC-2D42-A699-7EE158852FF7}" srcOrd="0" destOrd="0" presId="urn:microsoft.com/office/officeart/2005/8/layout/orgChart1"/>
    <dgm:cxn modelId="{75513049-03D4-524B-AA37-67624D41F4E4}" type="presParOf" srcId="{25CE6C23-F1C2-134D-846D-202078730FB4}" destId="{CF650508-43CB-4141-AE95-F9F54D9473C7}" srcOrd="1" destOrd="0" presId="urn:microsoft.com/office/officeart/2005/8/layout/orgChart1"/>
    <dgm:cxn modelId="{665E279A-66F7-EB4B-89A4-3BFCD185DD47}" type="presParOf" srcId="{5EF93A88-6227-DE48-A86A-77B10166B934}" destId="{CC536457-3575-B641-9AA1-D5246B6F3BED}" srcOrd="1" destOrd="0" presId="urn:microsoft.com/office/officeart/2005/8/layout/orgChart1"/>
    <dgm:cxn modelId="{771F29CC-6FFF-AD49-B028-F398C37328C2}" type="presParOf" srcId="{CC536457-3575-B641-9AA1-D5246B6F3BED}" destId="{837F9C02-2066-B448-B1F5-23061BEC405B}" srcOrd="0" destOrd="0" presId="urn:microsoft.com/office/officeart/2005/8/layout/orgChart1"/>
    <dgm:cxn modelId="{E087C390-EFB8-7E43-8BBC-31C215626DBF}" type="presParOf" srcId="{CC536457-3575-B641-9AA1-D5246B6F3BED}" destId="{BA683501-BEAE-9C49-B25E-440A3E2D5A26}" srcOrd="1" destOrd="0" presId="urn:microsoft.com/office/officeart/2005/8/layout/orgChart1"/>
    <dgm:cxn modelId="{FC3B16D4-A568-654C-9B34-F35BE09FD75D}" type="presParOf" srcId="{BA683501-BEAE-9C49-B25E-440A3E2D5A26}" destId="{9F0313D5-2693-3147-8A74-3D69B7F6CCA4}" srcOrd="0" destOrd="0" presId="urn:microsoft.com/office/officeart/2005/8/layout/orgChart1"/>
    <dgm:cxn modelId="{59777D5F-4550-FA49-8A36-B63E537A82C1}" type="presParOf" srcId="{9F0313D5-2693-3147-8A74-3D69B7F6CCA4}" destId="{10AB5F08-996F-B94A-9012-8C945A2EFDF3}" srcOrd="0" destOrd="0" presId="urn:microsoft.com/office/officeart/2005/8/layout/orgChart1"/>
    <dgm:cxn modelId="{F2EB4BC2-EECF-9E4A-A462-65F1964A7529}" type="presParOf" srcId="{9F0313D5-2693-3147-8A74-3D69B7F6CCA4}" destId="{E13F30A0-BC72-8149-AF60-0C98AE99918E}" srcOrd="1" destOrd="0" presId="urn:microsoft.com/office/officeart/2005/8/layout/orgChart1"/>
    <dgm:cxn modelId="{EA853FD8-3B67-8643-B54A-F5A0055812B1}" type="presParOf" srcId="{BA683501-BEAE-9C49-B25E-440A3E2D5A26}" destId="{DA16499F-0250-7041-921C-6F74CB22F520}" srcOrd="1" destOrd="0" presId="urn:microsoft.com/office/officeart/2005/8/layout/orgChart1"/>
    <dgm:cxn modelId="{9EA92F1F-F8C6-114D-ABFC-FF29B2325138}" type="presParOf" srcId="{DA16499F-0250-7041-921C-6F74CB22F520}" destId="{EA5DDD0F-EF67-E646-B402-73C4B5A5302F}" srcOrd="0" destOrd="0" presId="urn:microsoft.com/office/officeart/2005/8/layout/orgChart1"/>
    <dgm:cxn modelId="{982E47C5-42D5-4147-B8DF-8B99792EC20C}" type="presParOf" srcId="{DA16499F-0250-7041-921C-6F74CB22F520}" destId="{E2DED512-824E-074D-847B-865BCA059D44}" srcOrd="1" destOrd="0" presId="urn:microsoft.com/office/officeart/2005/8/layout/orgChart1"/>
    <dgm:cxn modelId="{1784B49D-5BBB-A542-89E6-D512684B8FDF}" type="presParOf" srcId="{E2DED512-824E-074D-847B-865BCA059D44}" destId="{5FF92C50-1CBD-5645-A276-CBB6C87F1AF1}" srcOrd="0" destOrd="0" presId="urn:microsoft.com/office/officeart/2005/8/layout/orgChart1"/>
    <dgm:cxn modelId="{489D65AF-F5FF-9940-A569-D417E1790B7C}" type="presParOf" srcId="{5FF92C50-1CBD-5645-A276-CBB6C87F1AF1}" destId="{27B427CA-D617-9349-B16E-F0B72FCE0B6A}" srcOrd="0" destOrd="0" presId="urn:microsoft.com/office/officeart/2005/8/layout/orgChart1"/>
    <dgm:cxn modelId="{C4855610-C6EC-674A-AF2F-C29EF25F0AB8}" type="presParOf" srcId="{5FF92C50-1CBD-5645-A276-CBB6C87F1AF1}" destId="{90990F67-D4A6-5C4E-B720-030A38F2F1CE}" srcOrd="1" destOrd="0" presId="urn:microsoft.com/office/officeart/2005/8/layout/orgChart1"/>
    <dgm:cxn modelId="{DF09806A-AE3B-3B4D-ACE9-900461ECF85B}" type="presParOf" srcId="{E2DED512-824E-074D-847B-865BCA059D44}" destId="{CEA91F7C-34AF-8D46-8AD9-29AA5D267270}" srcOrd="1" destOrd="0" presId="urn:microsoft.com/office/officeart/2005/8/layout/orgChart1"/>
    <dgm:cxn modelId="{CF3ACC11-32CC-EC49-8D29-3D249F3EE878}" type="presParOf" srcId="{CEA91F7C-34AF-8D46-8AD9-29AA5D267270}" destId="{132D5C7F-6B52-F545-8917-4E9B80EA754A}" srcOrd="0" destOrd="0" presId="urn:microsoft.com/office/officeart/2005/8/layout/orgChart1"/>
    <dgm:cxn modelId="{292288AC-5A6D-FF4F-8E56-AA3E4337689A}" type="presParOf" srcId="{CEA91F7C-34AF-8D46-8AD9-29AA5D267270}" destId="{76F4CD63-483B-8C41-94AE-F67A33BBAC58}" srcOrd="1" destOrd="0" presId="urn:microsoft.com/office/officeart/2005/8/layout/orgChart1"/>
    <dgm:cxn modelId="{31F0875B-2CC2-C243-9940-1299F49EEA15}" type="presParOf" srcId="{76F4CD63-483B-8C41-94AE-F67A33BBAC58}" destId="{EE4C90A5-B996-234F-93BE-C1D089FFDD09}" srcOrd="0" destOrd="0" presId="urn:microsoft.com/office/officeart/2005/8/layout/orgChart1"/>
    <dgm:cxn modelId="{A7C44C72-7A4A-7449-866E-C2694F7E4C9E}" type="presParOf" srcId="{EE4C90A5-B996-234F-93BE-C1D089FFDD09}" destId="{88290B65-50E3-FA40-B75E-2AB4A1EC25A8}" srcOrd="0" destOrd="0" presId="urn:microsoft.com/office/officeart/2005/8/layout/orgChart1"/>
    <dgm:cxn modelId="{C2212B98-BDF3-154A-8410-A938E87ABC8E}" type="presParOf" srcId="{EE4C90A5-B996-234F-93BE-C1D089FFDD09}" destId="{6C9E259A-9EAB-B745-9B66-919A89E5342A}" srcOrd="1" destOrd="0" presId="urn:microsoft.com/office/officeart/2005/8/layout/orgChart1"/>
    <dgm:cxn modelId="{22B55DAB-A2D0-6347-9889-8EC24B7B1F81}" type="presParOf" srcId="{76F4CD63-483B-8C41-94AE-F67A33BBAC58}" destId="{18A925ED-DF30-5F46-88D6-E80E0F8080A8}" srcOrd="1" destOrd="0" presId="urn:microsoft.com/office/officeart/2005/8/layout/orgChart1"/>
    <dgm:cxn modelId="{041A3447-2834-4743-B1A3-B8035CF8D3B9}" type="presParOf" srcId="{76F4CD63-483B-8C41-94AE-F67A33BBAC58}" destId="{E4FDC7AC-5C85-9043-9C7B-6AADAA644566}" srcOrd="2" destOrd="0" presId="urn:microsoft.com/office/officeart/2005/8/layout/orgChart1"/>
    <dgm:cxn modelId="{31A2D57B-2962-F94C-8A6B-E750A76E2D00}" type="presParOf" srcId="{E2DED512-824E-074D-847B-865BCA059D44}" destId="{E5E8688C-842E-5243-80FC-12DF4D41017D}" srcOrd="2" destOrd="0" presId="urn:microsoft.com/office/officeart/2005/8/layout/orgChart1"/>
    <dgm:cxn modelId="{743BEE77-2B54-BA4E-AF94-3CABEEA9A160}" type="presParOf" srcId="{DA16499F-0250-7041-921C-6F74CB22F520}" destId="{BA6F3537-3EBA-AE47-823A-DC7B89B29C5F}" srcOrd="2" destOrd="0" presId="urn:microsoft.com/office/officeart/2005/8/layout/orgChart1"/>
    <dgm:cxn modelId="{F1DD3C1D-3618-C144-9691-7AB6E97A3365}" type="presParOf" srcId="{DA16499F-0250-7041-921C-6F74CB22F520}" destId="{0096B955-E917-2141-9FE6-0C38E404148E}" srcOrd="3" destOrd="0" presId="urn:microsoft.com/office/officeart/2005/8/layout/orgChart1"/>
    <dgm:cxn modelId="{FF51C2E4-A7FA-AD43-A672-481FB4E214F1}" type="presParOf" srcId="{0096B955-E917-2141-9FE6-0C38E404148E}" destId="{E2B32984-5C05-794B-9EB9-D7767393EC18}" srcOrd="0" destOrd="0" presId="urn:microsoft.com/office/officeart/2005/8/layout/orgChart1"/>
    <dgm:cxn modelId="{345959EB-C92F-CD4D-B435-0B7456E9CE8A}" type="presParOf" srcId="{E2B32984-5C05-794B-9EB9-D7767393EC18}" destId="{368639B7-8313-BA40-8550-14C80345AA49}" srcOrd="0" destOrd="0" presId="urn:microsoft.com/office/officeart/2005/8/layout/orgChart1"/>
    <dgm:cxn modelId="{5B678F93-4778-3144-A4DB-CCB77853587A}" type="presParOf" srcId="{E2B32984-5C05-794B-9EB9-D7767393EC18}" destId="{27458AF5-108A-154A-B12C-1DE863AC31CE}" srcOrd="1" destOrd="0" presId="urn:microsoft.com/office/officeart/2005/8/layout/orgChart1"/>
    <dgm:cxn modelId="{89FFDD0D-8487-D944-B099-337083E02F83}" type="presParOf" srcId="{0096B955-E917-2141-9FE6-0C38E404148E}" destId="{3B7F664C-A8AB-2945-896E-AC28834EDC1A}" srcOrd="1" destOrd="0" presId="urn:microsoft.com/office/officeart/2005/8/layout/orgChart1"/>
    <dgm:cxn modelId="{330AA83F-67EF-8E43-A260-49CA0054D017}" type="presParOf" srcId="{0096B955-E917-2141-9FE6-0C38E404148E}" destId="{F5CB7F7A-2888-B44E-A525-055EEDA5587D}" srcOrd="2" destOrd="0" presId="urn:microsoft.com/office/officeart/2005/8/layout/orgChart1"/>
    <dgm:cxn modelId="{D97FC573-C907-F348-BC00-1A674D74E3AA}" type="presParOf" srcId="{BA683501-BEAE-9C49-B25E-440A3E2D5A26}" destId="{9D31F0FF-4116-F44C-AEA5-16E083E85354}" srcOrd="2" destOrd="0" presId="urn:microsoft.com/office/officeart/2005/8/layout/orgChart1"/>
    <dgm:cxn modelId="{3DEC2341-0638-3249-889A-F0D3C94BAD43}" type="presParOf" srcId="{5EF93A88-6227-DE48-A86A-77B10166B934}" destId="{1BEFCCB7-723C-BB47-B1FF-0A906D9D2CBF}" srcOrd="2" destOrd="0" presId="urn:microsoft.com/office/officeart/2005/8/layout/orgChart1"/>
    <dgm:cxn modelId="{67EAF3AC-B76C-9D48-AEE4-66D0EC6898AC}" type="presParOf" srcId="{1BEFCCB7-723C-BB47-B1FF-0A906D9D2CBF}" destId="{B70F29AA-3DB0-F14C-868D-8B3A7C7ABBF3}" srcOrd="0" destOrd="0" presId="urn:microsoft.com/office/officeart/2005/8/layout/orgChart1"/>
    <dgm:cxn modelId="{7A81C281-D083-0147-930F-D2976914EF2D}" type="presParOf" srcId="{1BEFCCB7-723C-BB47-B1FF-0A906D9D2CBF}" destId="{73B7FEB9-4F39-A542-8AD4-3D9D334F7F76}" srcOrd="1" destOrd="0" presId="urn:microsoft.com/office/officeart/2005/8/layout/orgChart1"/>
    <dgm:cxn modelId="{BB948DB3-6177-0E46-AEDC-9ECF74F1ED21}" type="presParOf" srcId="{73B7FEB9-4F39-A542-8AD4-3D9D334F7F76}" destId="{38091E52-480C-DB48-9F73-83EB4094A058}" srcOrd="0" destOrd="0" presId="urn:microsoft.com/office/officeart/2005/8/layout/orgChart1"/>
    <dgm:cxn modelId="{365068C3-B4FA-0E49-9CFB-E3BBC356062A}" type="presParOf" srcId="{38091E52-480C-DB48-9F73-83EB4094A058}" destId="{83CA4A7C-9837-8348-B475-A78FB007031D}" srcOrd="0" destOrd="0" presId="urn:microsoft.com/office/officeart/2005/8/layout/orgChart1"/>
    <dgm:cxn modelId="{347E32AC-65C9-8A4C-9B70-AC75DF15FA40}" type="presParOf" srcId="{38091E52-480C-DB48-9F73-83EB4094A058}" destId="{58138797-CAEB-BF41-8F06-FB6491FB789B}" srcOrd="1" destOrd="0" presId="urn:microsoft.com/office/officeart/2005/8/layout/orgChart1"/>
    <dgm:cxn modelId="{D8E1F256-E754-534B-8F3D-F01BC7B5CC85}" type="presParOf" srcId="{73B7FEB9-4F39-A542-8AD4-3D9D334F7F76}" destId="{83B69088-8C07-CA44-8285-114FBF14955F}" srcOrd="1" destOrd="0" presId="urn:microsoft.com/office/officeart/2005/8/layout/orgChart1"/>
    <dgm:cxn modelId="{9D3F6019-23BD-7E4C-86B3-C3681EC37F51}" type="presParOf" srcId="{73B7FEB9-4F39-A542-8AD4-3D9D334F7F76}" destId="{AB0CB0D7-9935-9A48-A1B9-1EF5023A2DE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0F29AA-3DB0-F14C-868D-8B3A7C7ABBF3}">
      <dsp:nvSpPr>
        <dsp:cNvPr id="0" name=""/>
        <dsp:cNvSpPr/>
      </dsp:nvSpPr>
      <dsp:spPr>
        <a:xfrm>
          <a:off x="2642640" y="479680"/>
          <a:ext cx="100559" cy="440546"/>
        </a:xfrm>
        <a:custGeom>
          <a:avLst/>
          <a:gdLst/>
          <a:ahLst/>
          <a:cxnLst/>
          <a:rect l="0" t="0" r="0" b="0"/>
          <a:pathLst>
            <a:path>
              <a:moveTo>
                <a:pt x="100559" y="0"/>
              </a:moveTo>
              <a:lnTo>
                <a:pt x="100559" y="440546"/>
              </a:lnTo>
              <a:lnTo>
                <a:pt x="0" y="4405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6F3537-3EBA-AE47-823A-DC7B89B29C5F}">
      <dsp:nvSpPr>
        <dsp:cNvPr id="0" name=""/>
        <dsp:cNvSpPr/>
      </dsp:nvSpPr>
      <dsp:spPr>
        <a:xfrm>
          <a:off x="2743200" y="1839627"/>
          <a:ext cx="579413" cy="2011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559"/>
              </a:lnTo>
              <a:lnTo>
                <a:pt x="579413" y="100559"/>
              </a:lnTo>
              <a:lnTo>
                <a:pt x="579413" y="20111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2D5C7F-6B52-F545-8917-4E9B80EA754A}">
      <dsp:nvSpPr>
        <dsp:cNvPr id="0" name=""/>
        <dsp:cNvSpPr/>
      </dsp:nvSpPr>
      <dsp:spPr>
        <a:xfrm>
          <a:off x="1780702" y="2519600"/>
          <a:ext cx="143656" cy="4405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0546"/>
              </a:lnTo>
              <a:lnTo>
                <a:pt x="143656" y="4405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5DDD0F-EF67-E646-B402-73C4B5A5302F}">
      <dsp:nvSpPr>
        <dsp:cNvPr id="0" name=""/>
        <dsp:cNvSpPr/>
      </dsp:nvSpPr>
      <dsp:spPr>
        <a:xfrm>
          <a:off x="2163786" y="1839627"/>
          <a:ext cx="579413" cy="201118"/>
        </a:xfrm>
        <a:custGeom>
          <a:avLst/>
          <a:gdLst/>
          <a:ahLst/>
          <a:cxnLst/>
          <a:rect l="0" t="0" r="0" b="0"/>
          <a:pathLst>
            <a:path>
              <a:moveTo>
                <a:pt x="579413" y="0"/>
              </a:moveTo>
              <a:lnTo>
                <a:pt x="579413" y="100559"/>
              </a:lnTo>
              <a:lnTo>
                <a:pt x="0" y="100559"/>
              </a:lnTo>
              <a:lnTo>
                <a:pt x="0" y="20111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7F9C02-2066-B448-B1F5-23061BEC405B}">
      <dsp:nvSpPr>
        <dsp:cNvPr id="0" name=""/>
        <dsp:cNvSpPr/>
      </dsp:nvSpPr>
      <dsp:spPr>
        <a:xfrm>
          <a:off x="2697480" y="479680"/>
          <a:ext cx="91440" cy="88109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8109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C825E7-85FC-2D42-A699-7EE158852FF7}">
      <dsp:nvSpPr>
        <dsp:cNvPr id="0" name=""/>
        <dsp:cNvSpPr/>
      </dsp:nvSpPr>
      <dsp:spPr>
        <a:xfrm>
          <a:off x="2264345" y="825"/>
          <a:ext cx="957708" cy="4788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28 participants  obtained Na MRI</a:t>
          </a:r>
        </a:p>
      </dsp:txBody>
      <dsp:txXfrm>
        <a:off x="2264345" y="825"/>
        <a:ext cx="957708" cy="478854"/>
      </dsp:txXfrm>
    </dsp:sp>
    <dsp:sp modelId="{10AB5F08-996F-B94A-9012-8C945A2EFDF3}">
      <dsp:nvSpPr>
        <dsp:cNvPr id="0" name=""/>
        <dsp:cNvSpPr/>
      </dsp:nvSpPr>
      <dsp:spPr>
        <a:xfrm>
          <a:off x="2264345" y="1360772"/>
          <a:ext cx="957708" cy="4788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26 participants received Na MRI</a:t>
          </a:r>
        </a:p>
      </dsp:txBody>
      <dsp:txXfrm>
        <a:off x="2264345" y="1360772"/>
        <a:ext cx="957708" cy="478854"/>
      </dsp:txXfrm>
    </dsp:sp>
    <dsp:sp modelId="{27B427CA-D617-9349-B16E-F0B72FCE0B6A}">
      <dsp:nvSpPr>
        <dsp:cNvPr id="0" name=""/>
        <dsp:cNvSpPr/>
      </dsp:nvSpPr>
      <dsp:spPr>
        <a:xfrm>
          <a:off x="1684931" y="2040746"/>
          <a:ext cx="957708" cy="4788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5 participants had 2 TE Na MRI</a:t>
          </a:r>
        </a:p>
      </dsp:txBody>
      <dsp:txXfrm>
        <a:off x="1684931" y="2040746"/>
        <a:ext cx="957708" cy="478854"/>
      </dsp:txXfrm>
    </dsp:sp>
    <dsp:sp modelId="{88290B65-50E3-FA40-B75E-2AB4A1EC25A8}">
      <dsp:nvSpPr>
        <dsp:cNvPr id="0" name=""/>
        <dsp:cNvSpPr/>
      </dsp:nvSpPr>
      <dsp:spPr>
        <a:xfrm>
          <a:off x="1924358" y="2720719"/>
          <a:ext cx="957708" cy="4788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3 of the 5 participants had 2 TE Na MRI at 2 timepoints</a:t>
          </a:r>
        </a:p>
      </dsp:txBody>
      <dsp:txXfrm>
        <a:off x="1924358" y="2720719"/>
        <a:ext cx="957708" cy="478854"/>
      </dsp:txXfrm>
    </dsp:sp>
    <dsp:sp modelId="{368639B7-8313-BA40-8550-14C80345AA49}">
      <dsp:nvSpPr>
        <dsp:cNvPr id="0" name=""/>
        <dsp:cNvSpPr/>
      </dsp:nvSpPr>
      <dsp:spPr>
        <a:xfrm>
          <a:off x="2843759" y="2040746"/>
          <a:ext cx="957708" cy="4788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8 participants received serial Na MRI</a:t>
          </a:r>
        </a:p>
      </dsp:txBody>
      <dsp:txXfrm>
        <a:off x="2843759" y="2040746"/>
        <a:ext cx="957708" cy="478854"/>
      </dsp:txXfrm>
    </dsp:sp>
    <dsp:sp modelId="{83CA4A7C-9837-8348-B475-A78FB007031D}">
      <dsp:nvSpPr>
        <dsp:cNvPr id="0" name=""/>
        <dsp:cNvSpPr/>
      </dsp:nvSpPr>
      <dsp:spPr>
        <a:xfrm>
          <a:off x="1684931" y="680799"/>
          <a:ext cx="957708" cy="4788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2 excluded with non CNS tumors</a:t>
          </a:r>
        </a:p>
      </dsp:txBody>
      <dsp:txXfrm>
        <a:off x="1684931" y="680799"/>
        <a:ext cx="957708" cy="4788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2022-02-28T06:27:00Z</dcterms:created>
  <dcterms:modified xsi:type="dcterms:W3CDTF">2022-02-28T06:27:00Z</dcterms:modified>
</cp:coreProperties>
</file>