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8572A" w14:textId="5C566DEF" w:rsidR="005B15BD" w:rsidRPr="00693946" w:rsidRDefault="005B15BD" w:rsidP="005B15BD">
      <w:pPr>
        <w:tabs>
          <w:tab w:val="left" w:pos="9360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Supplemental Methods</w:t>
      </w:r>
    </w:p>
    <w:p w14:paraId="5059F16E" w14:textId="77777777" w:rsidR="005B15BD" w:rsidRDefault="005B15BD" w:rsidP="005B15BD">
      <w:pPr>
        <w:spacing w:line="480" w:lineRule="auto"/>
        <w:jc w:val="both"/>
        <w:rPr>
          <w:rFonts w:ascii="Arial" w:hAnsi="Arial" w:cs="Arial"/>
          <w:u w:val="single"/>
        </w:rPr>
      </w:pPr>
    </w:p>
    <w:p w14:paraId="5974BEE6" w14:textId="44D5924A" w:rsidR="005B15BD" w:rsidRDefault="005B15BD" w:rsidP="005B15BD">
      <w:pPr>
        <w:spacing w:line="480" w:lineRule="auto"/>
        <w:jc w:val="both"/>
        <w:rPr>
          <w:rFonts w:ascii="Arial" w:hAnsi="Arial" w:cs="Arial"/>
        </w:rPr>
      </w:pPr>
      <w:r w:rsidRPr="00693946">
        <w:rPr>
          <w:rFonts w:ascii="Arial" w:hAnsi="Arial" w:cs="Arial"/>
          <w:u w:val="single"/>
        </w:rPr>
        <w:t xml:space="preserve">Quantification of </w:t>
      </w:r>
      <w:r>
        <w:rPr>
          <w:rFonts w:ascii="Arial" w:hAnsi="Arial" w:cs="Arial"/>
          <w:u w:val="single"/>
        </w:rPr>
        <w:t>s</w:t>
      </w:r>
      <w:r w:rsidRPr="00693946">
        <w:rPr>
          <w:rFonts w:ascii="Arial" w:hAnsi="Arial" w:cs="Arial"/>
          <w:u w:val="single"/>
        </w:rPr>
        <w:t>odium</w:t>
      </w:r>
      <w:r>
        <w:rPr>
          <w:rFonts w:ascii="Arial" w:hAnsi="Arial" w:cs="Arial"/>
          <w:u w:val="single"/>
        </w:rPr>
        <w:t xml:space="preserve"> concentration</w:t>
      </w:r>
      <w:r w:rsidRPr="00693946">
        <w:rPr>
          <w:rFonts w:ascii="Arial" w:hAnsi="Arial" w:cs="Arial"/>
        </w:rPr>
        <w:t xml:space="preserve"> </w:t>
      </w:r>
    </w:p>
    <w:p w14:paraId="6ECC52D2" w14:textId="77777777" w:rsidR="005B15BD" w:rsidRPr="00693946" w:rsidRDefault="005B15BD" w:rsidP="005B15BD">
      <w:pPr>
        <w:spacing w:line="480" w:lineRule="auto"/>
        <w:ind w:firstLine="720"/>
        <w:jc w:val="both"/>
        <w:rPr>
          <w:rFonts w:ascii="Arial" w:hAnsi="Arial" w:cs="Arial"/>
        </w:rPr>
      </w:pPr>
      <w:r w:rsidRPr="00693946">
        <w:rPr>
          <w:rFonts w:ascii="Arial" w:hAnsi="Arial" w:cs="Arial"/>
        </w:rPr>
        <w:t>An integrated linear calibration on the short-T</w:t>
      </w:r>
      <w:r w:rsidRPr="00320C15">
        <w:rPr>
          <w:rFonts w:ascii="Arial" w:hAnsi="Arial" w:cs="Arial"/>
          <w:vertAlign w:val="subscript"/>
        </w:rPr>
        <w:t>2</w:t>
      </w:r>
      <w:r w:rsidRPr="00693946">
        <w:rPr>
          <w:rFonts w:ascii="Arial" w:hAnsi="Arial" w:cs="Arial"/>
          <w:position w:val="-4"/>
        </w:rPr>
        <w:t xml:space="preserve"> </w:t>
      </w:r>
      <w:r w:rsidRPr="00693946">
        <w:rPr>
          <w:rFonts w:ascii="Arial" w:hAnsi="Arial" w:cs="Arial"/>
        </w:rPr>
        <w:t>image and TE</w:t>
      </w:r>
      <w:r w:rsidRPr="00693946">
        <w:rPr>
          <w:rFonts w:ascii="Arial" w:hAnsi="Arial" w:cs="Arial"/>
          <w:position w:val="-4"/>
        </w:rPr>
        <w:t xml:space="preserve">1 </w:t>
      </w:r>
      <w:r w:rsidRPr="00693946">
        <w:rPr>
          <w:rFonts w:ascii="Arial" w:hAnsi="Arial" w:cs="Arial"/>
        </w:rPr>
        <w:t xml:space="preserve">image is used to quantify the bound sodium concentration </w:t>
      </w:r>
      <w:r>
        <w:rPr>
          <w:rFonts w:ascii="Arial" w:hAnsi="Arial" w:cs="Arial"/>
        </w:rPr>
        <w:t>and</w:t>
      </w:r>
      <w:r w:rsidRPr="00693946">
        <w:rPr>
          <w:rFonts w:ascii="Arial" w:hAnsi="Arial" w:cs="Arial"/>
        </w:rPr>
        <w:t xml:space="preserve"> total sodium concentration</w:t>
      </w:r>
      <w:r>
        <w:rPr>
          <w:rFonts w:ascii="Arial" w:hAnsi="Arial" w:cs="Arial"/>
        </w:rPr>
        <w:t>, respectively.</w:t>
      </w:r>
      <w:r w:rsidRPr="00693946">
        <w:rPr>
          <w:rFonts w:ascii="Arial" w:hAnsi="Arial" w:cs="Arial"/>
        </w:rPr>
        <w:t xml:space="preserve">  </w:t>
      </w:r>
    </w:p>
    <w:bookmarkStart w:id="0" w:name="_Hlk58606458"/>
    <w:p w14:paraId="2F923741" w14:textId="77777777" w:rsidR="005B15BD" w:rsidRDefault="005B15BD" w:rsidP="005B15BD">
      <w:pPr>
        <w:tabs>
          <w:tab w:val="left" w:pos="9360"/>
        </w:tabs>
        <w:spacing w:before="100" w:beforeAutospacing="1" w:line="480" w:lineRule="auto"/>
        <w:jc w:val="both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total</m:t>
            </m:r>
          </m:sub>
        </m:sSub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fr</m:t>
            </m:r>
          </m:sub>
        </m:sSub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I</m:t>
                </m:r>
              </m:e>
              <m:sub>
                <m:r>
                  <w:rPr>
                    <w:rFonts w:ascii="Cambria Math" w:hAnsi="Cambria Math" w:cs="Arial"/>
                  </w:rPr>
                  <m:t>TE1</m:t>
                </m:r>
              </m:sub>
            </m:sSub>
            <m:r>
              <w:rPr>
                <w:rFonts w:ascii="Cambria Math" w:hAnsi="Cambria Math" w:cs="Arial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I</m:t>
                    </m:r>
                  </m:e>
                </m:acc>
              </m:e>
              <m:sub>
                <m:r>
                  <w:rPr>
                    <w:rFonts w:ascii="Cambria Math" w:hAnsi="Cambria Math" w:cs="Arial"/>
                  </w:rPr>
                  <m:t>noise, TE1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I</m:t>
                    </m:r>
                  </m:e>
                </m:acc>
              </m:e>
              <m:sub>
                <m:r>
                  <w:rPr>
                    <w:rFonts w:ascii="Cambria Math" w:hAnsi="Cambria Math" w:cs="Arial"/>
                  </w:rPr>
                  <m:t>fr, TE1</m:t>
                </m:r>
              </m:sub>
            </m:sSub>
            <m:r>
              <w:rPr>
                <w:rFonts w:ascii="Cambria Math" w:hAnsi="Cambria Math" w:cs="Arial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I</m:t>
                    </m:r>
                  </m:e>
                </m:acc>
              </m:e>
              <m:sub>
                <m:r>
                  <w:rPr>
                    <w:rFonts w:ascii="Cambria Math" w:hAnsi="Cambria Math" w:cs="Arial"/>
                  </w:rPr>
                  <m:t>noise, TE1</m:t>
                </m:r>
              </m:sub>
            </m:sSub>
          </m:den>
        </m:f>
      </m:oMath>
      <w:r>
        <w:rPr>
          <w:rFonts w:ascii="Arial" w:eastAsiaTheme="minorEastAsia" w:hAnsi="Arial" w:cs="Arial"/>
        </w:rPr>
        <w:t xml:space="preserve">          (1)</w:t>
      </w:r>
      <w:bookmarkEnd w:id="0"/>
    </w:p>
    <w:p w14:paraId="175E80EC" w14:textId="77777777" w:rsidR="005B15BD" w:rsidRDefault="005B15BD" w:rsidP="005B15BD">
      <w:pPr>
        <w:spacing w:before="100" w:beforeAutospacing="1" w:line="480" w:lineRule="auto"/>
        <w:rPr>
          <w:rFonts w:ascii="Arial" w:hAnsi="Arial" w:cs="Arial"/>
        </w:rPr>
      </w:pPr>
      <w:r w:rsidRPr="00693946">
        <w:rPr>
          <w:rFonts w:ascii="Arial" w:hAnsi="Arial" w:cs="Arial"/>
        </w:rPr>
        <w:t xml:space="preserve">Here </w:t>
      </w:r>
      <w:proofErr w:type="spellStart"/>
      <w:r w:rsidRPr="00693946">
        <w:rPr>
          <w:rFonts w:ascii="Arial" w:hAnsi="Arial" w:cs="Arial"/>
          <w:i/>
          <w:iCs/>
        </w:rPr>
        <w:t>C</w:t>
      </w:r>
      <w:r w:rsidRPr="00693946">
        <w:rPr>
          <w:rFonts w:ascii="Arial" w:hAnsi="Arial" w:cs="Arial"/>
          <w:i/>
          <w:iCs/>
          <w:vertAlign w:val="subscript"/>
        </w:rPr>
        <w:t>total</w:t>
      </w:r>
      <w:proofErr w:type="spellEnd"/>
      <w:r w:rsidRPr="00693946">
        <w:rPr>
          <w:rFonts w:ascii="Arial" w:hAnsi="Arial" w:cs="Arial"/>
          <w:i/>
          <w:iCs/>
        </w:rPr>
        <w:t xml:space="preserve"> </w:t>
      </w:r>
      <w:r w:rsidRPr="00693946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the total sodium concentration</w:t>
      </w:r>
      <w:r w:rsidRPr="00693946">
        <w:rPr>
          <w:rFonts w:ascii="Arial" w:hAnsi="Arial" w:cs="Arial"/>
        </w:rPr>
        <w:t xml:space="preserve">, and </w:t>
      </w:r>
      <w:proofErr w:type="spellStart"/>
      <w:r w:rsidRPr="00693946">
        <w:rPr>
          <w:rFonts w:ascii="Arial" w:hAnsi="Arial" w:cs="Arial"/>
          <w:i/>
          <w:iCs/>
        </w:rPr>
        <w:t>C</w:t>
      </w:r>
      <w:r w:rsidRPr="00693946">
        <w:rPr>
          <w:rFonts w:ascii="Arial" w:hAnsi="Arial" w:cs="Arial"/>
          <w:i/>
          <w:iCs/>
          <w:vertAlign w:val="subscript"/>
        </w:rPr>
        <w:t>fr</w:t>
      </w:r>
      <w:proofErr w:type="spellEnd"/>
      <w:r>
        <w:rPr>
          <w:rFonts w:ascii="Arial" w:hAnsi="Arial" w:cs="Arial"/>
        </w:rPr>
        <w:t xml:space="preserve"> is the free sodium </w:t>
      </w:r>
      <w:r w:rsidRPr="00693946">
        <w:rPr>
          <w:rFonts w:ascii="Arial" w:hAnsi="Arial" w:cs="Arial"/>
        </w:rPr>
        <w:t xml:space="preserve">concentration </w:t>
      </w:r>
      <w:r>
        <w:rPr>
          <w:rFonts w:ascii="Arial" w:hAnsi="Arial" w:cs="Arial"/>
        </w:rPr>
        <w:t xml:space="preserve">known </w:t>
      </w:r>
      <w:r w:rsidRPr="00693946">
        <w:rPr>
          <w:rFonts w:ascii="Arial" w:hAnsi="Arial" w:cs="Arial"/>
        </w:rPr>
        <w:t xml:space="preserve">in a </w:t>
      </w:r>
      <w:r>
        <w:rPr>
          <w:rFonts w:ascii="Arial" w:hAnsi="Arial" w:cs="Arial"/>
        </w:rPr>
        <w:t>voxel</w:t>
      </w:r>
      <w:r w:rsidRPr="00693946">
        <w:rPr>
          <w:rFonts w:ascii="Arial" w:hAnsi="Arial" w:cs="Arial"/>
        </w:rPr>
        <w:t xml:space="preserve"> of purely free sodium</w:t>
      </w:r>
      <w:r>
        <w:rPr>
          <w:rFonts w:ascii="Arial" w:hAnsi="Arial" w:cs="Arial"/>
        </w:rPr>
        <w:t>,</w:t>
      </w:r>
      <w:r w:rsidRPr="00693946">
        <w:rPr>
          <w:rFonts w:ascii="Arial" w:hAnsi="Arial" w:cs="Arial"/>
        </w:rPr>
        <w:t xml:space="preserve"> such as 145 mM in human cerebrospinal fluid. </w:t>
      </w:r>
      <w:r w:rsidRPr="00693946">
        <w:rPr>
          <w:rFonts w:ascii="Arial" w:hAnsi="Arial" w:cs="Arial"/>
          <w:i/>
          <w:iCs/>
        </w:rPr>
        <w:t>I</w:t>
      </w:r>
      <w:r w:rsidRPr="00693946">
        <w:rPr>
          <w:rFonts w:ascii="Arial" w:hAnsi="Arial" w:cs="Arial"/>
          <w:i/>
          <w:iCs/>
          <w:vertAlign w:val="subscript"/>
        </w:rPr>
        <w:t>TE1</w:t>
      </w:r>
      <w:r w:rsidRPr="00693946">
        <w:rPr>
          <w:rFonts w:ascii="Arial" w:hAnsi="Arial" w:cs="Arial"/>
        </w:rPr>
        <w:t xml:space="preserve"> is the </w:t>
      </w:r>
      <w:r>
        <w:rPr>
          <w:rFonts w:ascii="Arial" w:hAnsi="Arial" w:cs="Arial"/>
        </w:rPr>
        <w:t xml:space="preserve">image </w:t>
      </w:r>
      <w:r w:rsidRPr="00693946">
        <w:rPr>
          <w:rFonts w:ascii="Arial" w:hAnsi="Arial" w:cs="Arial"/>
        </w:rPr>
        <w:t xml:space="preserve">intensity </w:t>
      </w:r>
      <w:r>
        <w:rPr>
          <w:rFonts w:ascii="Arial" w:hAnsi="Arial" w:cs="Arial"/>
        </w:rPr>
        <w:t>at</w:t>
      </w:r>
      <w:r w:rsidRPr="006939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Pr="00693946">
        <w:rPr>
          <w:rFonts w:ascii="Arial" w:hAnsi="Arial" w:cs="Arial"/>
        </w:rPr>
        <w:t>pixel o</w:t>
      </w:r>
      <w:r>
        <w:rPr>
          <w:rFonts w:ascii="Arial" w:hAnsi="Arial" w:cs="Arial"/>
        </w:rPr>
        <w:t>n</w:t>
      </w:r>
      <w:r w:rsidRPr="00693946">
        <w:rPr>
          <w:rFonts w:ascii="Arial" w:hAnsi="Arial" w:cs="Arial"/>
        </w:rPr>
        <w:t xml:space="preserve"> TE</w:t>
      </w:r>
      <w:r w:rsidRPr="00320C15">
        <w:rPr>
          <w:rFonts w:ascii="Arial" w:hAnsi="Arial"/>
          <w:vertAlign w:val="subscript"/>
        </w:rPr>
        <w:t>1</w:t>
      </w:r>
      <w:r w:rsidRPr="00693946">
        <w:rPr>
          <w:rFonts w:ascii="Arial" w:hAnsi="Arial" w:cs="Arial"/>
        </w:rPr>
        <w:t xml:space="preserve"> image, and </w:t>
      </w:r>
      <w:proofErr w:type="gramStart"/>
      <w:r w:rsidRPr="00693946">
        <w:rPr>
          <w:rFonts w:ascii="Arial" w:hAnsi="Arial" w:cs="Arial"/>
          <w:i/>
          <w:iCs/>
        </w:rPr>
        <w:t>Ī</w:t>
      </w:r>
      <w:r w:rsidRPr="00693946">
        <w:rPr>
          <w:rFonts w:ascii="Arial" w:hAnsi="Arial" w:cs="Arial"/>
          <w:i/>
          <w:iCs/>
          <w:vertAlign w:val="subscript"/>
        </w:rPr>
        <w:t>noise,TE</w:t>
      </w:r>
      <w:proofErr w:type="gramEnd"/>
      <w:r w:rsidRPr="00693946">
        <w:rPr>
          <w:rFonts w:ascii="Arial" w:hAnsi="Arial" w:cs="Arial"/>
          <w:i/>
          <w:iCs/>
          <w:vertAlign w:val="subscript"/>
        </w:rPr>
        <w:t>1</w:t>
      </w:r>
      <w:r w:rsidRPr="00693946">
        <w:rPr>
          <w:rFonts w:ascii="Arial" w:hAnsi="Arial" w:cs="Arial"/>
        </w:rPr>
        <w:t xml:space="preserve"> is the mean intensity of noise-only </w:t>
      </w:r>
      <w:r>
        <w:rPr>
          <w:rFonts w:ascii="Arial" w:hAnsi="Arial" w:cs="Arial"/>
        </w:rPr>
        <w:t>ROI</w:t>
      </w:r>
      <w:r w:rsidRPr="00693946">
        <w:rPr>
          <w:rFonts w:ascii="Arial" w:hAnsi="Arial" w:cs="Arial"/>
        </w:rPr>
        <w:t xml:space="preserve"> in TE</w:t>
      </w:r>
      <w:r w:rsidRPr="00320C15">
        <w:rPr>
          <w:rFonts w:ascii="Arial" w:hAnsi="Arial"/>
          <w:vertAlign w:val="subscript"/>
        </w:rPr>
        <w:t xml:space="preserve">1 </w:t>
      </w:r>
      <w:r w:rsidRPr="00693946">
        <w:rPr>
          <w:rFonts w:ascii="Arial" w:hAnsi="Arial" w:cs="Arial"/>
        </w:rPr>
        <w:t xml:space="preserve">image.  </w:t>
      </w:r>
      <w:proofErr w:type="gramStart"/>
      <w:r w:rsidRPr="00693946">
        <w:rPr>
          <w:rFonts w:ascii="Arial" w:hAnsi="Arial" w:cs="Arial"/>
          <w:i/>
          <w:iCs/>
        </w:rPr>
        <w:t>Ī</w:t>
      </w:r>
      <w:r w:rsidRPr="00693946">
        <w:rPr>
          <w:rFonts w:ascii="Arial" w:hAnsi="Arial" w:cs="Arial"/>
          <w:i/>
          <w:iCs/>
          <w:vertAlign w:val="subscript"/>
        </w:rPr>
        <w:t>fr,TE</w:t>
      </w:r>
      <w:proofErr w:type="gramEnd"/>
      <w:r w:rsidRPr="00693946">
        <w:rPr>
          <w:rFonts w:ascii="Arial" w:hAnsi="Arial" w:cs="Arial"/>
          <w:i/>
          <w:iCs/>
          <w:vertAlign w:val="subscript"/>
        </w:rPr>
        <w:t>1</w:t>
      </w:r>
      <w:r w:rsidRPr="00693946">
        <w:rPr>
          <w:rFonts w:ascii="Arial" w:hAnsi="Arial" w:cs="Arial"/>
          <w:vertAlign w:val="subscript"/>
        </w:rPr>
        <w:t xml:space="preserve"> </w:t>
      </w:r>
      <w:r w:rsidRPr="00693946">
        <w:rPr>
          <w:rFonts w:ascii="Arial" w:hAnsi="Arial" w:cs="Arial"/>
        </w:rPr>
        <w:t>is T</w:t>
      </w:r>
      <w:r w:rsidRPr="00693946">
        <w:rPr>
          <w:rFonts w:ascii="Arial" w:hAnsi="Arial" w:cs="Arial"/>
          <w:vertAlign w:val="subscript"/>
        </w:rPr>
        <w:t>1</w:t>
      </w:r>
      <w:r w:rsidRPr="00693946">
        <w:rPr>
          <w:rFonts w:ascii="Arial" w:hAnsi="Arial" w:cs="Arial"/>
        </w:rPr>
        <w:t>-saturation corrected mean intensity of pixel</w:t>
      </w:r>
      <w:r>
        <w:rPr>
          <w:rFonts w:ascii="Arial" w:hAnsi="Arial" w:cs="Arial"/>
        </w:rPr>
        <w:t>s</w:t>
      </w:r>
      <w:r w:rsidRPr="00693946">
        <w:rPr>
          <w:rFonts w:ascii="Arial" w:hAnsi="Arial" w:cs="Arial"/>
        </w:rPr>
        <w:t xml:space="preserve"> from a free sodium region of known concentration </w:t>
      </w:r>
      <w:r>
        <w:rPr>
          <w:rFonts w:ascii="Arial" w:hAnsi="Arial" w:cs="Arial"/>
        </w:rPr>
        <w:t>o</w:t>
      </w:r>
      <w:r w:rsidRPr="00693946">
        <w:rPr>
          <w:rFonts w:ascii="Arial" w:hAnsi="Arial" w:cs="Arial"/>
        </w:rPr>
        <w:t>n the TE</w:t>
      </w:r>
      <w:r w:rsidRPr="00320C15">
        <w:rPr>
          <w:rFonts w:ascii="Arial" w:hAnsi="Arial"/>
          <w:vertAlign w:val="subscript"/>
        </w:rPr>
        <w:t>1</w:t>
      </w:r>
      <w:r w:rsidRPr="00693946">
        <w:rPr>
          <w:rFonts w:ascii="Arial" w:hAnsi="Arial" w:cs="Arial"/>
        </w:rPr>
        <w:t xml:space="preserve"> image.  </w:t>
      </w:r>
    </w:p>
    <w:p w14:paraId="1F849C14" w14:textId="77777777" w:rsidR="005B15BD" w:rsidRDefault="005B15BD" w:rsidP="005B15BD">
      <w:pPr>
        <w:spacing w:before="100" w:beforeAutospacing="1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dual-TE sodium images were used to quantitatively separate between the motion-restricted (or bound) and motion-free (or free) sodium at individual voxels using a two-compartment model, based on their difference in T</w:t>
      </w:r>
      <w:r w:rsidRPr="00320C15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relaxation</w:t>
      </w:r>
      <w:r>
        <w:rPr>
          <w:rFonts w:ascii="Arial" w:hAnsi="Arial" w:cs="Arial"/>
        </w:rPr>
        <w:fldChar w:fldCharType="begin">
          <w:fldData xml:space="preserve">PEVuZE5vdGU+PENpdGU+PEF1dGhvcj5RaWFuPC9BdXRob3I+PFllYXI+MjAxNTwvWWVhcj48UmVj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</w:fldData>
        </w:fldChar>
      </w:r>
      <w:r>
        <w:rPr>
          <w:rFonts w:ascii="Arial" w:hAnsi="Arial" w:cs="Arial"/>
        </w:rPr>
        <w:instrText xml:space="preserve"> ADDIN EN.CITE </w:instrText>
      </w:r>
      <w:r>
        <w:rPr>
          <w:rFonts w:ascii="Arial" w:hAnsi="Arial" w:cs="Arial"/>
        </w:rPr>
        <w:fldChar w:fldCharType="begin">
          <w:fldData xml:space="preserve">PEVuZE5vdGU+PENpdGU+PEF1dGhvcj5RaWFuPC9BdXRob3I+PFllYXI+MjAxNTwvWWVhcj48UmVj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</w:fldData>
        </w:fldChar>
      </w:r>
      <w:r>
        <w:rPr>
          <w:rFonts w:ascii="Arial" w:hAnsi="Arial" w:cs="Arial"/>
        </w:rPr>
        <w:instrText xml:space="preserve"> ADDIN EN.CITE.DATA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F4047D">
        <w:rPr>
          <w:rFonts w:ascii="Arial" w:hAnsi="Arial" w:cs="Arial"/>
          <w:noProof/>
          <w:vertAlign w:val="superscript"/>
        </w:rPr>
        <w:t>9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. Sodium nuclei have a spin of 3/2, different from 1/2 for proton (</w:t>
      </w:r>
      <w:r w:rsidRPr="00320C15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H) nuclei, and thus have bi-exponential decay in T</w:t>
      </w:r>
      <w:r w:rsidRPr="00320C15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relaxation: short-T</w:t>
      </w:r>
      <w:r w:rsidRPr="00320C15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(~3ms) decay with 60% of total intensity and long-T</w:t>
      </w:r>
      <w:r w:rsidRPr="00320C15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(~15–50ms) decay with 40% intensity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EN.CITE &lt;EndNote&gt;&lt;Cite&gt;&lt;Author&gt;Boada&lt;/Author&gt;&lt;Year&gt;1997&lt;/Year&gt;&lt;RecNum&gt;6461&lt;/RecNum&gt;&lt;DisplayText&gt;&lt;style face="superscript"&gt;8&lt;/style&gt;&lt;/DisplayText&gt;&lt;record&gt;&lt;rec-number&gt;6461&lt;/rec-number&gt;&lt;foreign-keys&gt;&lt;key app="EN" db-id="tpfxwvef4rza5devp5evers4tpzf55dwx2df" timestamp="1619569577" guid="110d5f2e-29a3-45d1-99fd-0a84fd7527bf"&gt;6461&lt;/key&gt;&lt;/foreign-keys&gt;&lt;ref-type name="Journal Article"&gt;17&lt;/ref-type&gt;&lt;contributors&gt;&lt;authors&gt;&lt;author&gt;Boada, F. E.&lt;/author&gt;&lt;author&gt;Gillen, J. S.&lt;/author&gt;&lt;author&gt;Shen, G. X.&lt;/author&gt;&lt;author&gt;Chang, S. Y.&lt;/author&gt;&lt;author&gt;Thulborn, K. R.&lt;/author&gt;&lt;/authors&gt;&lt;/contributors&gt;&lt;auth-address&gt;Department of Radiology, University of Pittsburgh Medical Center, Pennsylvania 15213, USA.&lt;/auth-address&gt;&lt;titles&gt;&lt;title&gt;Fast three dimensional sodium imaging&lt;/title&gt;&lt;secondary-title&gt;Magn Reson Med&lt;/secondary-title&gt;&lt;/titles&gt;&lt;periodical&gt;&lt;full-title&gt;Magn Reson Med&lt;/full-title&gt;&lt;/periodical&gt;&lt;pages&gt;706-15&lt;/pages&gt;&lt;volume&gt;37&lt;/volume&gt;&lt;number&gt;5&lt;/number&gt;&lt;edition&gt;1997/05/01&lt;/edition&gt;&lt;keywords&gt;&lt;keyword&gt;Computer Simulation&lt;/keyword&gt;&lt;keyword&gt;Humans&lt;/keyword&gt;&lt;keyword&gt;Magnetic Resonance Imaging/*methods&lt;/keyword&gt;&lt;keyword&gt;Phantoms, Imaging&lt;/keyword&gt;&lt;keyword&gt;Sodium/*metabolism&lt;/keyword&gt;&lt;/keywords&gt;&lt;dates&gt;&lt;year&gt;1997&lt;/year&gt;&lt;pub-dates&gt;&lt;date&gt;May&lt;/date&gt;&lt;/pub-dates&gt;&lt;/dates&gt;&lt;isbn&gt;0740-3194 (Print)&amp;#xD;0740-3194&lt;/isbn&gt;&lt;accession-num&gt;9126944&lt;/accession-num&gt;&lt;urls&gt;&lt;/urls&gt;&lt;electronic-resource-num&gt;10.1002/mrm.1910370512&lt;/electronic-resource-num&gt;&lt;remote-database-provider&gt;NLM&lt;/remote-database-provider&gt;&lt;language&gt;eng&lt;/language&gt;&lt;/record&gt;&lt;/Cite&gt;&lt;/EndNote&gt;</w:instrText>
      </w:r>
      <w:r>
        <w:rPr>
          <w:rFonts w:ascii="Arial" w:hAnsi="Arial" w:cs="Arial"/>
        </w:rPr>
        <w:fldChar w:fldCharType="separate"/>
      </w:r>
      <w:r w:rsidRPr="00F4047D">
        <w:rPr>
          <w:rFonts w:ascii="Arial" w:hAnsi="Arial" w:cs="Arial"/>
          <w:noProof/>
          <w:vertAlign w:val="superscript"/>
        </w:rPr>
        <w:t>8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When sodium ions move fast (relative to Larmor frequency, </w:t>
      </w:r>
      <w:r w:rsidRPr="0085207A">
        <w:rPr>
          <w:rFonts w:ascii="Arial" w:hAnsi="Arial" w:cs="Arial"/>
          <w:i/>
        </w:rPr>
        <w:t>f</w:t>
      </w:r>
      <w:r w:rsidRPr="0085207A"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>) and freely (spatially isotropic) in extracellular space in the brain, the sodium nuclear spins only show mono-exponential long T</w:t>
      </w:r>
      <w:r w:rsidRPr="00320C15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decay. When moving slowly in intracellular space and being in a gradient electrical field of negatively charged intracellular macromolecules and proteins, the sodium nuclear spins show bi-exponential T</w:t>
      </w:r>
      <w:r w:rsidRPr="00320C15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decay. Although a</w:t>
      </w:r>
      <w:r w:rsidRPr="00693946">
        <w:rPr>
          <w:rFonts w:ascii="Arial" w:hAnsi="Arial" w:cs="Arial"/>
        </w:rPr>
        <w:t xml:space="preserve">ccurate </w:t>
      </w:r>
      <w:r w:rsidRPr="00693946">
        <w:rPr>
          <w:rFonts w:ascii="Arial" w:hAnsi="Arial" w:cs="Arial"/>
        </w:rPr>
        <w:lastRenderedPageBreak/>
        <w:t xml:space="preserve">quantification of bound sodium concentration </w:t>
      </w:r>
      <w:r>
        <w:rPr>
          <w:rFonts w:ascii="Arial" w:hAnsi="Arial" w:cs="Arial"/>
        </w:rPr>
        <w:t xml:space="preserve">(BSC) </w:t>
      </w:r>
      <w:r w:rsidRPr="00693946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challenging</w:t>
      </w:r>
      <w:r w:rsidRPr="00693946">
        <w:rPr>
          <w:rFonts w:ascii="Arial" w:hAnsi="Arial" w:cs="Arial"/>
        </w:rPr>
        <w:t xml:space="preserve"> due to lack of measurement of volumetric fraction in a voxel</w:t>
      </w:r>
      <w:r>
        <w:rPr>
          <w:rFonts w:ascii="Arial" w:hAnsi="Arial" w:cs="Arial"/>
        </w:rPr>
        <w:t>, a</w:t>
      </w:r>
      <w:r w:rsidRPr="00693946">
        <w:rPr>
          <w:rFonts w:ascii="Arial" w:hAnsi="Arial" w:cs="Arial"/>
        </w:rPr>
        <w:t xml:space="preserve"> volume-fraction weighted bound sodium concentration (</w:t>
      </w:r>
      <w:proofErr w:type="spellStart"/>
      <w:r>
        <w:rPr>
          <w:rFonts w:ascii="Arial" w:hAnsi="Arial" w:cs="Arial"/>
        </w:rPr>
        <w:t>v</w:t>
      </w:r>
      <w:r w:rsidRPr="00693946">
        <w:rPr>
          <w:rFonts w:ascii="Arial" w:hAnsi="Arial" w:cs="Arial"/>
        </w:rPr>
        <w:t>BSC</w:t>
      </w:r>
      <w:proofErr w:type="spellEnd"/>
      <w:r w:rsidRPr="0069394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is quantified in this study by following the procedure developed in our previous work</w:t>
      </w:r>
      <w:r>
        <w:rPr>
          <w:rFonts w:ascii="Arial" w:hAnsi="Arial" w:cs="Arial"/>
        </w:rPr>
        <w:fldChar w:fldCharType="begin">
          <w:fldData xml:space="preserve">PEVuZE5vdGU+PENpdGU+PEF1dGhvcj5RaWFuPC9BdXRob3I+PFllYXI+MjAxNTwvWWVhcj48UmVj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</w:fldData>
        </w:fldChar>
      </w:r>
      <w:r>
        <w:rPr>
          <w:rFonts w:ascii="Arial" w:hAnsi="Arial" w:cs="Arial"/>
        </w:rPr>
        <w:instrText xml:space="preserve"> ADDIN EN.CITE </w:instrText>
      </w:r>
      <w:r>
        <w:rPr>
          <w:rFonts w:ascii="Arial" w:hAnsi="Arial" w:cs="Arial"/>
        </w:rPr>
        <w:fldChar w:fldCharType="begin">
          <w:fldData xml:space="preserve">PEVuZE5vdGU+PENpdGU+PEF1dGhvcj5RaWFuPC9BdXRob3I+PFllYXI+MjAxNTwvWWVhcj48UmVj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</w:fldData>
        </w:fldChar>
      </w:r>
      <w:r>
        <w:rPr>
          <w:rFonts w:ascii="Arial" w:hAnsi="Arial" w:cs="Arial"/>
        </w:rPr>
        <w:instrText xml:space="preserve"> ADDIN EN.CITE.DATA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F4047D">
        <w:rPr>
          <w:rFonts w:ascii="Arial" w:hAnsi="Arial" w:cs="Arial"/>
          <w:noProof/>
          <w:vertAlign w:val="superscript"/>
        </w:rPr>
        <w:t>9</w:t>
      </w:r>
      <w:r>
        <w:rPr>
          <w:rFonts w:ascii="Arial" w:hAnsi="Arial" w:cs="Arial"/>
        </w:rPr>
        <w:fldChar w:fldCharType="end"/>
      </w:r>
      <w:r w:rsidRPr="00693946">
        <w:rPr>
          <w:rFonts w:ascii="Arial" w:hAnsi="Arial" w:cs="Arial"/>
        </w:rPr>
        <w:t xml:space="preserve">. </w:t>
      </w:r>
    </w:p>
    <w:p w14:paraId="3D64638A" w14:textId="77777777" w:rsidR="005B15BD" w:rsidRDefault="005B15BD" w:rsidP="005B15BD">
      <w:pPr>
        <w:tabs>
          <w:tab w:val="left" w:pos="9360"/>
        </w:tabs>
        <w:spacing w:before="100" w:beforeAutospacing="1" w:line="480" w:lineRule="auto"/>
        <w:jc w:val="both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vb</m:t>
            </m:r>
          </m:sub>
        </m:sSub>
        <m:r>
          <w:rPr>
            <w:rFonts w:ascii="Cambria Math" w:hAnsi="Cambria Math" w:cs="Arial"/>
          </w:rPr>
          <m:t xml:space="preserve">= 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</w:rPr>
                  <m:t>fr</m:t>
                </m:r>
              </m:sub>
            </m:sSub>
          </m:num>
          <m:den>
            <m:r>
              <w:rPr>
                <w:rFonts w:ascii="Cambria Math" w:hAnsi="Cambria Math" w:cs="Arial"/>
              </w:rPr>
              <m:t>g∙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a</m:t>
                </m:r>
              </m:e>
              <m:sub>
                <m:r>
                  <w:rPr>
                    <w:rFonts w:ascii="Cambria Math" w:hAnsi="Cambria Math" w:cs="Arial"/>
                  </w:rPr>
                  <m:t>b,S</m:t>
                </m:r>
              </m:sub>
            </m:sSub>
          </m:den>
        </m:f>
        <m:r>
          <w:rPr>
            <w:rFonts w:ascii="Cambria Math" w:hAnsi="Cambria Math" w:cs="Arial"/>
          </w:rPr>
          <m:t xml:space="preserve"> ∙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I</m:t>
                </m:r>
              </m:e>
              <m:sub>
                <m:r>
                  <w:rPr>
                    <w:rFonts w:ascii="Cambria Math" w:hAnsi="Cambria Math" w:cs="Arial"/>
                  </w:rPr>
                  <m:t>ST2</m:t>
                </m:r>
              </m:sub>
            </m:sSub>
            <m:r>
              <w:rPr>
                <w:rFonts w:ascii="Cambria Math" w:hAnsi="Cambria Math" w:cs="Arial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I</m:t>
                    </m:r>
                  </m:e>
                </m:acc>
              </m:e>
              <m:sub>
                <m:r>
                  <w:rPr>
                    <w:rFonts w:ascii="Cambria Math" w:hAnsi="Cambria Math" w:cs="Arial"/>
                  </w:rPr>
                  <m:t>noise, ST2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I</m:t>
                    </m:r>
                  </m:e>
                </m:acc>
              </m:e>
              <m:sub>
                <m:r>
                  <w:rPr>
                    <w:rFonts w:ascii="Cambria Math" w:hAnsi="Cambria Math" w:cs="Arial"/>
                  </w:rPr>
                  <m:t>fr, TE1</m:t>
                </m:r>
              </m:sub>
            </m:sSub>
            <m:r>
              <w:rPr>
                <w:rFonts w:ascii="Cambria Math" w:hAnsi="Cambria Math" w:cs="Arial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I</m:t>
                    </m:r>
                  </m:e>
                </m:acc>
              </m:e>
              <m:sub>
                <m:r>
                  <w:rPr>
                    <w:rFonts w:ascii="Cambria Math" w:hAnsi="Cambria Math" w:cs="Arial"/>
                  </w:rPr>
                  <m:t>noise,ST2</m:t>
                </m:r>
              </m:sub>
            </m:sSub>
          </m:den>
        </m:f>
      </m:oMath>
      <w:r>
        <w:rPr>
          <w:rFonts w:ascii="Arial" w:eastAsiaTheme="minorEastAsia" w:hAnsi="Arial" w:cs="Arial"/>
        </w:rPr>
        <w:t xml:space="preserve">           (2</w:t>
      </w:r>
      <w:r>
        <w:rPr>
          <w:rFonts w:ascii="Arial" w:hAnsi="Arial" w:cs="Arial"/>
        </w:rPr>
        <w:t>)</w:t>
      </w:r>
    </w:p>
    <w:p w14:paraId="4F4B686B" w14:textId="77777777" w:rsidR="005B15BD" w:rsidRDefault="005B15BD" w:rsidP="005B15BD">
      <w:pPr>
        <w:tabs>
          <w:tab w:val="left" w:pos="9360"/>
        </w:tabs>
        <w:spacing w:before="100" w:beforeAutospacing="1" w:line="480" w:lineRule="auto"/>
        <w:rPr>
          <w:rFonts w:ascii="Arial" w:hAnsi="Arial" w:cs="Arial"/>
        </w:rPr>
      </w:pPr>
      <w:r w:rsidRPr="00693946">
        <w:rPr>
          <w:rFonts w:ascii="Arial" w:hAnsi="Arial" w:cs="Arial"/>
        </w:rPr>
        <w:t xml:space="preserve">Here </w:t>
      </w:r>
      <w:proofErr w:type="spellStart"/>
      <w:r w:rsidRPr="00693946">
        <w:rPr>
          <w:rFonts w:ascii="Arial" w:hAnsi="Arial" w:cs="Arial"/>
          <w:i/>
          <w:iCs/>
        </w:rPr>
        <w:t>C</w:t>
      </w:r>
      <w:r w:rsidRPr="00693946">
        <w:rPr>
          <w:rFonts w:ascii="Arial" w:hAnsi="Arial" w:cs="Arial"/>
          <w:i/>
          <w:iCs/>
          <w:vertAlign w:val="subscript"/>
        </w:rPr>
        <w:t>vb</w:t>
      </w:r>
      <w:proofErr w:type="spellEnd"/>
      <w:r w:rsidRPr="00693946">
        <w:rPr>
          <w:rFonts w:ascii="Arial" w:hAnsi="Arial" w:cs="Arial"/>
          <w:i/>
          <w:iCs/>
        </w:rPr>
        <w:t xml:space="preserve"> </w:t>
      </w:r>
      <w:r w:rsidRPr="00693946">
        <w:rPr>
          <w:rFonts w:ascii="Arial" w:hAnsi="Arial" w:cs="Arial"/>
        </w:rPr>
        <w:t xml:space="preserve">is </w:t>
      </w:r>
      <w:proofErr w:type="spellStart"/>
      <w:r w:rsidRPr="00693946">
        <w:rPr>
          <w:rFonts w:ascii="Arial" w:hAnsi="Arial" w:cs="Arial"/>
        </w:rPr>
        <w:t>vBSC</w:t>
      </w:r>
      <w:proofErr w:type="spellEnd"/>
      <w:r w:rsidRPr="00693946">
        <w:rPr>
          <w:rFonts w:ascii="Arial" w:hAnsi="Arial" w:cs="Arial"/>
        </w:rPr>
        <w:t xml:space="preserve">. </w:t>
      </w:r>
      <w:r w:rsidRPr="00693946">
        <w:rPr>
          <w:rFonts w:ascii="Arial" w:hAnsi="Arial" w:cs="Arial"/>
          <w:i/>
          <w:iCs/>
        </w:rPr>
        <w:t>I</w:t>
      </w:r>
      <w:r w:rsidRPr="00693946">
        <w:rPr>
          <w:rFonts w:ascii="Arial" w:hAnsi="Arial" w:cs="Arial"/>
          <w:i/>
          <w:iCs/>
          <w:vertAlign w:val="subscript"/>
        </w:rPr>
        <w:t>ST2</w:t>
      </w:r>
      <w:r w:rsidRPr="00693946">
        <w:rPr>
          <w:rFonts w:ascii="Arial" w:hAnsi="Arial" w:cs="Arial"/>
        </w:rPr>
        <w:t xml:space="preserve"> is intensity of </w:t>
      </w:r>
      <w:r>
        <w:rPr>
          <w:rFonts w:ascii="Arial" w:hAnsi="Arial" w:cs="Arial"/>
        </w:rPr>
        <w:t xml:space="preserve">a </w:t>
      </w:r>
      <w:r w:rsidRPr="00693946">
        <w:rPr>
          <w:rFonts w:ascii="Arial" w:hAnsi="Arial" w:cs="Arial"/>
        </w:rPr>
        <w:t xml:space="preserve">pixel </w:t>
      </w:r>
      <w:r>
        <w:rPr>
          <w:rFonts w:ascii="Arial" w:hAnsi="Arial" w:cs="Arial"/>
        </w:rPr>
        <w:t>on the</w:t>
      </w:r>
      <w:r w:rsidRPr="006939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short-T</w:t>
      </w:r>
      <w:r w:rsidRPr="00320C15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(or bound) sodium</w:t>
      </w:r>
      <w:r w:rsidRPr="00693946">
        <w:rPr>
          <w:rFonts w:ascii="Arial" w:hAnsi="Arial" w:cs="Arial"/>
        </w:rPr>
        <w:t xml:space="preserve"> image</w:t>
      </w:r>
      <w:r>
        <w:rPr>
          <w:rFonts w:ascii="Arial" w:hAnsi="Arial" w:cs="Arial"/>
        </w:rPr>
        <w:t xml:space="preserve"> which is the subtraction of TE</w:t>
      </w:r>
      <w:r w:rsidRPr="0085207A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image from TE</w:t>
      </w:r>
      <w:r w:rsidRPr="0085207A">
        <w:rPr>
          <w:rFonts w:ascii="Arial" w:hAnsi="Arial" w:cs="Arial"/>
          <w:vertAlign w:val="subscript"/>
        </w:rPr>
        <w:t>1</w:t>
      </w:r>
      <w:r>
        <w:rPr>
          <w:rFonts w:ascii="Arial" w:hAnsi="Arial" w:cs="Arial"/>
        </w:rPr>
        <w:t xml:space="preserve"> image</w:t>
      </w:r>
      <w:r w:rsidRPr="00693946">
        <w:rPr>
          <w:rFonts w:ascii="Arial" w:hAnsi="Arial" w:cs="Arial"/>
        </w:rPr>
        <w:t xml:space="preserve">, and </w:t>
      </w:r>
      <w:proofErr w:type="gramStart"/>
      <w:r w:rsidRPr="00693946">
        <w:rPr>
          <w:rFonts w:ascii="Arial" w:hAnsi="Arial" w:cs="Arial"/>
          <w:i/>
          <w:iCs/>
        </w:rPr>
        <w:t>Ī</w:t>
      </w:r>
      <w:r w:rsidRPr="00693946">
        <w:rPr>
          <w:rFonts w:ascii="Arial" w:hAnsi="Arial" w:cs="Arial"/>
          <w:i/>
          <w:iCs/>
          <w:vertAlign w:val="subscript"/>
        </w:rPr>
        <w:t>noise,ST</w:t>
      </w:r>
      <w:proofErr w:type="gramEnd"/>
      <w:r w:rsidRPr="00693946">
        <w:rPr>
          <w:rFonts w:ascii="Arial" w:hAnsi="Arial" w:cs="Arial"/>
          <w:i/>
          <w:iCs/>
          <w:vertAlign w:val="subscript"/>
        </w:rPr>
        <w:t>2</w:t>
      </w:r>
      <w:r w:rsidRPr="00693946">
        <w:rPr>
          <w:rFonts w:ascii="Arial" w:hAnsi="Arial" w:cs="Arial"/>
        </w:rPr>
        <w:t xml:space="preserve"> is the mean intensity of a noise-only </w:t>
      </w:r>
      <w:r>
        <w:rPr>
          <w:rFonts w:ascii="Arial" w:hAnsi="Arial" w:cs="Arial"/>
        </w:rPr>
        <w:t>ROI</w:t>
      </w:r>
      <w:r w:rsidRPr="00693946">
        <w:rPr>
          <w:rFonts w:ascii="Arial" w:hAnsi="Arial" w:cs="Arial"/>
        </w:rPr>
        <w:t xml:space="preserve"> in th</w:t>
      </w:r>
      <w:r>
        <w:rPr>
          <w:rFonts w:ascii="Arial" w:hAnsi="Arial" w:cs="Arial"/>
        </w:rPr>
        <w:t>e short-T</w:t>
      </w:r>
      <w:r w:rsidRPr="00320C15">
        <w:rPr>
          <w:rFonts w:ascii="Arial" w:hAnsi="Arial" w:cs="Arial"/>
          <w:vertAlign w:val="subscript"/>
        </w:rPr>
        <w:t>2</w:t>
      </w:r>
      <w:r w:rsidRPr="00693946">
        <w:rPr>
          <w:rFonts w:ascii="Arial" w:hAnsi="Arial" w:cs="Arial"/>
        </w:rPr>
        <w:t xml:space="preserve"> image. </w:t>
      </w:r>
      <w:r>
        <w:rPr>
          <w:rFonts w:ascii="Arial" w:hAnsi="Arial" w:cs="Arial"/>
        </w:rPr>
        <w:t>g is t</w:t>
      </w:r>
      <w:r w:rsidRPr="00693946">
        <w:rPr>
          <w:rFonts w:ascii="Arial" w:hAnsi="Arial" w:cs="Arial"/>
        </w:rPr>
        <w:t>he gain of short-T</w:t>
      </w:r>
      <w:r w:rsidRPr="00693946">
        <w:rPr>
          <w:rFonts w:ascii="Arial" w:hAnsi="Arial" w:cs="Arial"/>
          <w:vertAlign w:val="subscript"/>
        </w:rPr>
        <w:t>2</w:t>
      </w:r>
      <w:r w:rsidRPr="00693946">
        <w:rPr>
          <w:rFonts w:ascii="Arial" w:hAnsi="Arial" w:cs="Arial"/>
        </w:rPr>
        <w:t xml:space="preserve"> imaging over a range of short T</w:t>
      </w:r>
      <w:r w:rsidRPr="00693946">
        <w:rPr>
          <w:rFonts w:ascii="Arial" w:hAnsi="Arial" w:cs="Arial"/>
          <w:vertAlign w:val="subscript"/>
        </w:rPr>
        <w:t>2</w:t>
      </w:r>
      <w:r w:rsidRPr="00693946">
        <w:rPr>
          <w:rFonts w:ascii="Arial" w:hAnsi="Arial" w:cs="Arial"/>
        </w:rPr>
        <w:t xml:space="preserve"> values of interest</w:t>
      </w:r>
      <w:r>
        <w:rPr>
          <w:rFonts w:ascii="Arial" w:hAnsi="Arial" w:cs="Arial"/>
        </w:rPr>
        <w:t xml:space="preserve">, and </w:t>
      </w:r>
      <w:proofErr w:type="spellStart"/>
      <w:proofErr w:type="gramStart"/>
      <w:r w:rsidRPr="00320C15">
        <w:rPr>
          <w:rFonts w:ascii="Arial" w:hAnsi="Arial" w:cs="Arial"/>
          <w:i/>
        </w:rPr>
        <w:t>a</w:t>
      </w:r>
      <w:r w:rsidRPr="00320C15">
        <w:rPr>
          <w:rFonts w:ascii="Arial" w:hAnsi="Arial" w:cs="Arial"/>
          <w:vertAlign w:val="subscript"/>
        </w:rPr>
        <w:t>b,s</w:t>
      </w:r>
      <w:proofErr w:type="spellEnd"/>
      <w:proofErr w:type="gramEnd"/>
      <w:r>
        <w:rPr>
          <w:rFonts w:ascii="Arial" w:hAnsi="Arial" w:cs="Arial"/>
        </w:rPr>
        <w:t xml:space="preserve"> is 0.6 for the relative intensity of short-T</w:t>
      </w:r>
      <w:r w:rsidRPr="00320C15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component of bound sodium</w:t>
      </w:r>
      <w:r w:rsidRPr="0069394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773A8FB7" w14:textId="77777777" w:rsidR="005B15BD" w:rsidRDefault="005B15BD" w:rsidP="005B15BD">
      <w:pPr>
        <w:spacing w:before="100" w:beforeAutospacing="1" w:line="480" w:lineRule="auto"/>
        <w:ind w:firstLine="720"/>
        <w:jc w:val="both"/>
        <w:rPr>
          <w:rFonts w:ascii="Arial" w:hAnsi="Arial" w:cs="Arial"/>
        </w:rPr>
      </w:pPr>
      <w:r w:rsidRPr="005B15BD">
        <w:rPr>
          <w:rFonts w:ascii="Arial" w:hAnsi="Arial" w:cs="Arial"/>
          <w:b/>
          <w:bCs/>
        </w:rPr>
        <w:t>Serial analysis:</w:t>
      </w:r>
      <w:r w:rsidRPr="006939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693946">
        <w:rPr>
          <w:rFonts w:ascii="Arial" w:hAnsi="Arial" w:cs="Arial"/>
        </w:rPr>
        <w:t xml:space="preserve">erial sodium images </w:t>
      </w:r>
      <w:r>
        <w:rPr>
          <w:rFonts w:ascii="Arial" w:hAnsi="Arial" w:cs="Arial"/>
        </w:rPr>
        <w:t xml:space="preserve">at different time points </w:t>
      </w:r>
      <w:r w:rsidRPr="00693946">
        <w:rPr>
          <w:rFonts w:ascii="Arial" w:hAnsi="Arial" w:cs="Arial"/>
        </w:rPr>
        <w:t xml:space="preserve">were compared to the </w:t>
      </w:r>
      <w:r>
        <w:rPr>
          <w:rFonts w:ascii="Arial" w:hAnsi="Arial" w:cs="Arial"/>
        </w:rPr>
        <w:t>initial Na MRI</w:t>
      </w:r>
      <w:r w:rsidRPr="00693946">
        <w:rPr>
          <w:rFonts w:ascii="Arial" w:hAnsi="Arial" w:cs="Arial"/>
        </w:rPr>
        <w:t xml:space="preserve"> scan (or to the </w:t>
      </w:r>
      <w:r>
        <w:rPr>
          <w:rFonts w:ascii="Arial" w:hAnsi="Arial" w:cs="Arial"/>
        </w:rPr>
        <w:t xml:space="preserve">most recent </w:t>
      </w:r>
      <w:r w:rsidRPr="00693946">
        <w:rPr>
          <w:rFonts w:ascii="Arial" w:hAnsi="Arial" w:cs="Arial"/>
        </w:rPr>
        <w:t xml:space="preserve">prior </w:t>
      </w:r>
      <w:r w:rsidRPr="00F042C6">
        <w:rPr>
          <w:rFonts w:ascii="Arial" w:hAnsi="Arial" w:cs="Arial"/>
          <w:vertAlign w:val="superscript"/>
        </w:rPr>
        <w:t>23</w:t>
      </w:r>
      <w:r w:rsidRPr="00F042C6">
        <w:rPr>
          <w:rFonts w:ascii="Arial" w:hAnsi="Arial" w:cs="Arial"/>
        </w:rPr>
        <w:t>Na</w:t>
      </w:r>
      <w:r w:rsidDel="00FA17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MRI scans</w:t>
      </w:r>
      <w:r w:rsidRPr="00693946">
        <w:rPr>
          <w:rFonts w:ascii="Arial" w:hAnsi="Arial" w:cs="Arial"/>
        </w:rPr>
        <w:t xml:space="preserve"> for the two cases with multiple </w:t>
      </w:r>
      <w:r>
        <w:rPr>
          <w:rFonts w:ascii="Arial" w:hAnsi="Arial" w:cs="Arial"/>
        </w:rPr>
        <w:t>follow-up</w:t>
      </w:r>
      <w:r w:rsidRPr="00693946">
        <w:rPr>
          <w:rFonts w:ascii="Arial" w:hAnsi="Arial" w:cs="Arial"/>
        </w:rPr>
        <w:t xml:space="preserve"> scans) and the difference </w:t>
      </w:r>
      <w:r>
        <w:rPr>
          <w:rFonts w:ascii="Arial" w:hAnsi="Arial" w:cs="Arial"/>
        </w:rPr>
        <w:t>in</w:t>
      </w:r>
      <w:r w:rsidRPr="00693946">
        <w:rPr>
          <w:rFonts w:ascii="Arial" w:hAnsi="Arial" w:cs="Arial"/>
        </w:rPr>
        <w:t xml:space="preserve"> total sodium concentration </w:t>
      </w:r>
      <w:r>
        <w:rPr>
          <w:rFonts w:ascii="Arial" w:hAnsi="Arial" w:cs="Arial"/>
        </w:rPr>
        <w:t>(TSC) or bound sodium concentration (</w:t>
      </w:r>
      <w:proofErr w:type="spellStart"/>
      <w:r>
        <w:rPr>
          <w:rFonts w:ascii="Arial" w:hAnsi="Arial" w:cs="Arial"/>
        </w:rPr>
        <w:t>vBSC</w:t>
      </w:r>
      <w:proofErr w:type="spellEnd"/>
      <w:r>
        <w:rPr>
          <w:rFonts w:ascii="Arial" w:hAnsi="Arial" w:cs="Arial"/>
        </w:rPr>
        <w:t xml:space="preserve">) for those who underwent dual-TE imaging </w:t>
      </w:r>
      <w:r w:rsidRPr="00693946">
        <w:rPr>
          <w:rFonts w:ascii="Arial" w:hAnsi="Arial" w:cs="Arial"/>
        </w:rPr>
        <w:t xml:space="preserve">was calculated. These differences </w:t>
      </w:r>
      <w:r>
        <w:rPr>
          <w:rFonts w:ascii="Arial" w:hAnsi="Arial" w:cs="Arial"/>
        </w:rPr>
        <w:t>for</w:t>
      </w:r>
      <w:r w:rsidRPr="00693946">
        <w:rPr>
          <w:rFonts w:ascii="Arial" w:hAnsi="Arial" w:cs="Arial"/>
        </w:rPr>
        <w:t xml:space="preserve"> each participant were then </w:t>
      </w:r>
      <w:r>
        <w:rPr>
          <w:rFonts w:ascii="Arial" w:hAnsi="Arial" w:cs="Arial"/>
        </w:rPr>
        <w:t>normalized by</w:t>
      </w:r>
      <w:r w:rsidRPr="00693946">
        <w:rPr>
          <w:rFonts w:ascii="Arial" w:hAnsi="Arial" w:cs="Arial"/>
        </w:rPr>
        <w:t xml:space="preserve"> the standard deviations of their tumor sodium measurements to </w:t>
      </w:r>
      <w:r>
        <w:rPr>
          <w:rFonts w:ascii="Arial" w:hAnsi="Arial" w:cs="Arial"/>
        </w:rPr>
        <w:t>define</w:t>
      </w:r>
      <w:r w:rsidRPr="00693946">
        <w:rPr>
          <w:rFonts w:ascii="Arial" w:hAnsi="Arial" w:cs="Arial"/>
        </w:rPr>
        <w:t xml:space="preserve"> individual change</w:t>
      </w:r>
      <w:r>
        <w:rPr>
          <w:rFonts w:ascii="Arial" w:hAnsi="Arial" w:cs="Arial"/>
        </w:rPr>
        <w:t>s</w:t>
      </w:r>
      <w:r w:rsidRPr="0069394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As an exploratory analysis, TSC changes on serial MRIs were compared to tumor volumes measured on concurrent conventional MRIs. </w:t>
      </w:r>
      <w:r w:rsidRPr="00693946">
        <w:rPr>
          <w:rFonts w:ascii="Arial" w:hAnsi="Arial" w:cs="Arial"/>
        </w:rPr>
        <w:t xml:space="preserve">The serial </w:t>
      </w:r>
      <w:r>
        <w:rPr>
          <w:rFonts w:ascii="Arial" w:hAnsi="Arial" w:cs="Arial"/>
        </w:rPr>
        <w:t xml:space="preserve">quantitative </w:t>
      </w:r>
      <w:r w:rsidRPr="00693946">
        <w:rPr>
          <w:rFonts w:ascii="Arial" w:hAnsi="Arial" w:cs="Arial"/>
        </w:rPr>
        <w:t>change in TSC</w:t>
      </w:r>
      <w:r>
        <w:rPr>
          <w:rFonts w:ascii="Arial" w:hAnsi="Arial" w:cs="Arial"/>
        </w:rPr>
        <w:t xml:space="preserve"> and BSC</w:t>
      </w:r>
      <w:r w:rsidRPr="006939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[i.e., </w:t>
      </w:r>
      <w:r w:rsidRPr="00693946">
        <w:rPr>
          <w:rFonts w:ascii="Arial" w:hAnsi="Arial" w:cs="Arial"/>
        </w:rPr>
        <w:t xml:space="preserve">no change, increase, </w:t>
      </w:r>
      <w:r>
        <w:rPr>
          <w:rFonts w:ascii="Arial" w:hAnsi="Arial" w:cs="Arial"/>
        </w:rPr>
        <w:t xml:space="preserve">and </w:t>
      </w:r>
      <w:r w:rsidRPr="00693946">
        <w:rPr>
          <w:rFonts w:ascii="Arial" w:hAnsi="Arial" w:cs="Arial"/>
        </w:rPr>
        <w:t>decrease</w:t>
      </w:r>
      <w:r>
        <w:rPr>
          <w:rFonts w:ascii="Arial" w:hAnsi="Arial" w:cs="Arial"/>
        </w:rPr>
        <w:t xml:space="preserve">, based </w:t>
      </w:r>
      <w:r w:rsidRPr="007A72B1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>the unit of</w:t>
      </w:r>
      <w:r w:rsidRPr="007A72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one standard deviation (</w:t>
      </w:r>
      <w:r w:rsidRPr="007A72B1">
        <w:rPr>
          <w:rFonts w:ascii="Arial" w:hAnsi="Arial" w:cs="Arial"/>
        </w:rPr>
        <w:t>SD</w:t>
      </w:r>
      <w:r>
        <w:rPr>
          <w:rFonts w:ascii="Arial" w:hAnsi="Arial" w:cs="Arial"/>
        </w:rPr>
        <w:t>)</w:t>
      </w:r>
      <w:r w:rsidRPr="007A72B1">
        <w:rPr>
          <w:rFonts w:ascii="Arial" w:hAnsi="Arial" w:cs="Arial"/>
        </w:rPr>
        <w:t>]</w:t>
      </w:r>
      <w:r w:rsidRPr="00693946">
        <w:rPr>
          <w:rFonts w:ascii="Arial" w:hAnsi="Arial" w:cs="Arial"/>
        </w:rPr>
        <w:t xml:space="preserve"> was</w:t>
      </w:r>
      <w:r>
        <w:rPr>
          <w:rFonts w:ascii="Arial" w:hAnsi="Arial" w:cs="Arial"/>
        </w:rPr>
        <w:t xml:space="preserve"> correlated with: (1) concurrent tumor volume as measured on T2/FLAIR imaging; and (2) concurrent </w:t>
      </w:r>
      <w:r w:rsidRPr="00693946">
        <w:rPr>
          <w:rFonts w:ascii="Arial" w:hAnsi="Arial" w:cs="Arial"/>
        </w:rPr>
        <w:t>conventional MRI radiographic</w:t>
      </w:r>
      <w:r>
        <w:rPr>
          <w:rFonts w:ascii="Arial" w:hAnsi="Arial" w:cs="Arial"/>
        </w:rPr>
        <w:t xml:space="preserve"> response [based on standard clinical interpretation by two board-certified pediatric neuroradiologists which included </w:t>
      </w:r>
      <w:r>
        <w:rPr>
          <w:rFonts w:ascii="Arial" w:hAnsi="Arial" w:cs="Arial"/>
        </w:rPr>
        <w:lastRenderedPageBreak/>
        <w:t xml:space="preserve">assessment of tumor size and signal intensity change on T2/FLAIR, post-contrast T1 and diffusion imaging].  </w:t>
      </w:r>
    </w:p>
    <w:p w14:paraId="2BD860FC" w14:textId="77777777" w:rsidR="007B73B9" w:rsidRDefault="007B73B9"/>
    <w:sectPr w:rsidR="007B7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00D05"/>
    <w:rsid w:val="005112FC"/>
    <w:rsid w:val="005B15BD"/>
    <w:rsid w:val="007B73B9"/>
    <w:rsid w:val="00AB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9F498A"/>
  <w15:chartTrackingRefBased/>
  <w15:docId w15:val="{87D85D0A-C390-1848-8374-4CED05A0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5BD"/>
    <w:rPr>
      <w:rFonts w:ascii="Times New Roman" w:eastAsia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Hoodwin</dc:creator>
  <cp:keywords/>
  <dc:description/>
  <cp:lastModifiedBy>Albert Hoodwin</cp:lastModifiedBy>
  <cp:revision>2</cp:revision>
  <dcterms:created xsi:type="dcterms:W3CDTF">2021-10-27T03:35:00Z</dcterms:created>
  <dcterms:modified xsi:type="dcterms:W3CDTF">2021-10-27T03:35:00Z</dcterms:modified>
</cp:coreProperties>
</file>