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818B26" w14:textId="77777777" w:rsidR="00D114A6" w:rsidRPr="00BE15AA" w:rsidRDefault="00D114A6" w:rsidP="00D114A6">
      <w:pPr>
        <w:pStyle w:val="Heading2"/>
        <w:spacing w:line="480" w:lineRule="auto"/>
        <w:rPr>
          <w:b/>
        </w:rPr>
      </w:pPr>
      <w:r w:rsidRPr="00BE15AA">
        <w:rPr>
          <w:b/>
        </w:rPr>
        <w:t>Statistical analysis</w:t>
      </w:r>
    </w:p>
    <w:p w14:paraId="2BC4150F" w14:textId="77777777" w:rsidR="00D114A6" w:rsidRPr="00BE15AA" w:rsidRDefault="00D114A6" w:rsidP="00D114A6">
      <w:pPr>
        <w:widowControl w:val="0"/>
        <w:autoSpaceDE w:val="0"/>
        <w:autoSpaceDN w:val="0"/>
        <w:spacing w:line="480" w:lineRule="auto"/>
        <w:rPr>
          <w:color w:val="000000"/>
          <w:szCs w:val="24"/>
        </w:rPr>
      </w:pPr>
      <w:r w:rsidRPr="00BE15AA">
        <w:rPr>
          <w:color w:val="000000"/>
          <w:szCs w:val="24"/>
        </w:rPr>
        <w:t xml:space="preserve">Based on the probability additive formula </w:t>
      </w:r>
      <w:r w:rsidRPr="00BE15AA">
        <w:rPr>
          <w:color w:val="000000"/>
          <w:szCs w:val="24"/>
        </w:rPr>
        <w:fldChar w:fldCharType="begin">
          <w:fldData xml:space="preserve">PEVuZE5vdGU+PENpdGU+PEF1dGhvcj5ZdWFuPC9BdXRob3I+PFllYXI+MjAxNDwvWWVhcj48UmVj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</w:fldData>
        </w:fldChar>
      </w:r>
      <w:r w:rsidRPr="00BE15AA">
        <w:rPr>
          <w:color w:val="000000"/>
          <w:szCs w:val="24"/>
        </w:rPr>
        <w:instrText xml:space="preserve"> ADDIN EN.CITE </w:instrText>
      </w:r>
      <w:r w:rsidRPr="00BE15AA">
        <w:rPr>
          <w:color w:val="000000"/>
          <w:szCs w:val="24"/>
        </w:rPr>
        <w:fldChar w:fldCharType="begin">
          <w:fldData xml:space="preserve">PEVuZE5vdGU+PENpdGU+PEF1dGhvcj5ZdWFuPC9BdXRob3I+PFllYXI+MjAxNDwvWWVhcj48UmVj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</w:fldData>
        </w:fldChar>
      </w:r>
      <w:r w:rsidRPr="00BE15AA">
        <w:rPr>
          <w:color w:val="000000"/>
          <w:szCs w:val="24"/>
        </w:rPr>
        <w:instrText xml:space="preserve"> ADDIN EN.CITE.DATA </w:instrText>
      </w:r>
      <w:r w:rsidRPr="00BE15AA">
        <w:rPr>
          <w:color w:val="000000"/>
          <w:szCs w:val="24"/>
        </w:rPr>
      </w:r>
      <w:r w:rsidRPr="00BE15AA">
        <w:rPr>
          <w:color w:val="000000"/>
          <w:szCs w:val="24"/>
        </w:rPr>
        <w:fldChar w:fldCharType="end"/>
      </w:r>
      <w:r w:rsidRPr="00BE15AA">
        <w:rPr>
          <w:color w:val="000000"/>
          <w:szCs w:val="24"/>
        </w:rPr>
        <w:fldChar w:fldCharType="separate"/>
      </w:r>
      <w:r w:rsidRPr="00BE15AA">
        <w:rPr>
          <w:noProof/>
          <w:color w:val="000000"/>
          <w:szCs w:val="24"/>
        </w:rPr>
        <w:t>[</w:t>
      </w:r>
      <w:hyperlink w:anchor="_ENREF_12" w:tooltip="Yuan, 2014 #504" w:history="1">
        <w:r w:rsidRPr="00BE15AA">
          <w:rPr>
            <w:noProof/>
            <w:color w:val="000000"/>
            <w:szCs w:val="24"/>
          </w:rPr>
          <w:t>12</w:t>
        </w:r>
      </w:hyperlink>
      <w:r w:rsidRPr="00BE15AA">
        <w:rPr>
          <w:noProof/>
          <w:color w:val="000000"/>
          <w:szCs w:val="24"/>
        </w:rPr>
        <w:t xml:space="preserve">, </w:t>
      </w:r>
      <w:hyperlink w:anchor="_ENREF_14" w:tooltip="Yuan, 2019 #503" w:history="1">
        <w:r w:rsidRPr="00BE15AA">
          <w:rPr>
            <w:noProof/>
            <w:color w:val="000000"/>
            <w:szCs w:val="24"/>
          </w:rPr>
          <w:t>14</w:t>
        </w:r>
      </w:hyperlink>
      <w:r w:rsidRPr="00BE15AA">
        <w:rPr>
          <w:noProof/>
          <w:color w:val="000000"/>
          <w:szCs w:val="24"/>
        </w:rPr>
        <w:t>]</w:t>
      </w:r>
      <w:r w:rsidRPr="00BE15AA">
        <w:rPr>
          <w:color w:val="000000"/>
          <w:szCs w:val="24"/>
        </w:rPr>
        <w:fldChar w:fldCharType="end"/>
      </w:r>
      <w:r w:rsidRPr="00BE15AA">
        <w:rPr>
          <w:color w:val="000000"/>
          <w:szCs w:val="24"/>
        </w:rPr>
        <w:t>, an abridge life table</w:t>
      </w:r>
      <w:r w:rsidRPr="00BE15AA">
        <w:rPr>
          <w:rFonts w:hint="eastAsia"/>
          <w:color w:val="000000"/>
          <w:szCs w:val="24"/>
        </w:rPr>
        <w:t xml:space="preserve"> </w:t>
      </w:r>
      <w:r w:rsidRPr="00BE15AA">
        <w:rPr>
          <w:color w:val="000000"/>
          <w:szCs w:val="24"/>
        </w:rPr>
        <w:fldChar w:fldCharType="begin"/>
      </w:r>
      <w:r w:rsidRPr="00BE15AA">
        <w:rPr>
          <w:color w:val="000000"/>
          <w:szCs w:val="24"/>
        </w:rPr>
        <w:instrText xml:space="preserve"> ADDIN EN.CITE &lt;EndNote&gt;&lt;Cite&gt;&lt;Author&gt;Sun&lt;/Author&gt;&lt;Year&gt;2006&lt;/Year&gt;&lt;RecNum&gt;72&lt;/RecNum&gt;&lt;DisplayText&gt;[9]&lt;/DisplayText&gt;&lt;record&gt;&lt;rec-number&gt;72&lt;/rec-number&gt;&lt;foreign-keys&gt;&lt;key app="EN" db-id="vtdzw2wzr5vpeeezrxjvfs2j205220sp0p92" timestamp="1552317510"&gt;72&lt;/key&gt;&lt;/foreign-keys&gt;&lt;ref-type name="Journal Article"&gt;17&lt;/ref-type&gt;&lt;contributors&gt;&lt;authors&gt;&lt;author&gt;Sun, Zhenqiu.&lt;/author&gt;&lt;author&gt;Xu, yongyong.&lt;/author&gt;&lt;/authors&gt;&lt;/contributors&gt;&lt;titles&gt;&lt;title&gt;Health Medical Statistics&lt;/title&gt;&lt;secondary-title&gt;Beijing: People &amp;apos;s Health Publishing House&lt;/secondary-title&gt;&lt;/titles&gt;&lt;periodical&gt;&lt;full-title&gt;Beijing: People &amp;apos;s Health Publishing House&lt;/full-title&gt;&lt;/periodical&gt;&lt;pages&gt;p. 377-381&lt;/pages&gt;&lt;dates&gt;&lt;year&gt;2006&lt;/year&gt;&lt;/dates&gt;&lt;urls&gt;&lt;/urls&gt;&lt;/record&gt;&lt;/Cite&gt;&lt;/EndNote&gt;</w:instrText>
      </w:r>
      <w:r w:rsidRPr="00BE15AA">
        <w:rPr>
          <w:color w:val="000000"/>
          <w:szCs w:val="24"/>
        </w:rPr>
        <w:fldChar w:fldCharType="separate"/>
      </w:r>
      <w:r w:rsidRPr="00BE15AA">
        <w:rPr>
          <w:noProof/>
          <w:color w:val="000000"/>
          <w:szCs w:val="24"/>
        </w:rPr>
        <w:t>[</w:t>
      </w:r>
      <w:hyperlink w:anchor="_ENREF_9" w:tooltip="Sun, 2006 #72" w:history="1">
        <w:r w:rsidRPr="00BE15AA">
          <w:rPr>
            <w:noProof/>
            <w:color w:val="000000"/>
            <w:szCs w:val="24"/>
          </w:rPr>
          <w:t>9</w:t>
        </w:r>
      </w:hyperlink>
      <w:r w:rsidRPr="00BE15AA">
        <w:rPr>
          <w:noProof/>
          <w:color w:val="000000"/>
          <w:szCs w:val="24"/>
        </w:rPr>
        <w:t>]</w:t>
      </w:r>
      <w:r w:rsidRPr="00BE15AA">
        <w:rPr>
          <w:color w:val="000000"/>
          <w:szCs w:val="24"/>
        </w:rPr>
        <w:fldChar w:fldCharType="end"/>
      </w:r>
      <w:r w:rsidRPr="00BE15AA">
        <w:rPr>
          <w:color w:val="000000"/>
          <w:szCs w:val="24"/>
        </w:rPr>
        <w:t xml:space="preserve"> was used to calculate the LDPs for the five </w:t>
      </w:r>
      <w:bookmarkStart w:id="0" w:name="_Hlk35552834"/>
      <w:r w:rsidRPr="00BE15AA">
        <w:rPr>
          <w:color w:val="000000"/>
          <w:szCs w:val="24"/>
        </w:rPr>
        <w:t>leading causes of disease.</w:t>
      </w:r>
      <w:bookmarkEnd w:id="0"/>
      <w:r w:rsidRPr="00BE15AA">
        <w:rPr>
          <w:color w:val="000000"/>
          <w:szCs w:val="24"/>
        </w:rPr>
        <w:t xml:space="preserve"> The series of formulas is as follows:</w:t>
      </w:r>
    </w:p>
    <w:p w14:paraId="1C68BBA4" w14:textId="77777777" w:rsidR="00D114A6" w:rsidRPr="00BE15AA" w:rsidRDefault="00D114A6" w:rsidP="00D114A6">
      <w:pPr>
        <w:jc w:val="center"/>
        <w:rPr>
          <w:color w:val="000000"/>
          <w:szCs w:val="24"/>
        </w:rPr>
      </w:pPr>
      <w:r w:rsidRPr="00BE15AA">
        <w:rPr>
          <w:noProof/>
          <w:color w:val="000000"/>
          <w:position w:val="-22"/>
          <w:szCs w:val="24"/>
        </w:rPr>
        <w:object w:dxaOrig="906" w:dyaOrig="443" w14:anchorId="6E986E9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21.75pt" o:ole="">
            <v:imagedata r:id="rId4" o:title=""/>
          </v:shape>
          <o:OLEObject Type="Embed" ProgID="Equation.3" ShapeID="_x0000_i1025" DrawAspect="Content" ObjectID="_1651565211" r:id="rId5"/>
        </w:object>
      </w:r>
      <w:r w:rsidRPr="00BE15AA">
        <w:rPr>
          <w:color w:val="000000"/>
          <w:szCs w:val="24"/>
        </w:rPr>
        <w:t xml:space="preserve"> </w:t>
      </w:r>
      <w:r w:rsidRPr="00BE15AA">
        <w:rPr>
          <w:noProof/>
          <w:color w:val="000000"/>
          <w:position w:val="-10"/>
          <w:szCs w:val="24"/>
        </w:rPr>
        <w:object w:dxaOrig="1451" w:dyaOrig="342" w14:anchorId="68D81922">
          <v:shape id="_x0000_i1026" type="#_x0000_t75" style="width:9.75pt;height:17.25pt" o:ole="">
            <v:imagedata r:id="rId6" o:title=""/>
          </v:shape>
          <o:OLEObject Type="Embed" ProgID="Equation.3" ShapeID="_x0000_i1026" DrawAspect="Content" ObjectID="_1651565212" r:id="rId7"/>
        </w:object>
      </w:r>
      <w:r w:rsidRPr="00BE15AA">
        <w:rPr>
          <w:color w:val="000000"/>
          <w:szCs w:val="24"/>
        </w:rPr>
        <w:t xml:space="preserve"> (1)</w:t>
      </w:r>
    </w:p>
    <w:p w14:paraId="78F33839" w14:textId="77777777" w:rsidR="00D114A6" w:rsidRPr="00BE15AA" w:rsidRDefault="00D114A6" w:rsidP="00D114A6">
      <w:pPr>
        <w:jc w:val="center"/>
        <w:rPr>
          <w:color w:val="000000"/>
          <w:szCs w:val="24"/>
        </w:rPr>
      </w:pPr>
      <w:r w:rsidRPr="00BE15AA">
        <w:rPr>
          <w:noProof/>
          <w:color w:val="000000"/>
          <w:position w:val="-28"/>
          <w:szCs w:val="24"/>
        </w:rPr>
        <w:object w:dxaOrig="1168" w:dyaOrig="544" w14:anchorId="45490BB0">
          <v:shape id="_x0000_i1027" type="#_x0000_t75" style="width:59.25pt;height:27pt" o:ole="">
            <v:imagedata r:id="rId8" o:title=""/>
          </v:shape>
          <o:OLEObject Type="Embed" ProgID="Equation.3" ShapeID="_x0000_i1027" DrawAspect="Content" ObjectID="_1651565213" r:id="rId9"/>
        </w:object>
      </w:r>
      <w:r w:rsidRPr="00BE15AA">
        <w:rPr>
          <w:color w:val="000000"/>
          <w:szCs w:val="24"/>
        </w:rPr>
        <w:t xml:space="preserve"> (2)</w:t>
      </w:r>
    </w:p>
    <w:p w14:paraId="25C0E502" w14:textId="77777777" w:rsidR="00D114A6" w:rsidRPr="00BE15AA" w:rsidRDefault="00D114A6" w:rsidP="00D114A6">
      <w:pPr>
        <w:jc w:val="center"/>
        <w:rPr>
          <w:color w:val="000000"/>
          <w:szCs w:val="24"/>
        </w:rPr>
      </w:pPr>
      <w:r w:rsidRPr="00BE15AA">
        <w:rPr>
          <w:noProof/>
          <w:color w:val="000000"/>
          <w:position w:val="-30"/>
          <w:szCs w:val="24"/>
        </w:rPr>
        <w:object w:dxaOrig="1369" w:dyaOrig="725" w14:anchorId="1E522CB7">
          <v:shape id="_x0000_i1028" type="#_x0000_t75" style="width:68.25pt;height:35.25pt" o:ole="">
            <v:imagedata r:id="rId10" o:title=""/>
          </v:shape>
          <o:OLEObject Type="Embed" ProgID="Equation.3" ShapeID="_x0000_i1028" DrawAspect="Content" ObjectID="_1651565214" r:id="rId11"/>
        </w:object>
      </w:r>
      <w:r w:rsidRPr="00BE15AA">
        <w:rPr>
          <w:color w:val="000000"/>
          <w:szCs w:val="24"/>
        </w:rPr>
        <w:t xml:space="preserve"> (3)</w:t>
      </w:r>
    </w:p>
    <w:p w14:paraId="741E52C4" w14:textId="77777777" w:rsidR="00D114A6" w:rsidRPr="00BE15AA" w:rsidRDefault="00D114A6" w:rsidP="00D114A6">
      <w:pPr>
        <w:jc w:val="center"/>
        <w:rPr>
          <w:color w:val="000000"/>
          <w:szCs w:val="24"/>
        </w:rPr>
      </w:pPr>
      <w:r w:rsidRPr="00BE15AA">
        <w:rPr>
          <w:noProof/>
          <w:color w:val="000000"/>
          <w:position w:val="-12"/>
          <w:szCs w:val="24"/>
        </w:rPr>
        <w:object w:dxaOrig="906" w:dyaOrig="383" w14:anchorId="518A30C9">
          <v:shape id="_x0000_i1029" type="#_x0000_t75" style="width:44.25pt;height:20.25pt" o:ole="">
            <v:imagedata r:id="rId12" o:title=""/>
          </v:shape>
          <o:OLEObject Type="Embed" ProgID="Equation.3" ShapeID="_x0000_i1029" DrawAspect="Content" ObjectID="_1651565215" r:id="rId13"/>
        </w:object>
      </w:r>
      <w:r w:rsidRPr="00BE15AA">
        <w:rPr>
          <w:color w:val="000000"/>
          <w:szCs w:val="24"/>
        </w:rPr>
        <w:t xml:space="preserve"> (4)</w:t>
      </w:r>
    </w:p>
    <w:p w14:paraId="4A5A2FA0" w14:textId="77777777" w:rsidR="00D114A6" w:rsidRPr="00BE15AA" w:rsidRDefault="00D114A6" w:rsidP="00D114A6">
      <w:pPr>
        <w:jc w:val="center"/>
        <w:rPr>
          <w:color w:val="000000"/>
          <w:szCs w:val="24"/>
        </w:rPr>
      </w:pPr>
      <w:r w:rsidRPr="00BE15AA">
        <w:rPr>
          <w:noProof/>
          <w:color w:val="000000"/>
          <w:position w:val="-12"/>
          <w:szCs w:val="24"/>
        </w:rPr>
        <w:object w:dxaOrig="926" w:dyaOrig="383" w14:anchorId="3D7E73B9">
          <v:shape id="_x0000_i1030" type="#_x0000_t75" style="width:45.75pt;height:20.25pt" o:ole="">
            <v:imagedata r:id="rId14" o:title=""/>
          </v:shape>
          <o:OLEObject Type="Embed" ProgID="Equation.3" ShapeID="_x0000_i1030" DrawAspect="Content" ObjectID="_1651565216" r:id="rId15"/>
        </w:object>
      </w:r>
      <w:r w:rsidRPr="00BE15AA">
        <w:rPr>
          <w:color w:val="000000"/>
          <w:szCs w:val="24"/>
        </w:rPr>
        <w:t xml:space="preserve"> (5)</w:t>
      </w:r>
    </w:p>
    <w:p w14:paraId="00E1E1E0" w14:textId="77777777" w:rsidR="00D114A6" w:rsidRPr="00BE15AA" w:rsidRDefault="00D114A6" w:rsidP="00D114A6">
      <w:pPr>
        <w:jc w:val="center"/>
        <w:rPr>
          <w:color w:val="000000"/>
          <w:szCs w:val="24"/>
        </w:rPr>
      </w:pPr>
      <w:r w:rsidRPr="00BE15AA">
        <w:rPr>
          <w:noProof/>
          <w:color w:val="000000"/>
          <w:position w:val="-30"/>
          <w:szCs w:val="24"/>
        </w:rPr>
        <w:object w:dxaOrig="1127" w:dyaOrig="1026" w14:anchorId="372A5ED8">
          <v:shape id="_x0000_i1031" type="#_x0000_t75" style="width:57pt;height:50.25pt" o:ole="">
            <v:imagedata r:id="rId16" o:title=""/>
          </v:shape>
          <o:OLEObject Type="Embed" ProgID="Equation.3" ShapeID="_x0000_i1031" DrawAspect="Content" ObjectID="_1651565217" r:id="rId17"/>
        </w:object>
      </w:r>
      <w:r w:rsidRPr="00BE15AA">
        <w:rPr>
          <w:color w:val="000000"/>
          <w:szCs w:val="24"/>
        </w:rPr>
        <w:t xml:space="preserve"> (6)</w:t>
      </w:r>
    </w:p>
    <w:p w14:paraId="74A2EC32" w14:textId="77777777" w:rsidR="00D114A6" w:rsidRPr="00BE15AA" w:rsidRDefault="00D114A6" w:rsidP="00D114A6">
      <w:pPr>
        <w:jc w:val="center"/>
        <w:rPr>
          <w:color w:val="000000"/>
          <w:szCs w:val="24"/>
        </w:rPr>
      </w:pPr>
      <w:r w:rsidRPr="00BE15AA">
        <w:rPr>
          <w:noProof/>
          <w:color w:val="000000"/>
          <w:position w:val="-30"/>
          <w:szCs w:val="24"/>
        </w:rPr>
        <w:object w:dxaOrig="1127" w:dyaOrig="1026" w14:anchorId="6F8547C0">
          <v:shape id="_x0000_i1032" type="#_x0000_t75" style="width:57pt;height:50.25pt" o:ole="">
            <v:imagedata r:id="rId18" o:title=""/>
          </v:shape>
          <o:OLEObject Type="Embed" ProgID="Equation.3" ShapeID="_x0000_i1032" DrawAspect="Content" ObjectID="_1651565218" r:id="rId19"/>
        </w:object>
      </w:r>
      <w:r w:rsidRPr="00BE15AA">
        <w:rPr>
          <w:color w:val="000000"/>
          <w:szCs w:val="24"/>
        </w:rPr>
        <w:t xml:space="preserve"> (7)</w:t>
      </w:r>
    </w:p>
    <w:p w14:paraId="294C1F3F" w14:textId="7CCBEBD2" w:rsidR="00D114A6" w:rsidRPr="00BE15AA" w:rsidRDefault="00D114A6" w:rsidP="00D114A6">
      <w:pPr>
        <w:spacing w:line="480" w:lineRule="auto"/>
        <w:rPr>
          <w:color w:val="000000"/>
        </w:rPr>
      </w:pPr>
      <w:bookmarkStart w:id="1" w:name="_Hlk24237813"/>
      <w:bookmarkStart w:id="2" w:name="_Hlk35466756"/>
      <w:r w:rsidRPr="00BE15AA">
        <w:rPr>
          <w:noProof/>
          <w:color w:val="000000"/>
          <w:lang w:val="en-AU"/>
        </w:rPr>
        <w:drawing>
          <wp:inline distT="0" distB="0" distL="0" distR="0" wp14:anchorId="671E954C" wp14:editId="0D8685E9">
            <wp:extent cx="123825" cy="1619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15AA">
        <w:rPr>
          <w:color w:val="000000"/>
        </w:rPr>
        <w:t xml:space="preserve"> is the death probability.</w:t>
      </w:r>
      <w:bookmarkStart w:id="3" w:name="_Hlk35557270"/>
      <w:r w:rsidRPr="00BE15AA">
        <w:rPr>
          <w:color w:val="000000"/>
        </w:rPr>
        <w:t xml:space="preserve"> Subscript </w:t>
      </w:r>
      <w:r w:rsidRPr="00BE15AA">
        <w:rPr>
          <w:noProof/>
          <w:color w:val="000000"/>
          <w:lang w:val="en-AU"/>
        </w:rPr>
        <w:drawing>
          <wp:inline distT="0" distB="0" distL="0" distR="0" wp14:anchorId="1B526AE4" wp14:editId="53376064">
            <wp:extent cx="85725" cy="2286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15AA">
        <w:rPr>
          <w:color w:val="000000"/>
        </w:rPr>
        <w:t xml:space="preserve"> and superscript</w:t>
      </w:r>
      <w:r w:rsidRPr="00BE15AA" w:rsidDel="00DF422C">
        <w:rPr>
          <w:color w:val="000000"/>
        </w:rPr>
        <w:t xml:space="preserve"> </w:t>
      </w:r>
      <w:proofErr w:type="spellStart"/>
      <w:r w:rsidRPr="00BE15AA">
        <w:rPr>
          <w:i/>
          <w:iCs/>
          <w:color w:val="000000"/>
        </w:rPr>
        <w:t>i</w:t>
      </w:r>
      <w:proofErr w:type="spellEnd"/>
      <w:r w:rsidRPr="00BE15AA">
        <w:rPr>
          <w:color w:val="000000"/>
        </w:rPr>
        <w:t xml:space="preserve"> are indicator variables representing the age group and cause of death</w:t>
      </w:r>
      <w:bookmarkEnd w:id="2"/>
      <w:r w:rsidRPr="00BE15AA">
        <w:rPr>
          <w:color w:val="000000"/>
        </w:rPr>
        <w:t>, respectively</w:t>
      </w:r>
      <w:bookmarkEnd w:id="3"/>
      <w:r w:rsidRPr="00BE15AA">
        <w:rPr>
          <w:color w:val="000000"/>
        </w:rPr>
        <w:t xml:space="preserve">. D is the number of deaths. </w:t>
      </w:r>
      <w:r w:rsidRPr="00BE15AA">
        <w:rPr>
          <w:noProof/>
          <w:color w:val="000000"/>
          <w:position w:val="-6"/>
        </w:rPr>
        <w:object w:dxaOrig="268" w:dyaOrig="227" w14:anchorId="43DB5DFB">
          <v:shape id="_x0000_i1035" type="#_x0000_t75" style="width:12pt;height:11.25pt;mso-position-horizontal-relative:page;mso-position-vertical-relative:page" o:ole="">
            <v:imagedata r:id="rId22" o:title=""/>
          </v:shape>
          <o:OLEObject Type="Embed" ProgID="Equation.3" ShapeID="_x0000_i1035" DrawAspect="Content" ObjectID="_1651565219" r:id="rId23">
            <o:FieldCodes>\* MERGEFORMAT</o:FieldCodes>
          </o:OLEObject>
        </w:object>
      </w:r>
      <w:r w:rsidRPr="00BE15AA">
        <w:rPr>
          <w:color w:val="000000"/>
        </w:rPr>
        <w:t xml:space="preserve"> is the mortality rate.</w:t>
      </w:r>
      <w:r w:rsidRPr="00BE15AA">
        <w:rPr>
          <w:noProof/>
          <w:color w:val="000000"/>
          <w:position w:val="-4"/>
        </w:rPr>
        <w:object w:dxaOrig="186" w:dyaOrig="207" w14:anchorId="51B14604">
          <v:shape id="_x0000_i1036" type="#_x0000_t75" style="width:9.75pt;height:9.75pt;mso-position-horizontal-relative:page;mso-position-vertical-relative:page" o:ole="">
            <v:imagedata r:id="rId24" o:title=""/>
          </v:shape>
          <o:OLEObject Type="Embed" ProgID="Equation.3" ShapeID="_x0000_i1036" DrawAspect="Content" ObjectID="_1651565220" r:id="rId25">
            <o:FieldCodes>\* MERGEFORMAT</o:FieldCodes>
          </o:OLEObject>
        </w:object>
      </w:r>
      <w:r w:rsidRPr="00BE15AA">
        <w:rPr>
          <w:color w:val="000000"/>
        </w:rPr>
        <w:t xml:space="preserve"> is the proportional mortality.</w:t>
      </w:r>
      <w:r w:rsidRPr="00BE15AA">
        <w:rPr>
          <w:noProof/>
          <w:color w:val="000000"/>
          <w:position w:val="-6"/>
        </w:rPr>
        <w:object w:dxaOrig="226" w:dyaOrig="287" w14:anchorId="18D7ED82">
          <v:shape id="_x0000_i1037" type="#_x0000_t75" style="width:11.25pt;height:14.25pt;mso-position-horizontal-relative:page;mso-position-vertical-relative:page" o:ole="">
            <v:imagedata r:id="rId26" o:title=""/>
          </v:shape>
          <o:OLEObject Type="Embed" ProgID="Equation.3" ShapeID="_x0000_i1037" DrawAspect="Content" ObjectID="_1651565221" r:id="rId27">
            <o:FieldCodes>\* MERGEFORMAT</o:FieldCodes>
          </o:OLEObject>
        </w:object>
      </w:r>
      <w:r w:rsidRPr="00BE15AA">
        <w:rPr>
          <w:color w:val="000000"/>
        </w:rPr>
        <w:t>and</w:t>
      </w:r>
      <w:r w:rsidRPr="00BE15AA">
        <w:rPr>
          <w:noProof/>
          <w:color w:val="000000"/>
          <w:lang w:val="en-AU"/>
        </w:rPr>
        <w:t xml:space="preserve"> </w:t>
      </w:r>
      <w:r w:rsidRPr="00BE15AA">
        <w:rPr>
          <w:noProof/>
          <w:color w:val="000000"/>
          <w:lang w:val="en-AU"/>
        </w:rPr>
        <w:drawing>
          <wp:inline distT="0" distB="0" distL="0" distR="0" wp14:anchorId="2EBF56D7" wp14:editId="255EE60C">
            <wp:extent cx="85725" cy="1619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15AA">
        <w:rPr>
          <w:color w:val="000000"/>
        </w:rPr>
        <w:t xml:space="preserve"> designate the death toll and survival number, respectively, in the life table. </w:t>
      </w:r>
      <w:r w:rsidRPr="00BE15AA">
        <w:rPr>
          <w:noProof/>
          <w:color w:val="000000"/>
          <w:lang w:val="en-AU"/>
        </w:rPr>
        <w:drawing>
          <wp:inline distT="0" distB="0" distL="0" distR="0" wp14:anchorId="7D733BEF" wp14:editId="6D8FCB5D">
            <wp:extent cx="114300" cy="114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15AA">
        <w:rPr>
          <w:color w:val="000000"/>
        </w:rPr>
        <w:t xml:space="preserve"> is an indicator variable representing the oldest age </w:t>
      </w:r>
      <w:proofErr w:type="gramStart"/>
      <w:r w:rsidRPr="00BE15AA">
        <w:rPr>
          <w:color w:val="000000"/>
        </w:rPr>
        <w:t>group.</w:t>
      </w:r>
      <w:proofErr w:type="gramEnd"/>
      <w:r w:rsidRPr="00BE15AA">
        <w:rPr>
          <w:color w:val="000000"/>
        </w:rPr>
        <w:t xml:space="preserve"> </w:t>
      </w:r>
      <w:r w:rsidRPr="00BE15AA">
        <w:rPr>
          <w:noProof/>
          <w:color w:val="000000"/>
          <w:position w:val="-12"/>
        </w:rPr>
        <w:object w:dxaOrig="285" w:dyaOrig="387" w14:anchorId="48CF4B1E">
          <v:shape id="_x0000_i1040" type="#_x0000_t75" style="width:14.25pt;height:20.25pt;mso-position-horizontal-relative:page;mso-position-vertical-relative:page" o:ole="">
            <v:imagedata r:id="rId30" o:title=""/>
          </v:shape>
          <o:OLEObject Type="Embed" ProgID="Equation.3" ShapeID="_x0000_i1040" DrawAspect="Content" ObjectID="_1651565222" r:id="rId31">
            <o:FieldCodes>\* MERGEFORMAT</o:FieldCodes>
          </o:OLEObject>
        </w:object>
      </w:r>
      <w:r w:rsidRPr="00BE15AA">
        <w:rPr>
          <w:color w:val="000000"/>
        </w:rPr>
        <w:t xml:space="preserve"> of age group 0 is an individual’s </w:t>
      </w:r>
      <w:bookmarkEnd w:id="1"/>
      <w:r w:rsidRPr="00BE15AA">
        <w:rPr>
          <w:color w:val="000000"/>
        </w:rPr>
        <w:t xml:space="preserve">LDP </w:t>
      </w:r>
      <w:r w:rsidRPr="00BE15AA">
        <w:rPr>
          <w:color w:val="000000"/>
        </w:rPr>
        <w:fldChar w:fldCharType="begin"/>
      </w:r>
      <w:r w:rsidRPr="00BE15AA">
        <w:rPr>
          <w:color w:val="000000"/>
        </w:rPr>
        <w:instrText xml:space="preserve"> ADDIN EN.CITE &lt;EndNote&gt;&lt;Cite&gt;&lt;Author&gt;Zhou&lt;/Author&gt;&lt;Year&gt;1998&lt;/Year&gt;&lt;RecNum&gt;78&lt;/RecNum&gt;&lt;DisplayText&gt;[8]&lt;/DisplayText&gt;&lt;record&gt;&lt;rec-number&gt;78&lt;/rec-number&gt;&lt;foreign-keys&gt;&lt;key app="EN" db-id="vtdzw2wzr5vpeeezrxjvfs2j205220sp0p92" timestamp="1552317510"&gt;78&lt;/key&gt;&lt;/foreign-keys&gt;&lt;ref-type name="Journal Article"&gt;17&lt;/ref-type&gt;&lt;contributors&gt;&lt;authors&gt;&lt;author&gt;Zhou, Tianshu.&lt;/author&gt;&lt;author&gt;Chen, Chongguo.&lt;/author&gt;&lt;/authors&gt;&lt;/contributors&gt;&lt;titles&gt;&lt;title&gt;An indicator of death-cause composition- a life-time death probability. &lt;/title&gt;&lt;secondary-title&gt;China health statistics&lt;/secondary-title&gt;&lt;/titles&gt;&lt;periodical&gt;&lt;full-title&gt;China health statistics&lt;/full-title&gt;&lt;/periodical&gt;&lt;pages&gt;45-46&lt;/pages&gt;&lt;volume&gt;8&lt;/volume&gt;&lt;number&gt;1&lt;/number&gt;&lt;dates&gt;&lt;year&gt;1998&lt;/year&gt;&lt;/dates&gt;&lt;accession-num&gt;14015239&lt;/accession-num&gt;&lt;urls&gt;&lt;/urls&gt;&lt;/record&gt;&lt;/Cite&gt;&lt;/EndNote&gt;</w:instrText>
      </w:r>
      <w:r w:rsidRPr="00BE15AA">
        <w:rPr>
          <w:color w:val="000000"/>
        </w:rPr>
        <w:fldChar w:fldCharType="separate"/>
      </w:r>
      <w:r w:rsidRPr="00BE15AA">
        <w:rPr>
          <w:noProof/>
          <w:color w:val="000000"/>
        </w:rPr>
        <w:t>[</w:t>
      </w:r>
      <w:hyperlink w:anchor="_ENREF_8" w:tooltip="Zhou, 1998 #78" w:history="1">
        <w:r w:rsidRPr="00BE15AA">
          <w:rPr>
            <w:noProof/>
            <w:color w:val="000000"/>
          </w:rPr>
          <w:t>8</w:t>
        </w:r>
      </w:hyperlink>
      <w:r w:rsidRPr="00BE15AA">
        <w:rPr>
          <w:noProof/>
          <w:color w:val="000000"/>
        </w:rPr>
        <w:t>]</w:t>
      </w:r>
      <w:r w:rsidRPr="00BE15AA">
        <w:rPr>
          <w:color w:val="000000"/>
        </w:rPr>
        <w:fldChar w:fldCharType="end"/>
      </w:r>
      <w:r w:rsidRPr="00BE15AA">
        <w:rPr>
          <w:color w:val="000000"/>
        </w:rPr>
        <w:t>.</w:t>
      </w:r>
    </w:p>
    <w:p w14:paraId="4B5C0AF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4A6"/>
    <w:rsid w:val="00D114A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312B"/>
  <w15:chartTrackingRefBased/>
  <w15:docId w15:val="{F19F6C15-331E-4C61-9885-1EC4A0EAE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4A6"/>
    <w:pPr>
      <w:adjustRightInd w:val="0"/>
      <w:snapToGrid w:val="0"/>
      <w:spacing w:after="200" w:line="360" w:lineRule="auto"/>
      <w:jc w:val="both"/>
    </w:pPr>
    <w:rPr>
      <w:rFonts w:ascii="Times New Roman" w:eastAsia="SimSun" w:hAnsi="Times New Roman" w:cs="Times New Roman"/>
      <w:sz w:val="24"/>
      <w:lang w:eastAsia="zh-CN"/>
    </w:rPr>
  </w:style>
  <w:style w:type="paragraph" w:styleId="Heading2">
    <w:name w:val="heading 2"/>
    <w:basedOn w:val="Normal"/>
    <w:next w:val="Normal"/>
    <w:link w:val="Heading2Char"/>
    <w:qFormat/>
    <w:rsid w:val="00D114A6"/>
    <w:pPr>
      <w:keepNext/>
      <w:keepLines/>
      <w:spacing w:before="40" w:after="0"/>
      <w:outlineLvl w:val="1"/>
    </w:pPr>
    <w:rPr>
      <w:rFonts w:eastAsia="DengXian Light"/>
      <w:i/>
      <w:color w:val="00000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D114A6"/>
    <w:rPr>
      <w:rFonts w:ascii="Times New Roman" w:eastAsia="DengXian Light" w:hAnsi="Times New Roman" w:cs="Times New Roman"/>
      <w:i/>
      <w:color w:val="000000"/>
      <w:sz w:val="24"/>
      <w:szCs w:val="2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3.wmf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0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5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2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9.bin"/><Relationship Id="rId28" Type="http://schemas.openxmlformats.org/officeDocument/2006/relationships/image" Target="media/image14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2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1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2020-05-21T15:20:00Z</dcterms:created>
  <dcterms:modified xsi:type="dcterms:W3CDTF">2020-05-21T15:20:00Z</dcterms:modified>
</cp:coreProperties>
</file>