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391243" w14:textId="07B442D7" w:rsidR="009007AD" w:rsidRPr="007D1CF2" w:rsidRDefault="009007AD" w:rsidP="009007A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D1A38">
        <w:rPr>
          <w:rFonts w:ascii="Times New Roman" w:hAnsi="Times New Roman" w:cs="Times New Roman"/>
          <w:color w:val="000000" w:themeColor="text1"/>
          <w:sz w:val="24"/>
          <w:szCs w:val="24"/>
        </w:rPr>
        <w:t>Supplementary Information</w:t>
      </w:r>
    </w:p>
    <w:p w14:paraId="5A7E86AE" w14:textId="77777777" w:rsidR="009007AD" w:rsidRPr="007D1CF2" w:rsidRDefault="009007AD" w:rsidP="009007A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301A218" w14:textId="77777777" w:rsidR="009007AD" w:rsidRPr="005D1A38" w:rsidRDefault="009007AD" w:rsidP="009007AD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D1A3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We provided Figures S1, Figure S2, and their figure legends as disclosed. </w:t>
      </w:r>
    </w:p>
    <w:p w14:paraId="30B4473D" w14:textId="6299EE61" w:rsidR="009007AD" w:rsidRPr="005D1A38" w:rsidRDefault="009007AD" w:rsidP="009007AD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D1A3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However, </w:t>
      </w:r>
      <w:r w:rsidR="00B4775D" w:rsidRPr="00B4775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highlight w:val="yellow"/>
        </w:rPr>
        <w:t>Figure S3 and its figure legends</w:t>
      </w:r>
      <w:r w:rsidRPr="00B4775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highlight w:val="yellow"/>
        </w:rPr>
        <w:t xml:space="preserve"> </w:t>
      </w:r>
      <w:r w:rsidR="00B4775D" w:rsidRPr="00B4775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highlight w:val="yellow"/>
        </w:rPr>
        <w:t>are</w:t>
      </w:r>
      <w:r w:rsidRPr="005D1A3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provided for the reviewer only.</w:t>
      </w:r>
    </w:p>
    <w:p w14:paraId="24242982" w14:textId="77777777" w:rsidR="00D41EF2" w:rsidRPr="00B4775D" w:rsidRDefault="00D41EF2" w:rsidP="009007AD">
      <w:pPr>
        <w:spacing w:line="360" w:lineRule="auto"/>
        <w:rPr>
          <w:rFonts w:ascii="Times New Roman" w:eastAsia="ScalaLF-Regular" w:hAnsi="Times New Roman" w:cs="Times New Roman"/>
          <w:sz w:val="24"/>
          <w:szCs w:val="24"/>
        </w:rPr>
      </w:pPr>
    </w:p>
    <w:p w14:paraId="6DFB4C03" w14:textId="77777777" w:rsidR="00971CEA" w:rsidRPr="00971CEA" w:rsidRDefault="00971CEA" w:rsidP="00971CEA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3063BC8" w14:textId="23A7095D" w:rsidR="009007AD" w:rsidRPr="005D1A38" w:rsidRDefault="009007AD" w:rsidP="00971CEA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D1A3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Figure legends</w:t>
      </w:r>
    </w:p>
    <w:p w14:paraId="5A1EF286" w14:textId="77777777" w:rsidR="00531011" w:rsidRPr="00531011" w:rsidRDefault="00531011" w:rsidP="009007AD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1300A93" w14:textId="77777777" w:rsidR="009007AD" w:rsidRPr="007D1CF2" w:rsidRDefault="009007AD" w:rsidP="009007A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C0BCA">
        <w:rPr>
          <w:rFonts w:ascii="Times New Roman" w:hAnsi="Times New Roman" w:cs="Times New Roman"/>
          <w:color w:val="000000" w:themeColor="text1"/>
          <w:sz w:val="24"/>
          <w:szCs w:val="24"/>
        </w:rPr>
        <w:t>Figure S1.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Images of PVDF membranes for the slot blot analysis in Figure 1b and 1d. (</w:t>
      </w:r>
      <w:r w:rsidRPr="007D1CF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>) An image of PVDF membranes for slot blot analysis on Figure 1b. The left membrane was incubated with an anti-TAGE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>antibody. The right membrane was incubated with a neutralized anti-TAGE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antibody. L1 and 4: TAGE-BSA (0, 1, 3, 10, 30, 60, and 100 ng of protein/lane) and </w:t>
      </w:r>
      <w:proofErr w:type="gramStart"/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proofErr w:type="gramEnd"/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HRP-linked molecular marker were loaded onto the membranes. L2, 3, 5, and 6: Cell lysates (2.0 </w:t>
      </w:r>
      <w:r w:rsidRPr="007D1CF2">
        <w:rPr>
          <w:rFonts w:ascii="Times New Roman" w:eastAsia="游明朝" w:hAnsi="Times New Roman" w:cs="Times New Roman"/>
          <w:color w:val="000000" w:themeColor="text1"/>
          <w:sz w:val="24"/>
          <w:szCs w:val="24"/>
        </w:rPr>
        <w:t>μ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>g of protein/lane) of C2C12 cells treated with 0, 0.5, 1. 1.5, and 2 mM glyceraldehyde for 24 h. (</w:t>
      </w:r>
      <w:r w:rsidRPr="007D1CF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An image of PVDF membranes for the slot blot analysis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>n Figure 1d. The left membrane was incubated with an anti-TAGE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>antibody. The right membrane was incubated with a neutralized anti-TAGE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antibody. L1 and 4: TAGE-BSA (0, 1, 3, 10, 30, 60, and 100 ng of protein/lane) and </w:t>
      </w:r>
      <w:proofErr w:type="gramStart"/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proofErr w:type="gramEnd"/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HRP-linked molecular marker were loaded onto the membranes. L2, 3, 5, and 6: The bands in the open box with a solid line; Cell lysates (2.0 </w:t>
      </w:r>
      <w:r w:rsidRPr="007D1CF2">
        <w:rPr>
          <w:rFonts w:ascii="Times New Roman" w:eastAsia="游明朝" w:hAnsi="Times New Roman" w:cs="Times New Roman"/>
          <w:color w:val="000000" w:themeColor="text1"/>
          <w:sz w:val="24"/>
          <w:szCs w:val="24"/>
        </w:rPr>
        <w:t>μ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 of protein/lane) of C2C12 cells treated with 0, 1.5, and 2 mM glyceraldehyde without aminoguanidine for 24 h were loaded onto PVDF membranes. Bands in the open box with a broken line; Cell lysates (2.0 </w:t>
      </w:r>
      <w:r w:rsidRPr="007D1CF2">
        <w:rPr>
          <w:rFonts w:ascii="Times New Roman" w:eastAsia="游明朝" w:hAnsi="Times New Roman" w:cs="Times New Roman"/>
          <w:color w:val="000000" w:themeColor="text1"/>
          <w:sz w:val="24"/>
          <w:szCs w:val="24"/>
        </w:rPr>
        <w:t>μ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>g of protein/lane) of C2C12 cells pretreated with 8 mM aminoguanidine for 2 h, followed by 0, 1.5, and 2 mM glyceraldehyde were loaded onto membranes.</w:t>
      </w:r>
    </w:p>
    <w:p w14:paraId="4B12759B" w14:textId="77777777" w:rsidR="009007AD" w:rsidRPr="007D1CF2" w:rsidRDefault="009007AD" w:rsidP="009007A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E36A1BD" w14:textId="77777777" w:rsidR="009007AD" w:rsidRPr="007D1CF2" w:rsidRDefault="009007AD" w:rsidP="009007A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C0BCA">
        <w:rPr>
          <w:rFonts w:ascii="Times New Roman" w:hAnsi="Times New Roman" w:cs="Times New Roman"/>
          <w:color w:val="000000" w:themeColor="text1"/>
          <w:sz w:val="24"/>
          <w:szCs w:val="24"/>
        </w:rPr>
        <w:t>Figure S2.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Cell viability of C2C12 cells treated with non-glycated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>BSA and TAGE-BSA. (</w:t>
      </w:r>
      <w:r w:rsidRPr="007D1CF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bookmarkStart w:id="0" w:name="_Hlk37847323"/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>Cells were treated wi</w:t>
      </w:r>
      <w:r w:rsidRPr="007F0F9B">
        <w:rPr>
          <w:rFonts w:ascii="Times New Roman" w:hAnsi="Times New Roman" w:cs="Times New Roman"/>
          <w:color w:val="000000" w:themeColor="text1"/>
          <w:sz w:val="24"/>
          <w:szCs w:val="24"/>
        </w:rPr>
        <w:t>th 0 and 20 μg/mL of non-glycated BSA and TAGE-BSA for 24 h.</w:t>
      </w:r>
      <w:bookmarkEnd w:id="0"/>
      <w:r w:rsidRPr="007F0F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7F0F9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Pr="007F0F9B">
        <w:rPr>
          <w:rFonts w:ascii="Times New Roman" w:hAnsi="Times New Roman" w:cs="Times New Roman"/>
          <w:color w:val="000000" w:themeColor="text1"/>
          <w:sz w:val="24"/>
          <w:szCs w:val="24"/>
        </w:rPr>
        <w:t>) Cells were treated with 0 and 50 μg/mL of non-glycated BS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>A and TAGE-BSA for 24 h. (</w:t>
      </w:r>
      <w:r w:rsidRPr="007D1CF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7D1CF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Cell viability was assessed by the WST-8 assay. This assay was performed in three independent experiments. One experiment was performed using 7 wells to calculate the average. Data are shown as means ± S.D. (N=3). P-values were based on the </w:t>
      </w:r>
      <w:r w:rsidRPr="007F0F9B">
        <w:rPr>
          <w:rFonts w:ascii="Times New Roman" w:hAnsi="Times New Roman" w:cs="Times New Roman"/>
          <w:color w:val="000000" w:themeColor="text1"/>
          <w:sz w:val="24"/>
          <w:szCs w:val="24"/>
        </w:rPr>
        <w:t>Bonferroni test.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30E78EC0" w14:textId="77777777" w:rsidR="009007AD" w:rsidRPr="007D1CF2" w:rsidRDefault="009007AD" w:rsidP="009007A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E5C3357" w14:textId="3D4A89D5" w:rsidR="009007AD" w:rsidRPr="005D1A38" w:rsidRDefault="009007AD" w:rsidP="009007AD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AC059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highlight w:val="yellow"/>
        </w:rPr>
        <w:t>(Figure S</w:t>
      </w:r>
      <w:r w:rsidR="003B1615" w:rsidRPr="00AC059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highlight w:val="yellow"/>
        </w:rPr>
        <w:t>3 m</w:t>
      </w:r>
      <w:r w:rsidRPr="00AC059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highlight w:val="yellow"/>
        </w:rPr>
        <w:t>ust be provided for</w:t>
      </w:r>
      <w:r w:rsidR="00F45D58" w:rsidRPr="00AC059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highlight w:val="yellow"/>
        </w:rPr>
        <w:t xml:space="preserve"> the </w:t>
      </w:r>
      <w:r w:rsidRPr="00AC059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highlight w:val="yellow"/>
        </w:rPr>
        <w:t>reviewer</w:t>
      </w:r>
      <w:r w:rsidR="00F45D58" w:rsidRPr="00AC059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highlight w:val="yellow"/>
        </w:rPr>
        <w:t xml:space="preserve"> only</w:t>
      </w:r>
      <w:r w:rsidRPr="00AC059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highlight w:val="yellow"/>
        </w:rPr>
        <w:t>)</w:t>
      </w:r>
    </w:p>
    <w:p w14:paraId="3EE5D8FA" w14:textId="143C3743" w:rsidR="0080099F" w:rsidRPr="00AC059E" w:rsidRDefault="0080099F" w:rsidP="0080099F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highlight w:val="yellow"/>
        </w:rPr>
      </w:pPr>
      <w:r w:rsidRPr="00AC059E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Figure S3.  </w:t>
      </w:r>
      <w:r w:rsidRPr="003D1D99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The illustrations of </w:t>
      </w:r>
      <w:r w:rsidR="004C488B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our</w:t>
      </w:r>
      <w:r w:rsidRPr="003D1D99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competitive </w:t>
      </w:r>
      <w:r w:rsidR="004C488B">
        <w:rPr>
          <w:rFonts w:ascii="Times New Roman" w:hAnsi="Times New Roman" w:cs="Times New Roman" w:hint="eastAsia"/>
          <w:color w:val="000000" w:themeColor="text1"/>
          <w:sz w:val="24"/>
          <w:szCs w:val="24"/>
          <w:highlight w:val="yellow"/>
        </w:rPr>
        <w:t>e</w:t>
      </w:r>
      <w:r w:rsidR="004C488B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nzyme-linked immunosorbent assay (ELISA) in this investigation</w:t>
      </w:r>
      <w:r w:rsidRPr="003D1D99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.</w:t>
      </w:r>
    </w:p>
    <w:p w14:paraId="3BAF72B9" w14:textId="08D10752" w:rsidR="00B63491" w:rsidRPr="00B66263" w:rsidRDefault="0080099F" w:rsidP="001F0AB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C059E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TAGE in the serum of STAM mice were measured with this competitive ELISA (see Fig.</w:t>
      </w:r>
      <w:r w:rsidR="006457F0" w:rsidRPr="00AC059E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</w:t>
      </w:r>
      <w:r w:rsidRPr="00AC059E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2</w:t>
      </w:r>
      <w:r w:rsidRPr="00B66263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a)</w:t>
      </w:r>
      <w:r w:rsidR="00B66263" w:rsidRPr="00B66263">
        <w:rPr>
          <w:rFonts w:ascii="Times New Roman" w:hAnsi="Times New Roman" w:cs="Times New Roman" w:hint="eastAsia"/>
          <w:color w:val="000000" w:themeColor="text1"/>
          <w:sz w:val="24"/>
          <w:szCs w:val="24"/>
          <w:highlight w:val="yellow"/>
        </w:rPr>
        <w:t>.</w:t>
      </w:r>
    </w:p>
    <w:sectPr w:rsidR="00B63491" w:rsidRPr="00B66263">
      <w:foot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019BAE" w14:textId="77777777" w:rsidR="00FA35A1" w:rsidRDefault="00FA35A1" w:rsidP="009007AD">
      <w:r>
        <w:separator/>
      </w:r>
    </w:p>
  </w:endnote>
  <w:endnote w:type="continuationSeparator" w:id="0">
    <w:p w14:paraId="0F273206" w14:textId="77777777" w:rsidR="00FA35A1" w:rsidRDefault="00FA35A1" w:rsidP="009007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calaLF-Regular">
    <w:altName w:val="ＭＳ 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6223844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70B57F4D" w14:textId="77777777" w:rsidR="001C38D2" w:rsidRPr="008639CB" w:rsidRDefault="00923273" w:rsidP="008639CB">
        <w:pPr>
          <w:pStyle w:val="a5"/>
          <w:jc w:val="center"/>
          <w:rPr>
            <w:rFonts w:ascii="Times New Roman" w:hAnsi="Times New Roman" w:cs="Times New Roman"/>
          </w:rPr>
        </w:pPr>
        <w:r w:rsidRPr="008639CB">
          <w:rPr>
            <w:rFonts w:ascii="Times New Roman" w:hAnsi="Times New Roman" w:cs="Times New Roman"/>
          </w:rPr>
          <w:fldChar w:fldCharType="begin"/>
        </w:r>
        <w:r w:rsidRPr="008639CB">
          <w:rPr>
            <w:rFonts w:ascii="Times New Roman" w:hAnsi="Times New Roman" w:cs="Times New Roman"/>
          </w:rPr>
          <w:instrText>PAGE   \* MERGEFORMAT</w:instrText>
        </w:r>
        <w:r w:rsidRPr="008639CB">
          <w:rPr>
            <w:rFonts w:ascii="Times New Roman" w:hAnsi="Times New Roman" w:cs="Times New Roman"/>
          </w:rPr>
          <w:fldChar w:fldCharType="separate"/>
        </w:r>
        <w:r w:rsidR="00AB0B19" w:rsidRPr="00AB0B19">
          <w:rPr>
            <w:rFonts w:ascii="Times New Roman" w:hAnsi="Times New Roman" w:cs="Times New Roman"/>
            <w:noProof/>
            <w:lang w:val="ja-JP"/>
          </w:rPr>
          <w:t>3</w:t>
        </w:r>
        <w:r w:rsidRPr="008639CB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6E9D30" w14:textId="77777777" w:rsidR="00FA35A1" w:rsidRDefault="00FA35A1" w:rsidP="009007AD">
      <w:r>
        <w:separator/>
      </w:r>
    </w:p>
  </w:footnote>
  <w:footnote w:type="continuationSeparator" w:id="0">
    <w:p w14:paraId="0808E1E0" w14:textId="77777777" w:rsidR="00FA35A1" w:rsidRDefault="00FA35A1" w:rsidP="009007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661"/>
    <w:rsid w:val="000014E1"/>
    <w:rsid w:val="00044E5F"/>
    <w:rsid w:val="0007072A"/>
    <w:rsid w:val="00095FBB"/>
    <w:rsid w:val="001C1BC8"/>
    <w:rsid w:val="001F0AB9"/>
    <w:rsid w:val="00204551"/>
    <w:rsid w:val="00226661"/>
    <w:rsid w:val="00262207"/>
    <w:rsid w:val="002C7273"/>
    <w:rsid w:val="00305FA9"/>
    <w:rsid w:val="00340E04"/>
    <w:rsid w:val="003B1615"/>
    <w:rsid w:val="003D1D99"/>
    <w:rsid w:val="003D5B2C"/>
    <w:rsid w:val="00472309"/>
    <w:rsid w:val="004C2E93"/>
    <w:rsid w:val="004C488B"/>
    <w:rsid w:val="00503E7D"/>
    <w:rsid w:val="00505FE4"/>
    <w:rsid w:val="00531011"/>
    <w:rsid w:val="00540DA3"/>
    <w:rsid w:val="00584670"/>
    <w:rsid w:val="005A3633"/>
    <w:rsid w:val="005C7A23"/>
    <w:rsid w:val="005C7E60"/>
    <w:rsid w:val="005D1A38"/>
    <w:rsid w:val="005D4A46"/>
    <w:rsid w:val="005E0CE6"/>
    <w:rsid w:val="00630ECC"/>
    <w:rsid w:val="006457F0"/>
    <w:rsid w:val="00662F87"/>
    <w:rsid w:val="00684BB1"/>
    <w:rsid w:val="006E2C41"/>
    <w:rsid w:val="00734210"/>
    <w:rsid w:val="00784817"/>
    <w:rsid w:val="007B6D87"/>
    <w:rsid w:val="007E0401"/>
    <w:rsid w:val="007F0F9B"/>
    <w:rsid w:val="0080099F"/>
    <w:rsid w:val="0083232A"/>
    <w:rsid w:val="00844B1A"/>
    <w:rsid w:val="00862A9A"/>
    <w:rsid w:val="00877F22"/>
    <w:rsid w:val="008A6BCE"/>
    <w:rsid w:val="008E7B76"/>
    <w:rsid w:val="009007AD"/>
    <w:rsid w:val="00923273"/>
    <w:rsid w:val="009470CF"/>
    <w:rsid w:val="00955365"/>
    <w:rsid w:val="00963374"/>
    <w:rsid w:val="00970186"/>
    <w:rsid w:val="00971CEA"/>
    <w:rsid w:val="00980B94"/>
    <w:rsid w:val="009F0FE4"/>
    <w:rsid w:val="00A27874"/>
    <w:rsid w:val="00AB0B19"/>
    <w:rsid w:val="00AC059E"/>
    <w:rsid w:val="00AD2A47"/>
    <w:rsid w:val="00AE63C5"/>
    <w:rsid w:val="00AF2A3B"/>
    <w:rsid w:val="00B0533A"/>
    <w:rsid w:val="00B4775D"/>
    <w:rsid w:val="00B63491"/>
    <w:rsid w:val="00B66263"/>
    <w:rsid w:val="00B84F86"/>
    <w:rsid w:val="00BF04FB"/>
    <w:rsid w:val="00C04229"/>
    <w:rsid w:val="00C241DB"/>
    <w:rsid w:val="00D112FB"/>
    <w:rsid w:val="00D2090C"/>
    <w:rsid w:val="00D41EF2"/>
    <w:rsid w:val="00D91037"/>
    <w:rsid w:val="00DA6F9E"/>
    <w:rsid w:val="00DF3BD6"/>
    <w:rsid w:val="00E3197C"/>
    <w:rsid w:val="00E5465F"/>
    <w:rsid w:val="00EB7E59"/>
    <w:rsid w:val="00EC0BCA"/>
    <w:rsid w:val="00ED7458"/>
    <w:rsid w:val="00F047C9"/>
    <w:rsid w:val="00F45D58"/>
    <w:rsid w:val="00FA1EDA"/>
    <w:rsid w:val="00FA3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BB6E618"/>
  <w15:docId w15:val="{1ABD1244-6673-A24F-B093-7321DECB4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07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07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007AD"/>
  </w:style>
  <w:style w:type="paragraph" w:styleId="a5">
    <w:name w:val="footer"/>
    <w:basedOn w:val="a"/>
    <w:link w:val="a6"/>
    <w:uiPriority w:val="99"/>
    <w:unhideWhenUsed/>
    <w:rsid w:val="009007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007AD"/>
  </w:style>
  <w:style w:type="paragraph" w:styleId="a7">
    <w:name w:val="Balloon Text"/>
    <w:basedOn w:val="a"/>
    <w:link w:val="a8"/>
    <w:uiPriority w:val="99"/>
    <w:semiHidden/>
    <w:unhideWhenUsed/>
    <w:rsid w:val="009470CF"/>
    <w:rPr>
      <w:rFonts w:ascii="Segoe UI" w:hAnsi="Segoe UI" w:cs="Segoe U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9470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345</Words>
  <Characters>1973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高田 尊信</dc:creator>
  <cp:keywords/>
  <dc:description/>
  <cp:lastModifiedBy>高田 尊信</cp:lastModifiedBy>
  <cp:revision>2</cp:revision>
  <dcterms:created xsi:type="dcterms:W3CDTF">2020-05-31T13:10:00Z</dcterms:created>
  <dcterms:modified xsi:type="dcterms:W3CDTF">2020-05-31T13:10:00Z</dcterms:modified>
</cp:coreProperties>
</file>