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color w:val="0000FF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FF"/>
          <w:sz w:val="28"/>
          <w:szCs w:val="28"/>
          <w:lang w:val="en-US" w:eastAsia="zh-CN"/>
        </w:rPr>
        <w:t>Highlights</w:t>
      </w:r>
      <w:r>
        <w:rPr>
          <w:rFonts w:hint="eastAsia" w:ascii="Times New Roman" w:hAnsi="Times New Roman" w:cs="Times New Roman"/>
          <w:b/>
          <w:bCs/>
          <w:color w:val="0000FF"/>
          <w:sz w:val="28"/>
          <w:szCs w:val="28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40" w:leftChars="0" w:hanging="440" w:hangingChars="200"/>
        <w:textAlignment w:val="auto"/>
        <w:rPr>
          <w:rFonts w:hint="eastAsia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Quantitative measurement of local environmental target constraints.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40" w:leftChars="0" w:hanging="440" w:hangingChars="200"/>
        <w:textAlignment w:val="auto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Measuring the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q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uality of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g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reen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i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nnovation in Chinese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l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isted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c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ompanies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u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tilizing the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b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 xml:space="preserve">readth of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k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>nowledge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40" w:leftChars="0" w:hanging="440" w:hangingChars="200"/>
        <w:textAlignment w:val="auto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>The positive impact of indirect environmental target constraint intensity on the quality of green innovation of enterprises has a marginal decreasing trend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40" w:leftChars="0" w:hanging="440" w:hangingChars="200"/>
        <w:textAlignment w:val="auto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I</w:t>
      </w:r>
      <w:r>
        <w:rPr>
          <w:rFonts w:hint="default" w:ascii="Times New Roman" w:hAnsi="Times New Roman" w:cs="Times New Roman"/>
          <w:sz w:val="22"/>
          <w:szCs w:val="28"/>
          <w:lang w:val="en-US" w:eastAsia="zh-CN"/>
        </w:rPr>
        <w:t>ndirect environmental target constraint intensity works better in areas with policies prioritizing city over province and with mayors less than 57 years old.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6B7BE"/>
    <w:multiLevelType w:val="singleLevel"/>
    <w:tmpl w:val="74B6B7B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B79F1"/>
    <w:rsid w:val="0C40723A"/>
    <w:rsid w:val="1BA76892"/>
    <w:rsid w:val="4347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2022-01-02T08:06:00Z</dcterms:created>
  <dc:creator>dlkj</dc:creator>
  <cp:lastModifiedBy>qxz</cp:lastModifiedBy>
  <dcterms:modified xsi:type="dcterms:W3CDTF">2022-02-02T06:37:55Z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6AD7428283C0422F8D0E6FE7B91C76DF</vt:lpwstr>
  </property>
</Properties>
</file>