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C9" w:rsidRDefault="005357C9" w:rsidP="005357C9">
      <w:pPr>
        <w:spacing w:after="0" w:line="480" w:lineRule="auto"/>
        <w:jc w:val="both"/>
        <w:rPr>
          <w:rFonts w:asciiTheme="majorHAnsi" w:hAnsiTheme="majorHAnsi" w:cstheme="majorHAnsi"/>
          <w:b/>
        </w:rPr>
      </w:pPr>
      <w:r w:rsidRPr="000F203B">
        <w:rPr>
          <w:rFonts w:asciiTheme="majorHAnsi" w:hAnsiTheme="majorHAnsi" w:cstheme="majorHAnsi"/>
          <w:b/>
        </w:rPr>
        <w:t>Supplementary</w:t>
      </w:r>
      <w:r>
        <w:rPr>
          <w:rFonts w:asciiTheme="majorHAnsi" w:hAnsiTheme="majorHAnsi" w:cstheme="majorHAnsi"/>
          <w:b/>
        </w:rPr>
        <w:t xml:space="preserve"> material for</w:t>
      </w:r>
    </w:p>
    <w:p w:rsidR="005357C9" w:rsidRDefault="005357C9" w:rsidP="005357C9">
      <w:pPr>
        <w:spacing w:after="0" w:line="480" w:lineRule="auto"/>
        <w:rPr>
          <w:b/>
        </w:rPr>
      </w:pPr>
      <w:r>
        <w:rPr>
          <w:b/>
        </w:rPr>
        <w:t xml:space="preserve">Antiviral efficacy of </w:t>
      </w:r>
      <w:sdt>
        <w:sdtPr>
          <w:tag w:val="goog_rdk_0"/>
          <w:id w:val="-448400790"/>
        </w:sdtPr>
        <w:sdtContent/>
      </w:sdt>
      <w:sdt>
        <w:sdtPr>
          <w:tag w:val="goog_rdk_1"/>
          <w:id w:val="1258020077"/>
        </w:sdtPr>
        <w:sdtContent/>
      </w:sdt>
      <w:sdt>
        <w:sdtPr>
          <w:tag w:val="goog_rdk_2"/>
          <w:id w:val="-909689763"/>
        </w:sdtPr>
        <w:sdtContent/>
      </w:sdt>
      <w:r>
        <w:rPr>
          <w:b/>
        </w:rPr>
        <w:t>cerium oxide nanoparticles</w:t>
      </w:r>
    </w:p>
    <w:p w:rsidR="005357C9" w:rsidRDefault="005357C9" w:rsidP="005357C9">
      <w:pPr>
        <w:spacing w:line="480" w:lineRule="auto"/>
      </w:pPr>
      <w:r>
        <w:t>Alexandra Nefedova</w:t>
      </w:r>
      <w:r>
        <w:rPr>
          <w:vertAlign w:val="superscript"/>
        </w:rPr>
        <w:t>1*</w:t>
      </w:r>
      <w:r>
        <w:t>, Kai Rausalu</w:t>
      </w:r>
      <w:r>
        <w:rPr>
          <w:vertAlign w:val="superscript"/>
        </w:rPr>
        <w:t>2*</w:t>
      </w:r>
      <w:r>
        <w:t>, Eva Zusinaite</w:t>
      </w:r>
      <w:r>
        <w:rPr>
          <w:vertAlign w:val="superscript"/>
        </w:rPr>
        <w:t>2</w:t>
      </w:r>
      <w:r>
        <w:t>, Alexander Vanetsev</w:t>
      </w:r>
      <w:r>
        <w:rPr>
          <w:vertAlign w:val="superscript"/>
        </w:rPr>
        <w:t>1</w:t>
      </w:r>
      <w:r>
        <w:t>, Merilin Rosenberg</w:t>
      </w:r>
      <w:r>
        <w:rPr>
          <w:vertAlign w:val="superscript"/>
        </w:rPr>
        <w:t>3,4</w:t>
      </w:r>
      <w:r>
        <w:t>, Kairi Koppel</w:t>
      </w:r>
      <w:r>
        <w:rPr>
          <w:vertAlign w:val="superscript"/>
        </w:rPr>
        <w:t>3</w:t>
      </w:r>
      <w:r>
        <w:t>, Stevin Lilla</w:t>
      </w:r>
      <w:r>
        <w:rPr>
          <w:vertAlign w:val="superscript"/>
        </w:rPr>
        <w:t>1</w:t>
      </w:r>
      <w:r>
        <w:t>, Meeri Visnapuu</w:t>
      </w:r>
      <w:r>
        <w:rPr>
          <w:vertAlign w:val="superscript"/>
        </w:rPr>
        <w:t>1</w:t>
      </w:r>
      <w:r>
        <w:t>, Krišjānis Šmits</w:t>
      </w:r>
      <w:r>
        <w:rPr>
          <w:vertAlign w:val="superscript"/>
        </w:rPr>
        <w:t>5</w:t>
      </w:r>
      <w:r>
        <w:t>, Vambola Kisand</w:t>
      </w:r>
      <w:r>
        <w:rPr>
          <w:vertAlign w:val="superscript"/>
        </w:rPr>
        <w:t>1</w:t>
      </w:r>
      <w:r>
        <w:t>, Tanel Tätte</w:t>
      </w:r>
      <w:r>
        <w:rPr>
          <w:vertAlign w:val="superscript"/>
        </w:rPr>
        <w:t>1</w:t>
      </w:r>
      <w:r>
        <w:t>, Angela Ivask</w:t>
      </w:r>
      <w:r>
        <w:rPr>
          <w:vertAlign w:val="superscript"/>
        </w:rPr>
        <w:t>3**</w:t>
      </w:r>
    </w:p>
    <w:p w:rsidR="005357C9" w:rsidRDefault="005357C9" w:rsidP="005357C9">
      <w:pPr>
        <w:spacing w:line="480" w:lineRule="auto"/>
      </w:pPr>
    </w:p>
    <w:p w:rsidR="005357C9" w:rsidRDefault="005357C9" w:rsidP="005357C9">
      <w:pPr>
        <w:spacing w:after="0" w:line="480" w:lineRule="auto"/>
      </w:pPr>
      <w:r>
        <w:rPr>
          <w:vertAlign w:val="superscript"/>
        </w:rPr>
        <w:t xml:space="preserve">1 </w:t>
      </w:r>
      <w:r>
        <w:t>Institute of Physics, University of Tartu, W. Ostwaldi Street 1, 50411, Tartu, Estonia</w:t>
      </w:r>
    </w:p>
    <w:p w:rsidR="005357C9" w:rsidRDefault="005357C9" w:rsidP="005357C9">
      <w:pPr>
        <w:spacing w:after="0" w:line="480" w:lineRule="auto"/>
      </w:pPr>
      <w:r>
        <w:rPr>
          <w:vertAlign w:val="superscript"/>
        </w:rPr>
        <w:t xml:space="preserve">2 </w:t>
      </w:r>
      <w:r>
        <w:t>Institute of Technology, University of Tartu, Nooruse Street 1, 50411, Tartu, Estonia</w:t>
      </w:r>
    </w:p>
    <w:p w:rsidR="005357C9" w:rsidRDefault="005357C9" w:rsidP="005357C9">
      <w:pPr>
        <w:spacing w:after="0" w:line="480" w:lineRule="auto"/>
      </w:pPr>
      <w:r>
        <w:rPr>
          <w:vertAlign w:val="superscript"/>
        </w:rPr>
        <w:t xml:space="preserve">3 </w:t>
      </w:r>
      <w:r>
        <w:t>Institute of Molecular and Cell Biology, University of Tartu, Riia Street 23, 51010, Tartu, Estonia</w:t>
      </w:r>
    </w:p>
    <w:p w:rsidR="005357C9" w:rsidRDefault="005357C9" w:rsidP="005357C9">
      <w:pPr>
        <w:spacing w:after="0" w:line="480" w:lineRule="auto"/>
      </w:pPr>
      <w:r>
        <w:rPr>
          <w:vertAlign w:val="superscript"/>
        </w:rPr>
        <w:t xml:space="preserve">4 </w:t>
      </w:r>
      <w:r>
        <w:t>Department of Chemistry and Biotechnology, Tallinn University of Technology, Akadeemia Street 15, 12618, Tallinn, Estonia</w:t>
      </w:r>
    </w:p>
    <w:p w:rsidR="005357C9" w:rsidRDefault="005357C9" w:rsidP="005357C9">
      <w:pPr>
        <w:spacing w:after="0" w:line="480" w:lineRule="auto"/>
      </w:pPr>
      <w:r>
        <w:rPr>
          <w:vertAlign w:val="superscript"/>
        </w:rPr>
        <w:t xml:space="preserve">5 </w:t>
      </w:r>
      <w:r>
        <w:t>Institute Solid State Physics, University of Latvia, Kengaraga Street 8, LV-1063, Riga, Latvia</w:t>
      </w:r>
    </w:p>
    <w:p w:rsidR="005357C9" w:rsidRDefault="005357C9" w:rsidP="005357C9">
      <w:pPr>
        <w:spacing w:line="480" w:lineRule="auto"/>
      </w:pPr>
    </w:p>
    <w:p w:rsidR="005357C9" w:rsidRDefault="005357C9" w:rsidP="005357C9">
      <w:pPr>
        <w:spacing w:after="0" w:line="480" w:lineRule="auto"/>
      </w:pPr>
      <w:r>
        <w:t>*Shared first authorship</w:t>
      </w:r>
    </w:p>
    <w:p w:rsidR="005357C9" w:rsidRDefault="005357C9" w:rsidP="005357C9">
      <w:pPr>
        <w:spacing w:after="0" w:line="480" w:lineRule="auto"/>
      </w:pPr>
      <w:r>
        <w:t xml:space="preserve">** Corresponding author: </w:t>
      </w:r>
      <w:r w:rsidRPr="00C43607">
        <w:t>angela.ivask@ut.ee</w:t>
      </w:r>
    </w:p>
    <w:p w:rsidR="005357C9" w:rsidRPr="000F203B" w:rsidRDefault="005357C9" w:rsidP="005357C9">
      <w:pPr>
        <w:spacing w:after="0" w:line="480" w:lineRule="auto"/>
        <w:jc w:val="both"/>
        <w:rPr>
          <w:rFonts w:asciiTheme="majorHAnsi" w:hAnsiTheme="majorHAnsi" w:cstheme="majorHAnsi"/>
          <w:b/>
        </w:rPr>
      </w:pPr>
      <w:bookmarkStart w:id="0" w:name="_GoBack"/>
      <w:bookmarkEnd w:id="0"/>
    </w:p>
    <w:p w:rsidR="005357C9" w:rsidRDefault="005357C9" w:rsidP="005357C9">
      <w:pPr>
        <w:spacing w:after="0" w:line="480" w:lineRule="auto"/>
        <w:jc w:val="both"/>
        <w:rPr>
          <w:b/>
          <w:sz w:val="20"/>
          <w:szCs w:val="20"/>
        </w:rPr>
      </w:pPr>
    </w:p>
    <w:p w:rsidR="005357C9" w:rsidRDefault="005357C9" w:rsidP="005357C9">
      <w:pPr>
        <w:spacing w:after="0" w:line="480" w:lineRule="auto"/>
        <w:jc w:val="center"/>
        <w:rPr>
          <w:b/>
          <w:sz w:val="20"/>
          <w:szCs w:val="20"/>
        </w:rPr>
      </w:pPr>
      <w:r>
        <w:rPr>
          <w:b/>
          <w:noProof/>
          <w:sz w:val="20"/>
          <w:szCs w:val="20"/>
          <w:lang w:eastAsia="en-US"/>
        </w:rPr>
        <w:lastRenderedPageBreak/>
        <w:drawing>
          <wp:inline distT="0" distB="0" distL="0" distR="0">
            <wp:extent cx="4810760" cy="7386955"/>
            <wp:effectExtent l="0" t="0" r="8890" b="4445"/>
            <wp:docPr id="3" name="Picture 3"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S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0760" cy="7386955"/>
                    </a:xfrm>
                    <a:prstGeom prst="rect">
                      <a:avLst/>
                    </a:prstGeom>
                    <a:noFill/>
                    <a:ln>
                      <a:noFill/>
                    </a:ln>
                  </pic:spPr>
                </pic:pic>
              </a:graphicData>
            </a:graphic>
          </wp:inline>
        </w:drawing>
      </w:r>
    </w:p>
    <w:p w:rsidR="005357C9" w:rsidRPr="00EC7884" w:rsidRDefault="005357C9" w:rsidP="005357C9">
      <w:pPr>
        <w:spacing w:after="0" w:line="480" w:lineRule="auto"/>
        <w:jc w:val="both"/>
        <w:rPr>
          <w:b/>
          <w:sz w:val="20"/>
          <w:szCs w:val="20"/>
        </w:rPr>
      </w:pPr>
      <w:r w:rsidRPr="00601C44">
        <w:rPr>
          <w:b/>
          <w:sz w:val="20"/>
          <w:szCs w:val="20"/>
        </w:rPr>
        <w:t>Figure S1</w:t>
      </w:r>
      <w:r w:rsidRPr="00601C44">
        <w:rPr>
          <w:sz w:val="20"/>
          <w:szCs w:val="20"/>
        </w:rPr>
        <w:t>.</w:t>
      </w:r>
      <w:r w:rsidRPr="00EC7884">
        <w:rPr>
          <w:sz w:val="20"/>
          <w:szCs w:val="20"/>
        </w:rPr>
        <w:t xml:space="preserve"> Particle size distribution as calculated from HRTEM images (left column) and from DLS data (right column). A: nano-CeO</w:t>
      </w:r>
      <w:r w:rsidRPr="00EC7884">
        <w:rPr>
          <w:sz w:val="20"/>
          <w:szCs w:val="20"/>
          <w:vertAlign w:val="subscript"/>
        </w:rPr>
        <w:t>2</w:t>
      </w:r>
      <w:r w:rsidRPr="00EC7884">
        <w:rPr>
          <w:sz w:val="20"/>
          <w:szCs w:val="20"/>
        </w:rPr>
        <w:t>(+), B: nano-CeO</w:t>
      </w:r>
      <w:r w:rsidRPr="00EC7884">
        <w:rPr>
          <w:sz w:val="20"/>
          <w:szCs w:val="20"/>
          <w:vertAlign w:val="subscript"/>
        </w:rPr>
        <w:t>2</w:t>
      </w:r>
      <w:r>
        <w:rPr>
          <w:sz w:val="20"/>
          <w:szCs w:val="20"/>
        </w:rPr>
        <w:t>(-), С</w:t>
      </w:r>
      <w:r w:rsidRPr="00EC7884">
        <w:rPr>
          <w:sz w:val="20"/>
          <w:szCs w:val="20"/>
        </w:rPr>
        <w:t>: nano-Ag, D: nano-SiO</w:t>
      </w:r>
      <w:r w:rsidRPr="00EC7884">
        <w:rPr>
          <w:sz w:val="20"/>
          <w:szCs w:val="20"/>
          <w:vertAlign w:val="subscript"/>
        </w:rPr>
        <w:t>2</w:t>
      </w:r>
      <w:r w:rsidRPr="00EC7884">
        <w:rPr>
          <w:sz w:val="20"/>
          <w:szCs w:val="20"/>
        </w:rPr>
        <w:t xml:space="preserve">. On DLS graphs the solid line is a distribution by the </w:t>
      </w:r>
      <w:r w:rsidRPr="00EC7884">
        <w:rPr>
          <w:sz w:val="20"/>
          <w:szCs w:val="20"/>
        </w:rPr>
        <w:lastRenderedPageBreak/>
        <w:t>number of particles and dashed line by intensity of scattering. HRTEM data is based on measuring the diameter of &gt;300 particles except for SiO</w:t>
      </w:r>
      <w:r w:rsidRPr="00EC7884">
        <w:rPr>
          <w:sz w:val="20"/>
          <w:szCs w:val="20"/>
          <w:vertAlign w:val="subscript"/>
        </w:rPr>
        <w:t>2</w:t>
      </w:r>
      <w:r w:rsidRPr="00EC7884">
        <w:rPr>
          <w:sz w:val="20"/>
          <w:szCs w:val="20"/>
        </w:rPr>
        <w:t xml:space="preserve"> (under 200 was measured due to complications with image analysis).</w:t>
      </w:r>
    </w:p>
    <w:p w:rsidR="005357C9" w:rsidRDefault="005357C9" w:rsidP="005357C9">
      <w:pPr>
        <w:spacing w:after="0" w:line="480" w:lineRule="auto"/>
        <w:jc w:val="both"/>
      </w:pPr>
    </w:p>
    <w:p w:rsidR="005357C9" w:rsidRDefault="005357C9" w:rsidP="005357C9">
      <w:pPr>
        <w:spacing w:after="0" w:line="480" w:lineRule="auto"/>
        <w:jc w:val="both"/>
        <w:rPr>
          <w:b/>
          <w:sz w:val="20"/>
          <w:szCs w:val="20"/>
        </w:rPr>
      </w:pPr>
      <w:r>
        <w:rPr>
          <w:b/>
          <w:noProof/>
          <w:sz w:val="20"/>
          <w:szCs w:val="20"/>
          <w:lang w:eastAsia="en-US"/>
        </w:rPr>
        <w:drawing>
          <wp:inline distT="0" distB="0" distL="0" distR="0">
            <wp:extent cx="5939790" cy="4182110"/>
            <wp:effectExtent l="0" t="0" r="3810" b="8890"/>
            <wp:docPr id="2" name="Picture 2"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S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4182110"/>
                    </a:xfrm>
                    <a:prstGeom prst="rect">
                      <a:avLst/>
                    </a:prstGeom>
                    <a:noFill/>
                    <a:ln>
                      <a:noFill/>
                    </a:ln>
                  </pic:spPr>
                </pic:pic>
              </a:graphicData>
            </a:graphic>
          </wp:inline>
        </w:drawing>
      </w:r>
    </w:p>
    <w:p w:rsidR="005357C9" w:rsidRPr="00EC7884" w:rsidRDefault="005357C9" w:rsidP="005357C9">
      <w:pPr>
        <w:spacing w:after="0" w:line="480" w:lineRule="auto"/>
        <w:jc w:val="both"/>
        <w:rPr>
          <w:sz w:val="20"/>
          <w:szCs w:val="20"/>
        </w:rPr>
      </w:pPr>
      <w:r w:rsidRPr="00601C44">
        <w:rPr>
          <w:b/>
          <w:sz w:val="20"/>
          <w:szCs w:val="20"/>
        </w:rPr>
        <w:t>Figure S2.</w:t>
      </w:r>
      <w:r w:rsidRPr="00601C44">
        <w:rPr>
          <w:sz w:val="20"/>
          <w:szCs w:val="20"/>
        </w:rPr>
        <w:t xml:space="preserve"> E</w:t>
      </w:r>
      <w:r w:rsidRPr="00EC7884">
        <w:rPr>
          <w:sz w:val="20"/>
          <w:szCs w:val="20"/>
        </w:rPr>
        <w:t>volution of hydrodynamic particle size with changing concentration of nano-CeO</w:t>
      </w:r>
      <w:r w:rsidRPr="00EC7884">
        <w:rPr>
          <w:sz w:val="20"/>
          <w:szCs w:val="20"/>
          <w:vertAlign w:val="subscript"/>
        </w:rPr>
        <w:t>2</w:t>
      </w:r>
      <w:r w:rsidRPr="00EC7884">
        <w:rPr>
          <w:sz w:val="20"/>
          <w:szCs w:val="20"/>
        </w:rPr>
        <w:t>(+) and (-) according to number fraction (left side) and intensity fraction (right side). The dilution of both nano-CeO</w:t>
      </w:r>
      <w:r w:rsidRPr="00EC7884">
        <w:rPr>
          <w:sz w:val="20"/>
          <w:szCs w:val="20"/>
          <w:vertAlign w:val="subscript"/>
        </w:rPr>
        <w:t>2</w:t>
      </w:r>
      <w:r w:rsidRPr="00EC7884">
        <w:rPr>
          <w:sz w:val="20"/>
          <w:szCs w:val="20"/>
        </w:rPr>
        <w:t>(+) and nano-CeO</w:t>
      </w:r>
      <w:r w:rsidRPr="00EC7884">
        <w:rPr>
          <w:sz w:val="20"/>
          <w:szCs w:val="20"/>
          <w:vertAlign w:val="subscript"/>
        </w:rPr>
        <w:t>2</w:t>
      </w:r>
      <w:r>
        <w:rPr>
          <w:sz w:val="20"/>
          <w:szCs w:val="20"/>
        </w:rPr>
        <w:t>(</w:t>
      </w:r>
      <w:r w:rsidRPr="005C5556">
        <w:rPr>
          <w:sz w:val="20"/>
          <w:szCs w:val="20"/>
        </w:rPr>
        <w:t>-</w:t>
      </w:r>
      <w:r w:rsidRPr="00EC7884">
        <w:rPr>
          <w:sz w:val="20"/>
          <w:szCs w:val="20"/>
        </w:rPr>
        <w:t>) colloids leads to aggregation of individual particles and disappearance of single nanoparticles. The aggregation is monotonous in case of nano-CeO</w:t>
      </w:r>
      <w:r w:rsidRPr="00EC7884">
        <w:rPr>
          <w:sz w:val="20"/>
          <w:szCs w:val="20"/>
          <w:vertAlign w:val="subscript"/>
        </w:rPr>
        <w:t>2</w:t>
      </w:r>
      <w:r w:rsidRPr="00EC7884">
        <w:rPr>
          <w:sz w:val="20"/>
          <w:szCs w:val="20"/>
        </w:rPr>
        <w:t>(+) but in case of nano-CeO</w:t>
      </w:r>
      <w:r w:rsidRPr="00EC7884">
        <w:rPr>
          <w:sz w:val="20"/>
          <w:szCs w:val="20"/>
          <w:vertAlign w:val="subscript"/>
        </w:rPr>
        <w:t>2</w:t>
      </w:r>
      <w:r w:rsidRPr="00EC7884">
        <w:rPr>
          <w:sz w:val="20"/>
          <w:szCs w:val="20"/>
        </w:rPr>
        <w:t xml:space="preserve">(-) the </w:t>
      </w:r>
      <w:sdt>
        <w:sdtPr>
          <w:rPr>
            <w:sz w:val="20"/>
            <w:szCs w:val="20"/>
          </w:rPr>
          <w:tag w:val="goog_rdk_135"/>
          <w:id w:val="-198083426"/>
        </w:sdtPr>
        <w:sdtContent>
          <w:r w:rsidRPr="00EC7884">
            <w:rPr>
              <w:sz w:val="20"/>
              <w:szCs w:val="20"/>
            </w:rPr>
            <w:t>particles</w:t>
          </w:r>
        </w:sdtContent>
      </w:sdt>
      <w:r w:rsidRPr="00EC7884">
        <w:rPr>
          <w:sz w:val="20"/>
          <w:szCs w:val="20"/>
        </w:rPr>
        <w:t xml:space="preserve"> behavior is more complex. While individual particles also tend to aggregate monotonously with the dilution, the size distribution of the final aggregates in these colloids is broad and multiband and changes in a non-linear manner.</w:t>
      </w:r>
    </w:p>
    <w:p w:rsidR="005357C9" w:rsidRDefault="005357C9" w:rsidP="005357C9">
      <w:pPr>
        <w:spacing w:after="0" w:line="480" w:lineRule="auto"/>
        <w:jc w:val="both"/>
        <w:rPr>
          <w:sz w:val="20"/>
          <w:szCs w:val="20"/>
        </w:rPr>
      </w:pPr>
    </w:p>
    <w:p w:rsidR="005357C9" w:rsidRPr="00EF5B88" w:rsidRDefault="005357C9" w:rsidP="005357C9">
      <w:pPr>
        <w:spacing w:after="0" w:line="480" w:lineRule="auto"/>
        <w:jc w:val="both"/>
        <w:rPr>
          <w:sz w:val="20"/>
          <w:szCs w:val="20"/>
        </w:rPr>
      </w:pPr>
      <w:r>
        <w:rPr>
          <w:noProof/>
          <w:sz w:val="20"/>
          <w:szCs w:val="20"/>
          <w:lang w:eastAsia="en-US"/>
        </w:rPr>
        <w:lastRenderedPageBreak/>
        <w:drawing>
          <wp:inline distT="0" distB="0" distL="0" distR="0">
            <wp:extent cx="5947410" cy="4429125"/>
            <wp:effectExtent l="0" t="0" r="0" b="9525"/>
            <wp:docPr id="1" name="Picture 1"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S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410" cy="4429125"/>
                    </a:xfrm>
                    <a:prstGeom prst="rect">
                      <a:avLst/>
                    </a:prstGeom>
                    <a:noFill/>
                    <a:ln>
                      <a:noFill/>
                    </a:ln>
                  </pic:spPr>
                </pic:pic>
              </a:graphicData>
            </a:graphic>
          </wp:inline>
        </w:drawing>
      </w:r>
    </w:p>
    <w:p w:rsidR="005357C9" w:rsidRDefault="005357C9" w:rsidP="005357C9">
      <w:pPr>
        <w:spacing w:after="0" w:line="480" w:lineRule="auto"/>
        <w:jc w:val="both"/>
        <w:rPr>
          <w:sz w:val="20"/>
          <w:szCs w:val="20"/>
        </w:rPr>
      </w:pPr>
      <w:r w:rsidRPr="00601C44">
        <w:rPr>
          <w:b/>
          <w:sz w:val="20"/>
          <w:szCs w:val="20"/>
        </w:rPr>
        <w:t>Figure S3.</w:t>
      </w:r>
      <w:r w:rsidRPr="00601C44">
        <w:rPr>
          <w:sz w:val="20"/>
          <w:szCs w:val="20"/>
        </w:rPr>
        <w:t xml:space="preserve"> Th</w:t>
      </w:r>
      <w:r>
        <w:rPr>
          <w:sz w:val="20"/>
          <w:szCs w:val="20"/>
        </w:rPr>
        <w:t>e e</w:t>
      </w:r>
      <w:r w:rsidRPr="00B41422">
        <w:rPr>
          <w:sz w:val="20"/>
          <w:szCs w:val="20"/>
        </w:rPr>
        <w:t xml:space="preserve">ffect of tested nanoparticles and chemicals on viability of host cells of mammalian viruses. </w:t>
      </w:r>
      <w:r>
        <w:rPr>
          <w:sz w:val="20"/>
          <w:szCs w:val="20"/>
        </w:rPr>
        <w:t xml:space="preserve">A: BHK-21 cells used as hosts for </w:t>
      </w:r>
      <w:r w:rsidRPr="00B41422">
        <w:rPr>
          <w:sz w:val="20"/>
          <w:szCs w:val="20"/>
        </w:rPr>
        <w:t>EMCV</w:t>
      </w:r>
      <w:r>
        <w:rPr>
          <w:sz w:val="20"/>
          <w:szCs w:val="20"/>
        </w:rPr>
        <w:t xml:space="preserve"> virus, B: Vero-E6 cells used as host for </w:t>
      </w:r>
      <w:r w:rsidRPr="00B41422">
        <w:rPr>
          <w:sz w:val="20"/>
          <w:szCs w:val="20"/>
        </w:rPr>
        <w:t>SARS-CoV-2</w:t>
      </w:r>
      <w:r>
        <w:rPr>
          <w:sz w:val="20"/>
          <w:szCs w:val="20"/>
        </w:rPr>
        <w:t xml:space="preserve"> virus, C: MDCK-2 cells used as a host for </w:t>
      </w:r>
      <w:r w:rsidRPr="00B41422">
        <w:rPr>
          <w:sz w:val="20"/>
          <w:szCs w:val="20"/>
        </w:rPr>
        <w:t>A/WSN/1933</w:t>
      </w:r>
      <w:r>
        <w:rPr>
          <w:sz w:val="20"/>
          <w:szCs w:val="20"/>
        </w:rPr>
        <w:t xml:space="preserve"> influenza virus, D: ST cells used as a host for TGEV virus.</w:t>
      </w:r>
      <w:r w:rsidRPr="002F3185">
        <w:rPr>
          <w:sz w:val="20"/>
          <w:szCs w:val="20"/>
        </w:rPr>
        <w:t xml:space="preserve"> </w:t>
      </w:r>
      <w:r>
        <w:rPr>
          <w:sz w:val="20"/>
          <w:szCs w:val="20"/>
        </w:rPr>
        <w:t>Average cell viability r</w:t>
      </w:r>
      <w:r w:rsidRPr="00B41422">
        <w:rPr>
          <w:sz w:val="20"/>
          <w:szCs w:val="20"/>
        </w:rPr>
        <w:t>esults</w:t>
      </w:r>
      <w:r>
        <w:rPr>
          <w:sz w:val="20"/>
          <w:szCs w:val="20"/>
        </w:rPr>
        <w:t xml:space="preserve"> (% viability compared with non-exposed cells)</w:t>
      </w:r>
      <w:r w:rsidRPr="00B41422">
        <w:rPr>
          <w:sz w:val="20"/>
          <w:szCs w:val="20"/>
        </w:rPr>
        <w:t xml:space="preserve"> of three experiments with standard deviation are shown. </w:t>
      </w:r>
      <w:r>
        <w:rPr>
          <w:sz w:val="20"/>
          <w:szCs w:val="20"/>
        </w:rPr>
        <w:t xml:space="preserve">Decrease of cellular viability to less than 80% (red dotted line) was considered cytotoxic. </w:t>
      </w:r>
      <w:r w:rsidRPr="00B41422">
        <w:rPr>
          <w:sz w:val="20"/>
          <w:szCs w:val="20"/>
        </w:rPr>
        <w:t>The highest concentration of nano-Ag was not analy</w:t>
      </w:r>
      <w:r>
        <w:rPr>
          <w:sz w:val="20"/>
          <w:szCs w:val="20"/>
        </w:rPr>
        <w:t>z</w:t>
      </w:r>
      <w:r w:rsidRPr="00B41422">
        <w:rPr>
          <w:sz w:val="20"/>
          <w:szCs w:val="20"/>
        </w:rPr>
        <w:t>ed as the highest concentration</w:t>
      </w:r>
      <w:r>
        <w:rPr>
          <w:sz w:val="20"/>
          <w:szCs w:val="20"/>
        </w:rPr>
        <w:t xml:space="preserve"> (14,270</w:t>
      </w:r>
      <w:r w:rsidRPr="002F3185">
        <w:rPr>
          <w:sz w:val="20"/>
          <w:szCs w:val="20"/>
        </w:rPr>
        <w:t xml:space="preserve"> </w:t>
      </w:r>
      <w:r w:rsidRPr="00B41422">
        <w:rPr>
          <w:sz w:val="20"/>
          <w:szCs w:val="20"/>
        </w:rPr>
        <w:t>μM</w:t>
      </w:r>
      <w:r>
        <w:rPr>
          <w:sz w:val="20"/>
          <w:szCs w:val="20"/>
        </w:rPr>
        <w:t>)</w:t>
      </w:r>
      <w:r w:rsidRPr="00B41422">
        <w:rPr>
          <w:sz w:val="20"/>
          <w:szCs w:val="20"/>
        </w:rPr>
        <w:t xml:space="preserve"> of the synthesized particles was 4400 μM. </w:t>
      </w:r>
    </w:p>
    <w:p w:rsidR="005357C9" w:rsidRDefault="005357C9" w:rsidP="005357C9">
      <w:pPr>
        <w:spacing w:after="0" w:line="480" w:lineRule="auto"/>
        <w:jc w:val="both"/>
        <w:rPr>
          <w:b/>
          <w:highlight w:val="yellow"/>
        </w:rPr>
      </w:pPr>
      <w:r w:rsidRPr="00B41422">
        <w:rPr>
          <w:sz w:val="20"/>
          <w:szCs w:val="20"/>
        </w:rPr>
        <w:t>During antiviral testing, the concentration of nanoparticles and Ce(NO</w:t>
      </w:r>
      <w:r w:rsidRPr="00B41422">
        <w:rPr>
          <w:sz w:val="20"/>
          <w:szCs w:val="20"/>
          <w:vertAlign w:val="subscript"/>
        </w:rPr>
        <w:t>3</w:t>
      </w:r>
      <w:r w:rsidRPr="00B41422">
        <w:rPr>
          <w:sz w:val="20"/>
          <w:szCs w:val="20"/>
        </w:rPr>
        <w:t>)</w:t>
      </w:r>
      <w:r w:rsidRPr="00B41422">
        <w:rPr>
          <w:sz w:val="20"/>
          <w:szCs w:val="20"/>
          <w:vertAlign w:val="subscript"/>
        </w:rPr>
        <w:t>3</w:t>
      </w:r>
      <w:r w:rsidRPr="00B41422">
        <w:rPr>
          <w:sz w:val="20"/>
          <w:szCs w:val="20"/>
        </w:rPr>
        <w:t xml:space="preserve"> that was exposed to viral host cells </w:t>
      </w:r>
      <w:r>
        <w:rPr>
          <w:sz w:val="20"/>
          <w:szCs w:val="20"/>
        </w:rPr>
        <w:t xml:space="preserve">in infection procedure </w:t>
      </w:r>
      <w:r w:rsidRPr="00B41422">
        <w:rPr>
          <w:sz w:val="20"/>
          <w:szCs w:val="20"/>
        </w:rPr>
        <w:t>was 10-fold lower compared with the concentrations in virus and nanoparticle/chemical mixtures. Therefore, if 14</w:t>
      </w:r>
      <w:r>
        <w:rPr>
          <w:sz w:val="20"/>
          <w:szCs w:val="20"/>
        </w:rPr>
        <w:t>,</w:t>
      </w:r>
      <w:r w:rsidRPr="00B41422">
        <w:rPr>
          <w:sz w:val="20"/>
          <w:szCs w:val="20"/>
        </w:rPr>
        <w:t>270 μM</w:t>
      </w:r>
      <w:r>
        <w:rPr>
          <w:sz w:val="20"/>
          <w:szCs w:val="20"/>
        </w:rPr>
        <w:t xml:space="preserve"> </w:t>
      </w:r>
      <w:r w:rsidRPr="00B41422">
        <w:rPr>
          <w:sz w:val="20"/>
          <w:szCs w:val="20"/>
        </w:rPr>
        <w:t>Ce(NO</w:t>
      </w:r>
      <w:r w:rsidRPr="00B41422">
        <w:rPr>
          <w:sz w:val="20"/>
          <w:szCs w:val="20"/>
          <w:vertAlign w:val="subscript"/>
        </w:rPr>
        <w:t>3</w:t>
      </w:r>
      <w:r w:rsidRPr="00B41422">
        <w:rPr>
          <w:sz w:val="20"/>
          <w:szCs w:val="20"/>
        </w:rPr>
        <w:t>)</w:t>
      </w:r>
      <w:r w:rsidRPr="00B41422">
        <w:rPr>
          <w:sz w:val="20"/>
          <w:szCs w:val="20"/>
          <w:vertAlign w:val="subscript"/>
        </w:rPr>
        <w:t>3</w:t>
      </w:r>
      <w:r w:rsidRPr="00B41422">
        <w:rPr>
          <w:sz w:val="20"/>
          <w:szCs w:val="20"/>
        </w:rPr>
        <w:t xml:space="preserve"> </w:t>
      </w:r>
      <w:r>
        <w:rPr>
          <w:sz w:val="20"/>
          <w:szCs w:val="20"/>
        </w:rPr>
        <w:t xml:space="preserve">was exposed to SARS-CoV-2, the concentration of </w:t>
      </w:r>
      <w:r w:rsidRPr="00B41422">
        <w:rPr>
          <w:sz w:val="20"/>
          <w:szCs w:val="20"/>
        </w:rPr>
        <w:t>Ce(NO</w:t>
      </w:r>
      <w:r w:rsidRPr="00B41422">
        <w:rPr>
          <w:sz w:val="20"/>
          <w:szCs w:val="20"/>
          <w:vertAlign w:val="subscript"/>
        </w:rPr>
        <w:t>3</w:t>
      </w:r>
      <w:r w:rsidRPr="00B41422">
        <w:rPr>
          <w:sz w:val="20"/>
          <w:szCs w:val="20"/>
        </w:rPr>
        <w:t>)</w:t>
      </w:r>
      <w:r w:rsidRPr="00B41422">
        <w:rPr>
          <w:sz w:val="20"/>
          <w:szCs w:val="20"/>
          <w:vertAlign w:val="subscript"/>
        </w:rPr>
        <w:t>3</w:t>
      </w:r>
      <w:r w:rsidRPr="00B41422">
        <w:rPr>
          <w:sz w:val="20"/>
          <w:szCs w:val="20"/>
        </w:rPr>
        <w:t xml:space="preserve"> </w:t>
      </w:r>
      <w:r>
        <w:rPr>
          <w:sz w:val="20"/>
          <w:szCs w:val="20"/>
        </w:rPr>
        <w:t xml:space="preserve">to be exposed to Vero-E6 cells in infection mixture was 1420 </w:t>
      </w:r>
      <w:r w:rsidRPr="00B41422">
        <w:rPr>
          <w:sz w:val="20"/>
          <w:szCs w:val="20"/>
        </w:rPr>
        <w:t>μM</w:t>
      </w:r>
      <w:r>
        <w:rPr>
          <w:sz w:val="20"/>
          <w:szCs w:val="20"/>
        </w:rPr>
        <w:t>.</w:t>
      </w:r>
    </w:p>
    <w:p w:rsidR="005131AB" w:rsidRDefault="005131AB"/>
    <w:sectPr w:rsidR="005131AB" w:rsidSect="006777EA">
      <w:footerReference w:type="default" r:id="rId7"/>
      <w:pgSz w:w="12240" w:h="15840"/>
      <w:pgMar w:top="1440" w:right="1440" w:bottom="1440" w:left="1440" w:header="708" w:footer="708" w:gutter="0"/>
      <w:lnNumType w:countBy="1"/>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626552"/>
      <w:docPartObj>
        <w:docPartGallery w:val="Page Numbers (Bottom of Page)"/>
        <w:docPartUnique/>
      </w:docPartObj>
    </w:sdtPr>
    <w:sdtEndPr>
      <w:rPr>
        <w:noProof/>
      </w:rPr>
    </w:sdtEndPr>
    <w:sdtContent>
      <w:p w:rsidR="004C0476" w:rsidRDefault="005357C9">
        <w:pPr>
          <w:pStyle w:val="Footer"/>
          <w:jc w:val="right"/>
        </w:pPr>
        <w:r>
          <w:fldChar w:fldCharType="begin"/>
        </w:r>
        <w:r>
          <w:instrText xml:space="preserve"> PAGE   \* MERGEFORMAT </w:instrText>
        </w:r>
        <w:r>
          <w:fldChar w:fldCharType="separate"/>
        </w:r>
        <w:r>
          <w:rPr>
            <w:noProof/>
          </w:rPr>
          <w:t>4</w:t>
        </w:r>
        <w:r>
          <w:rPr>
            <w:noProof/>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C9"/>
    <w:rsid w:val="005131AB"/>
    <w:rsid w:val="0053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7E45"/>
  <w15:chartTrackingRefBased/>
  <w15:docId w15:val="{9F5ECF76-480A-4CDB-B9DE-C3F99D9B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7C9"/>
    <w:rPr>
      <w:rFonts w:ascii="Calibri" w:eastAsiaTheme="minorEastAsia" w:hAnsi="Calibri" w:cs="Calibri"/>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5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7C9"/>
    <w:rPr>
      <w:rFonts w:ascii="Calibri" w:eastAsiaTheme="minorEastAsia" w:hAnsi="Calibri" w:cs="Calibri"/>
      <w:lang w:eastAsia="ja-JP"/>
    </w:rPr>
  </w:style>
  <w:style w:type="character" w:styleId="LineNumber">
    <w:name w:val="line number"/>
    <w:basedOn w:val="DefaultParagraphFont"/>
    <w:uiPriority w:val="99"/>
    <w:semiHidden/>
    <w:unhideWhenUsed/>
    <w:rsid w:val="00535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1</cp:revision>
  <dcterms:created xsi:type="dcterms:W3CDTF">2022-02-21T20:17:00Z</dcterms:created>
  <dcterms:modified xsi:type="dcterms:W3CDTF">2022-02-21T20:18:00Z</dcterms:modified>
</cp:coreProperties>
</file>