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D1BB7" w:rsidRDefault="009A128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2369820</wp:posOffset>
                </wp:positionH>
                <wp:positionV relativeFrom="paragraph">
                  <wp:posOffset>100330</wp:posOffset>
                </wp:positionV>
                <wp:extent cx="486888" cy="510639"/>
                <wp:effectExtent l="0" t="0" r="0" b="381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888" cy="5106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BB7" w:rsidRDefault="00A165BA">
                            <w:pP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44"/>
                                <w:szCs w:val="4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margin-left:186.6pt;margin-top:7.9pt;width:38.35pt;height:40.2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" filled="f" stroked="f" strokeweight=".5pt">
                <v:textbox>
                  <w:txbxContent>
                    <w:p w:rsidR="002D1BB7" w:rsidRDefault="00A165BA">
                      <w:pP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sz w:val="44"/>
                          <w:szCs w:val="4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138430</wp:posOffset>
                </wp:positionV>
                <wp:extent cx="486888" cy="510639"/>
                <wp:effectExtent l="0" t="0" r="0" b="381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888" cy="5106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BB7" w:rsidRDefault="00A165BA">
                            <w:pP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7" type="#_x0000_t202" style="position:absolute;margin-left:2.5pt;margin-top:10.9pt;width:38.35pt;height:40.2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" filled="f" stroked="f" strokeweight=".5pt">
                <v:textbox>
                  <w:txbxContent>
                    <w:p w:rsidR="002D1BB7" w:rsidRDefault="00A165BA">
                      <w:pP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26496" behindDoc="0" locked="0" layoutInCell="1" allowOverlap="1">
            <wp:simplePos x="0" y="0"/>
            <wp:positionH relativeFrom="column">
              <wp:posOffset>2348230</wp:posOffset>
            </wp:positionH>
            <wp:positionV relativeFrom="paragraph">
              <wp:posOffset>66675</wp:posOffset>
            </wp:positionV>
            <wp:extent cx="2850078" cy="2897579"/>
            <wp:effectExtent l="0" t="0" r="7620" b="0"/>
            <wp:wrapNone/>
            <wp:docPr id="4" name="图片 4" descr="D:\PHD  2013-2016\2013博士论文\电子耳蜗电场驱动ips细胞移植补充SGN改善听觉功能\ips cellBPEF 255CL sing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PHD  2013-2016\2013博士论文\电子耳蜗电场驱动ips细胞移植补充SGN改善听觉功能\ips cellBPEF 255CL singel.tif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0078" cy="2897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596800" behindDoc="0" locked="0" layoutInCell="1" allowOverlap="1">
            <wp:simplePos x="0" y="0"/>
            <wp:positionH relativeFrom="column">
              <wp:posOffset>35560</wp:posOffset>
            </wp:positionH>
            <wp:positionV relativeFrom="paragraph">
              <wp:posOffset>66675</wp:posOffset>
            </wp:positionV>
            <wp:extent cx="2220686" cy="1828800"/>
            <wp:effectExtent l="0" t="0" r="8255" b="0"/>
            <wp:wrapNone/>
            <wp:docPr id="1" name="图片 1" descr="D:\PHD  2013-2016\2013博士论文\电子耳蜗电场驱动ips细胞移植补充SGN改善听觉功能\BPEF 1-referenc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PHD  2013-2016\2013博士论文\电子耳蜗电场驱动ips细胞移植补充SGN改善听觉功能\BPEF 1-reference.tif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0686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18304" behindDoc="0" locked="0" layoutInCell="1" allowOverlap="1">
            <wp:simplePos x="0" y="0"/>
            <wp:positionH relativeFrom="column">
              <wp:posOffset>48895</wp:posOffset>
            </wp:positionH>
            <wp:positionV relativeFrom="paragraph">
              <wp:posOffset>135255</wp:posOffset>
            </wp:positionV>
            <wp:extent cx="2220686" cy="1068779"/>
            <wp:effectExtent l="19050" t="19050" r="27305" b="17145"/>
            <wp:wrapNone/>
            <wp:docPr id="2" name="图片 2" descr="D:\PHD  2013-2016\2013博士论文\电子耳蜗电场驱动ips细胞移植补充SGN改善听觉功能\wave of BPE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PHD  2013-2016\2013博士论文\电子耳蜗电场驱动ips细胞移植补充SGN改善听觉功能\wave of BPEF.tif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0686" cy="1068779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92D050"/>
                      </a:solidFill>
                    </a:ln>
                  </pic:spPr>
                </pic:pic>
              </a:graphicData>
            </a:graphic>
          </wp:anchor>
        </w:drawing>
      </w: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2386330</wp:posOffset>
                </wp:positionH>
                <wp:positionV relativeFrom="paragraph">
                  <wp:posOffset>63500</wp:posOffset>
                </wp:positionV>
                <wp:extent cx="486888" cy="510639"/>
                <wp:effectExtent l="0" t="0" r="0" b="381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888" cy="5106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BB7" w:rsidRDefault="00A165BA">
                            <w:pP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44"/>
                                <w:szCs w:val="4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8" type="#_x0000_t202" style="position:absolute;left:0;text-align:left;margin-left:187.9pt;margin-top:5pt;width:38.35pt;height:40.2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" filled="f" stroked="f" strokeweight=".5pt">
                <v:textbox>
                  <w:txbxContent>
                    <w:p w:rsidR="002D1BB7" w:rsidRDefault="00A165BA">
                      <w:pP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sz w:val="44"/>
                          <w:szCs w:val="4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71120</wp:posOffset>
                </wp:positionV>
                <wp:extent cx="486888" cy="510639"/>
                <wp:effectExtent l="0" t="0" r="0" b="381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888" cy="5106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D1BB7" w:rsidRDefault="00A165BA">
                            <w:pP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44"/>
                                <w:szCs w:val="4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9" type="#_x0000_t202" style="position:absolute;left:0;text-align:left;margin-left:6.8pt;margin-top:5.6pt;width:38.35pt;height:40.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" filled="f" stroked="f" strokeweight=".5pt">
                <v:textbox>
                  <w:txbxContent>
                    <w:p w:rsidR="002D1BB7" w:rsidRDefault="00A165BA">
                      <w:pP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sz w:val="44"/>
                          <w:szCs w:val="4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2305050</wp:posOffset>
            </wp:positionH>
            <wp:positionV relativeFrom="paragraph">
              <wp:posOffset>265430</wp:posOffset>
            </wp:positionV>
            <wp:extent cx="2971800" cy="1807210"/>
            <wp:effectExtent l="0" t="0" r="0" b="2540"/>
            <wp:wrapNone/>
            <wp:docPr id="6" name="图片 6" descr="D:\PHD  2013-2016\2013博士论文\电子耳蜗电场驱动ips细胞移植补充SGN改善听觉功能\ips grouth lin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PHD  2013-2016\2013博士论文\电子耳蜗电场驱动ips细胞移植补充SGN改善听觉功能\ips grouth line.tif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71755</wp:posOffset>
            </wp:positionV>
            <wp:extent cx="2208810" cy="2232561"/>
            <wp:effectExtent l="0" t="0" r="1270" b="0"/>
            <wp:wrapNone/>
            <wp:docPr id="5" name="图片 5" descr="D:\PHD  2013-2016\2013博士论文\电子耳蜗电场驱动ips细胞移植补充SGN改善听觉功能\ips cell BPEF 255CL move singel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PHD  2013-2016\2013博士论文\电子耳蜗电场驱动ips细胞移植补充SGN改善听觉功能\ips cell BPEF 255CL move singel .tif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8810" cy="223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1285" w:rsidRDefault="009A1285" w:rsidP="009A1285">
      <w:pPr>
        <w:rPr>
          <w:rFonts w:ascii="Arial" w:hAnsi="Arial" w:cs="Arial"/>
          <w:b/>
          <w:sz w:val="28"/>
          <w:szCs w:val="28"/>
        </w:rPr>
      </w:pPr>
    </w:p>
    <w:p w:rsidR="009A1285" w:rsidRDefault="009A1285" w:rsidP="009A1285">
      <w:pPr>
        <w:rPr>
          <w:rFonts w:ascii="Arial" w:hAnsi="Arial" w:cs="Arial"/>
          <w:b/>
          <w:sz w:val="28"/>
          <w:szCs w:val="28"/>
        </w:rPr>
      </w:pPr>
    </w:p>
    <w:p w:rsidR="009A1285" w:rsidRDefault="009A1285" w:rsidP="009A128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Fig</w:t>
      </w:r>
      <w:r w:rsidR="0019111C">
        <w:rPr>
          <w:rFonts w:ascii="Arial" w:hAnsi="Arial" w:cs="Arial"/>
          <w:b/>
          <w:sz w:val="28"/>
          <w:szCs w:val="28"/>
        </w:rPr>
        <w:t xml:space="preserve">. </w:t>
      </w:r>
      <w:r>
        <w:rPr>
          <w:rFonts w:ascii="Arial" w:hAnsi="Arial" w:cs="Arial"/>
          <w:b/>
          <w:sz w:val="28"/>
          <w:szCs w:val="28"/>
        </w:rPr>
        <w:t>S2</w:t>
      </w:r>
      <w:r w:rsidR="0019111C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 w:hint="eastAsia"/>
          <w:b/>
          <w:sz w:val="28"/>
          <w:szCs w:val="28"/>
        </w:rPr>
        <w:t>E</w:t>
      </w:r>
      <w:r w:rsidRPr="009A1285">
        <w:rPr>
          <w:rFonts w:ascii="Arial" w:hAnsi="Arial" w:cs="Arial"/>
          <w:b/>
          <w:sz w:val="28"/>
          <w:szCs w:val="28"/>
        </w:rPr>
        <w:t>lectric stimulation</w:t>
      </w:r>
      <w:r>
        <w:rPr>
          <w:rFonts w:ascii="Arial" w:hAnsi="Arial" w:cs="Arial"/>
          <w:b/>
          <w:sz w:val="28"/>
          <w:szCs w:val="28"/>
        </w:rPr>
        <w:t xml:space="preserve"> (ES) forced migration of </w:t>
      </w:r>
      <w:proofErr w:type="spellStart"/>
      <w:r>
        <w:rPr>
          <w:rFonts w:ascii="Arial" w:hAnsi="Arial" w:cs="Arial"/>
          <w:b/>
          <w:sz w:val="28"/>
          <w:szCs w:val="28"/>
        </w:rPr>
        <w:t>hiPS</w:t>
      </w:r>
      <w:r w:rsidR="0019111C">
        <w:rPr>
          <w:rFonts w:ascii="Arial" w:hAnsi="Arial" w:cs="Arial"/>
          <w:b/>
          <w:sz w:val="28"/>
          <w:szCs w:val="28"/>
        </w:rPr>
        <w:t>c</w:t>
      </w:r>
      <w:proofErr w:type="spellEnd"/>
      <w:r w:rsidR="0019111C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in vitro. </w:t>
      </w:r>
    </w:p>
    <w:p w:rsidR="009A1285" w:rsidRDefault="009A1285" w:rsidP="009A128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1285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A1285">
        <w:rPr>
          <w:rFonts w:ascii="Times New Roman" w:hAnsi="Times New Roman" w:cs="Times New Roman"/>
          <w:sz w:val="24"/>
          <w:szCs w:val="24"/>
        </w:rPr>
        <w:t>electric stimulation</w:t>
      </w:r>
      <w:r>
        <w:rPr>
          <w:rFonts w:ascii="Times New Roman" w:hAnsi="Times New Roman" w:cs="Times New Roman"/>
          <w:sz w:val="24"/>
          <w:szCs w:val="24"/>
        </w:rPr>
        <w:t xml:space="preserve"> (ES) occurred by cochlear implant electrode array</w:t>
      </w:r>
      <w:r>
        <w:rPr>
          <w:rFonts w:ascii="Times New Roman" w:hAnsi="Times New Roman" w:cs="Times New Roman" w:hint="eastAsia"/>
          <w:sz w:val="24"/>
          <w:szCs w:val="24"/>
        </w:rPr>
        <w:t xml:space="preserve"> (No.1 array and </w:t>
      </w:r>
      <w:r>
        <w:rPr>
          <w:rFonts w:ascii="Times New Roman" w:hAnsi="Times New Roman" w:cs="Times New Roman"/>
          <w:sz w:val="24"/>
          <w:szCs w:val="24"/>
        </w:rPr>
        <w:t>reference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array, </w:t>
      </w:r>
      <w:r>
        <w:rPr>
          <w:rFonts w:ascii="Times New Roman" w:hAnsi="Times New Roman" w:cs="Times New Roman"/>
          <w:sz w:val="24"/>
          <w:szCs w:val="24"/>
        </w:rPr>
        <w:t>white arrow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that was co-cultured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hiPS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cells. Range of ES (pulse amplitude, PA) range of 0-2600 </w:t>
      </w:r>
      <w:proofErr w:type="spellStart"/>
      <w:r>
        <w:rPr>
          <w:rFonts w:ascii="Times New Roman" w:hAnsi="Times New Roman" w:cs="Times New Roman"/>
          <w:sz w:val="24"/>
          <w:szCs w:val="24"/>
        </w:rPr>
        <w:t>uA</w:t>
      </w:r>
      <w:proofErr w:type="spellEnd"/>
      <w:r>
        <w:rPr>
          <w:rFonts w:ascii="Times New Roman" w:hAnsi="Times New Roman" w:cs="Times New Roman"/>
          <w:sz w:val="24"/>
          <w:szCs w:val="24"/>
        </w:rPr>
        <w:t>, pulse width</w:t>
      </w:r>
      <w:r>
        <w:rPr>
          <w:rFonts w:ascii="Times New Roman" w:hAnsi="Times New Roman" w:cs="Times New Roman"/>
          <w:sz w:val="24"/>
          <w:szCs w:val="24"/>
        </w:rPr>
        <w:t>（</w:t>
      </w:r>
      <w:r>
        <w:rPr>
          <w:rFonts w:ascii="Times New Roman" w:hAnsi="Times New Roman" w:cs="Times New Roman"/>
          <w:sz w:val="24"/>
          <w:szCs w:val="24"/>
        </w:rPr>
        <w:t xml:space="preserve">pulse width, PW) range 5-425 </w:t>
      </w:r>
      <w:proofErr w:type="spellStart"/>
      <w:r>
        <w:rPr>
          <w:rFonts w:ascii="Times New Roman" w:hAnsi="Times New Roman" w:cs="Times New Roman"/>
          <w:sz w:val="24"/>
          <w:szCs w:val="24"/>
        </w:rPr>
        <w:t>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phase separation (Intel phase gap, IPG) range 0-31 </w:t>
      </w:r>
      <w:proofErr w:type="spellStart"/>
      <w:r>
        <w:rPr>
          <w:rFonts w:ascii="Times New Roman" w:hAnsi="Times New Roman" w:cs="Times New Roman"/>
          <w:sz w:val="24"/>
          <w:szCs w:val="24"/>
        </w:rPr>
        <w:t>uS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A1285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>
        <w:rPr>
          <w:rFonts w:ascii="Times New Roman" w:hAnsi="Times New Roman" w:cs="Times New Roman"/>
          <w:sz w:val="24"/>
          <w:szCs w:val="24"/>
        </w:rPr>
        <w:t xml:space="preserve">Migration of </w:t>
      </w:r>
      <w:r>
        <w:rPr>
          <w:rFonts w:ascii="Times New Roman" w:hAnsi="Times New Roman" w:cs="Times New Roman"/>
          <w:sz w:val="24"/>
          <w:szCs w:val="24"/>
        </w:rPr>
        <w:lastRenderedPageBreak/>
        <w:t>cells were monitored under a Delta Vison Alive Cell Image System.</w:t>
      </w:r>
      <w:r>
        <w:rPr>
          <w:rFonts w:ascii="Tahoma" w:hAnsi="Tahoma" w:cs="Tahoma"/>
          <w:color w:val="666666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observation time for 24 hours, every 10 minutes a frame</w:t>
      </w:r>
      <w:r>
        <w:rPr>
          <w:rFonts w:ascii="Times New Roman" w:hAnsi="Times New Roman" w:cs="Times New Roman" w:hint="eastAsia"/>
          <w:sz w:val="24"/>
          <w:szCs w:val="24"/>
        </w:rPr>
        <w:t>. We c</w:t>
      </w:r>
      <w:r>
        <w:rPr>
          <w:rFonts w:ascii="Times New Roman" w:hAnsi="Times New Roman" w:cs="Times New Roman"/>
          <w:sz w:val="24"/>
          <w:szCs w:val="24"/>
        </w:rPr>
        <w:t>an simultaneously track 5 clon</w:t>
      </w:r>
      <w:r>
        <w:rPr>
          <w:rFonts w:ascii="Times New Roman" w:hAnsi="Times New Roman" w:cs="Times New Roman" w:hint="eastAsia"/>
          <w:sz w:val="24"/>
          <w:szCs w:val="24"/>
        </w:rPr>
        <w:t>es in one f</w:t>
      </w:r>
      <w:r>
        <w:rPr>
          <w:rFonts w:ascii="Times New Roman" w:hAnsi="Times New Roman" w:cs="Times New Roman"/>
          <w:sz w:val="24"/>
          <w:szCs w:val="24"/>
        </w:rPr>
        <w:t>ield of vision</w:t>
      </w:r>
      <w:r>
        <w:rPr>
          <w:rFonts w:ascii="Times New Roman" w:hAnsi="Times New Roman" w:cs="Times New Roman" w:hint="eastAsia"/>
          <w:sz w:val="24"/>
          <w:szCs w:val="24"/>
        </w:rPr>
        <w:t xml:space="preserve">, each </w:t>
      </w:r>
      <w:r>
        <w:rPr>
          <w:rFonts w:ascii="Times New Roman" w:hAnsi="Times New Roman" w:cs="Times New Roman"/>
          <w:sz w:val="24"/>
          <w:szCs w:val="24"/>
        </w:rPr>
        <w:t xml:space="preserve">clone average contains 20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hiPS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cells</w:t>
      </w:r>
      <w:r>
        <w:rPr>
          <w:rFonts w:ascii="Times New Roman" w:hAnsi="Times New Roman" w:cs="Times New Roman" w:hint="eastAsia"/>
          <w:sz w:val="24"/>
          <w:szCs w:val="24"/>
        </w:rPr>
        <w:t xml:space="preserve">. Red point shows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hiPS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clone</w:t>
      </w:r>
      <w:r>
        <w:rPr>
          <w:rFonts w:ascii="Times New Roman" w:hAnsi="Times New Roman" w:cs="Times New Roman"/>
          <w:sz w:val="24"/>
          <w:szCs w:val="24"/>
        </w:rPr>
        <w:t>. Different colors represent time sequence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blue is </w:t>
      </w:r>
      <w:proofErr w:type="gramStart"/>
      <w:r>
        <w:rPr>
          <w:rFonts w:ascii="Times New Roman" w:hAnsi="Times New Roman" w:cs="Times New Roman"/>
          <w:sz w:val="24"/>
          <w:szCs w:val="24"/>
        </w:rPr>
        <w:t>more close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the starting time,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red is more close to the end of time. </w:t>
      </w:r>
      <w:r w:rsidRPr="009A1285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9A12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Vector analysis </w:t>
      </w:r>
      <w:r>
        <w:rPr>
          <w:rFonts w:ascii="Times New Roman" w:hAnsi="Times New Roman" w:cs="Times New Roman" w:hint="eastAsia"/>
          <w:sz w:val="24"/>
          <w:szCs w:val="24"/>
        </w:rPr>
        <w:t xml:space="preserve">showed </w:t>
      </w:r>
      <w:r>
        <w:rPr>
          <w:rFonts w:ascii="Times New Roman" w:hAnsi="Times New Roman" w:cs="Times New Roman"/>
          <w:sz w:val="24"/>
          <w:szCs w:val="24"/>
        </w:rPr>
        <w:t>a clear migration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hiPS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cells</w:t>
      </w:r>
      <w:r>
        <w:rPr>
          <w:rFonts w:ascii="Times New Roman" w:hAnsi="Times New Roman" w:cs="Times New Roman"/>
          <w:sz w:val="24"/>
          <w:szCs w:val="24"/>
        </w:rPr>
        <w:t xml:space="preserve"> toward to the electrode</w:t>
      </w:r>
      <w:r>
        <w:rPr>
          <w:rFonts w:ascii="Times New Roman" w:hAnsi="Times New Roman" w:cs="Times New Roman" w:hint="eastAsia"/>
          <w:sz w:val="24"/>
          <w:szCs w:val="24"/>
        </w:rPr>
        <w:t xml:space="preserve"> array. Red point shows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hiPS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clone. </w:t>
      </w:r>
      <w:r>
        <w:rPr>
          <w:rFonts w:ascii="Times New Roman" w:hAnsi="Times New Roman" w:cs="Times New Roman"/>
          <w:sz w:val="24"/>
          <w:szCs w:val="24"/>
        </w:rPr>
        <w:t>Different colors represent time sequence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blue is </w:t>
      </w:r>
      <w:proofErr w:type="gramStart"/>
      <w:r>
        <w:rPr>
          <w:rFonts w:ascii="Times New Roman" w:hAnsi="Times New Roman" w:cs="Times New Roman"/>
          <w:sz w:val="24"/>
          <w:szCs w:val="24"/>
        </w:rPr>
        <w:t>more close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the starting time,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red is more close to the end of time. </w:t>
      </w:r>
      <w:r w:rsidRPr="009A1285">
        <w:rPr>
          <w:rFonts w:ascii="Times New Roman" w:hAnsi="Times New Roman" w:cs="Times New Roman"/>
          <w:b/>
          <w:bCs/>
          <w:sz w:val="24"/>
          <w:szCs w:val="24"/>
        </w:rPr>
        <w:t>(D)</w:t>
      </w:r>
      <w:r w:rsidRPr="009A12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hiPS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cells showed a clear migration toward to the electrode and the tracking speed increased to 0.007 ± 0.002 µm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 50 C</w:t>
      </w:r>
      <w:r>
        <w:rPr>
          <w:rFonts w:ascii="Times New Roman" w:hAnsi="Times New Roman" w:cs="Times New Roman" w:hint="eastAsia"/>
          <w:sz w:val="24"/>
          <w:szCs w:val="24"/>
        </w:rPr>
        <w:t xml:space="preserve">L. </w:t>
      </w:r>
      <w:r>
        <w:rPr>
          <w:rFonts w:ascii="Times New Roman" w:hAnsi="Times New Roman" w:cs="Times New Roman"/>
          <w:sz w:val="24"/>
          <w:szCs w:val="24"/>
        </w:rPr>
        <w:t>The tracking speed peaked at 50</w:t>
      </w:r>
      <w:r>
        <w:rPr>
          <w:rFonts w:ascii="Times New Roman" w:hAnsi="Times New Roman" w:cs="Times New Roman" w:hint="eastAsia"/>
          <w:sz w:val="24"/>
          <w:szCs w:val="24"/>
        </w:rPr>
        <w:t>CL</w:t>
      </w:r>
      <w:r>
        <w:rPr>
          <w:rFonts w:ascii="Times New Roman" w:hAnsi="Times New Roman" w:cs="Times New Roman"/>
          <w:sz w:val="24"/>
          <w:szCs w:val="24"/>
        </w:rPr>
        <w:t xml:space="preserve"> and slightly decreased after the current increased above 100CL. The average speed maintained at about 0.005 ± 0.002 µm at 100 – 225CL, n=700 for each CL point.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statistical analysis showed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iPS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cell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migration speed was significantly increased under </w:t>
      </w:r>
      <w:bookmarkStart w:id="0" w:name="_Hlk39295671"/>
      <w:r>
        <w:rPr>
          <w:rFonts w:ascii="Times New Roman" w:hAnsi="Times New Roman" w:cs="Times New Roman"/>
          <w:sz w:val="24"/>
          <w:szCs w:val="24"/>
        </w:rPr>
        <w:t>electric stimulation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(one-way ANOVA, p=0.032) and there was no difference after the electrical current at above 50 CL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(one-way ANOVA, p=0.127)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2D1BB7" w:rsidRPr="009A1285" w:rsidRDefault="002D1BB7" w:rsidP="003A53FD">
      <w:pPr>
        <w:tabs>
          <w:tab w:val="left" w:pos="63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2D1BB7" w:rsidRPr="009A1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1304A" w:rsidRDefault="0001304A" w:rsidP="002741AE">
      <w:r>
        <w:separator/>
      </w:r>
    </w:p>
  </w:endnote>
  <w:endnote w:type="continuationSeparator" w:id="0">
    <w:p w:rsidR="0001304A" w:rsidRDefault="0001304A" w:rsidP="00274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1304A" w:rsidRDefault="0001304A" w:rsidP="002741AE">
      <w:r>
        <w:separator/>
      </w:r>
    </w:p>
  </w:footnote>
  <w:footnote w:type="continuationSeparator" w:id="0">
    <w:p w:rsidR="0001304A" w:rsidRDefault="0001304A" w:rsidP="00274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5358"/>
    <w:rsid w:val="0001304A"/>
    <w:rsid w:val="000227ED"/>
    <w:rsid w:val="000A7465"/>
    <w:rsid w:val="0019111C"/>
    <w:rsid w:val="002510C0"/>
    <w:rsid w:val="00252D28"/>
    <w:rsid w:val="002741AE"/>
    <w:rsid w:val="002D1BB7"/>
    <w:rsid w:val="002F50B1"/>
    <w:rsid w:val="002F7173"/>
    <w:rsid w:val="00351A0D"/>
    <w:rsid w:val="003A53FD"/>
    <w:rsid w:val="0051455C"/>
    <w:rsid w:val="007137C4"/>
    <w:rsid w:val="00717F80"/>
    <w:rsid w:val="007A42F4"/>
    <w:rsid w:val="007D4912"/>
    <w:rsid w:val="0089190A"/>
    <w:rsid w:val="008919B0"/>
    <w:rsid w:val="008F168E"/>
    <w:rsid w:val="00922D7E"/>
    <w:rsid w:val="0097274B"/>
    <w:rsid w:val="009A1285"/>
    <w:rsid w:val="009D5066"/>
    <w:rsid w:val="00A165BA"/>
    <w:rsid w:val="00AE3955"/>
    <w:rsid w:val="00B168AB"/>
    <w:rsid w:val="00B26078"/>
    <w:rsid w:val="00B321CD"/>
    <w:rsid w:val="00BA29CA"/>
    <w:rsid w:val="00BE778C"/>
    <w:rsid w:val="00CE09EB"/>
    <w:rsid w:val="00D05358"/>
    <w:rsid w:val="00D323F2"/>
    <w:rsid w:val="00E14154"/>
    <w:rsid w:val="00E45904"/>
    <w:rsid w:val="00EA249C"/>
    <w:rsid w:val="00F20360"/>
    <w:rsid w:val="0C0B5414"/>
    <w:rsid w:val="54EF5D22"/>
    <w:rsid w:val="5968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EC5029F"/>
  <w15:docId w15:val="{CB878F0D-AB06-4F96-8D00-EA851348E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陈伟</dc:creator>
  <cp:lastModifiedBy>陈 伟</cp:lastModifiedBy>
  <cp:revision>17</cp:revision>
  <dcterms:created xsi:type="dcterms:W3CDTF">2017-02-09T01:31:00Z</dcterms:created>
  <dcterms:modified xsi:type="dcterms:W3CDTF">2020-05-06T02:37:00Z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