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73C" w:rsidRPr="00305917" w:rsidRDefault="0077773C" w:rsidP="0077773C">
      <w:pPr>
        <w:pStyle w:val="Title"/>
        <w:spacing w:line="276" w:lineRule="auto"/>
        <w:jc w:val="center"/>
        <w:rPr>
          <w:rFonts w:ascii="Arial" w:hAnsi="Arial" w:cs="Arial"/>
          <w:b/>
          <w:sz w:val="28"/>
          <w:szCs w:val="22"/>
        </w:rPr>
      </w:pPr>
      <w:r w:rsidRPr="00305917">
        <w:rPr>
          <w:rFonts w:ascii="Arial" w:hAnsi="Arial" w:cs="Arial"/>
          <w:b/>
          <w:sz w:val="28"/>
          <w:szCs w:val="22"/>
        </w:rPr>
        <w:t>Nitric oxide biosensor uncovers diminished ferrous iron-dependency of cultured cells adapted to physiological oxygen</w:t>
      </w:r>
    </w:p>
    <w:p w:rsidR="0077773C" w:rsidRPr="00305917" w:rsidRDefault="0077773C" w:rsidP="0077773C">
      <w:pPr>
        <w:jc w:val="center"/>
      </w:pPr>
    </w:p>
    <w:p w:rsidR="0077773C" w:rsidRPr="00305917" w:rsidRDefault="0077773C" w:rsidP="0077773C">
      <w:pPr>
        <w:spacing w:line="360" w:lineRule="auto"/>
        <w:rPr>
          <w:i/>
          <w:szCs w:val="22"/>
          <w:vertAlign w:val="superscript"/>
        </w:rPr>
      </w:pPr>
      <w:r w:rsidRPr="00305917">
        <w:rPr>
          <w:i/>
          <w:szCs w:val="22"/>
        </w:rPr>
        <w:t>Gulsah Sevimli</w:t>
      </w:r>
      <w:r w:rsidRPr="00305917">
        <w:rPr>
          <w:i/>
          <w:szCs w:val="22"/>
          <w:vertAlign w:val="superscript"/>
        </w:rPr>
        <w:t>1,#</w:t>
      </w:r>
      <w:r w:rsidRPr="00305917">
        <w:rPr>
          <w:i/>
          <w:szCs w:val="22"/>
        </w:rPr>
        <w:t>, Matthew J. Smith</w:t>
      </w:r>
      <w:r w:rsidRPr="00305917">
        <w:rPr>
          <w:i/>
          <w:szCs w:val="22"/>
          <w:vertAlign w:val="superscript"/>
        </w:rPr>
        <w:t>2,#</w:t>
      </w:r>
      <w:r w:rsidRPr="00305917">
        <w:rPr>
          <w:i/>
          <w:szCs w:val="22"/>
        </w:rPr>
        <w:t>, Tuba Akgul Caglar</w:t>
      </w:r>
      <w:r w:rsidRPr="00305917">
        <w:rPr>
          <w:i/>
          <w:szCs w:val="22"/>
          <w:vertAlign w:val="superscript"/>
        </w:rPr>
        <w:t>1,3,#</w:t>
      </w:r>
      <w:r w:rsidRPr="00305917">
        <w:rPr>
          <w:i/>
          <w:szCs w:val="22"/>
        </w:rPr>
        <w:t>, Şükriye Bilir</w:t>
      </w:r>
      <w:r w:rsidRPr="00305917">
        <w:rPr>
          <w:i/>
          <w:szCs w:val="22"/>
          <w:vertAlign w:val="superscript"/>
        </w:rPr>
        <w:t>3,#</w:t>
      </w:r>
      <w:r w:rsidRPr="00305917">
        <w:rPr>
          <w:i/>
          <w:szCs w:val="22"/>
        </w:rPr>
        <w:t>, Melike Secilmis</w:t>
      </w:r>
      <w:r w:rsidRPr="00305917">
        <w:rPr>
          <w:i/>
          <w:szCs w:val="22"/>
          <w:vertAlign w:val="superscript"/>
        </w:rPr>
        <w:t>1</w:t>
      </w:r>
      <w:r w:rsidRPr="00305917">
        <w:rPr>
          <w:i/>
          <w:szCs w:val="22"/>
        </w:rPr>
        <w:t>, Hamza Y. Altun</w:t>
      </w:r>
      <w:r w:rsidRPr="00305917">
        <w:rPr>
          <w:i/>
          <w:szCs w:val="22"/>
          <w:vertAlign w:val="superscript"/>
        </w:rPr>
        <w:t>1,</w:t>
      </w:r>
      <w:r w:rsidRPr="00305917">
        <w:rPr>
          <w:i/>
          <w:szCs w:val="22"/>
        </w:rPr>
        <w:t>, Esra N. Yigit</w:t>
      </w:r>
      <w:r w:rsidRPr="00305917">
        <w:rPr>
          <w:i/>
          <w:szCs w:val="22"/>
          <w:vertAlign w:val="superscript"/>
        </w:rPr>
        <w:t>3,4</w:t>
      </w:r>
      <w:r w:rsidRPr="00305917">
        <w:rPr>
          <w:i/>
          <w:szCs w:val="22"/>
        </w:rPr>
        <w:t>, Fan Yang</w:t>
      </w:r>
      <w:r w:rsidRPr="00305917">
        <w:rPr>
          <w:i/>
          <w:szCs w:val="22"/>
          <w:vertAlign w:val="superscript"/>
        </w:rPr>
        <w:t>2</w:t>
      </w:r>
      <w:r w:rsidRPr="00305917">
        <w:rPr>
          <w:i/>
          <w:szCs w:val="22"/>
        </w:rPr>
        <w:t>, Roland Malli</w:t>
      </w:r>
      <w:r w:rsidRPr="00305917">
        <w:rPr>
          <w:i/>
          <w:szCs w:val="22"/>
          <w:vertAlign w:val="superscript"/>
        </w:rPr>
        <w:t>5,6</w:t>
      </w:r>
      <w:r w:rsidRPr="00305917">
        <w:rPr>
          <w:i/>
          <w:szCs w:val="22"/>
        </w:rPr>
        <w:t>, Gürkan Öztürk</w:t>
      </w:r>
      <w:r w:rsidRPr="00305917">
        <w:rPr>
          <w:i/>
          <w:szCs w:val="22"/>
          <w:vertAlign w:val="superscript"/>
        </w:rPr>
        <w:t>3,7</w:t>
      </w:r>
      <w:r w:rsidRPr="00305917">
        <w:rPr>
          <w:i/>
          <w:szCs w:val="22"/>
        </w:rPr>
        <w:t>, Giovanni E. Mann</w:t>
      </w:r>
      <w:r w:rsidRPr="00305917">
        <w:rPr>
          <w:i/>
          <w:szCs w:val="22"/>
          <w:vertAlign w:val="superscript"/>
        </w:rPr>
        <w:t>2,¶,</w:t>
      </w:r>
      <w:r w:rsidRPr="00305917">
        <w:rPr>
          <w:i/>
          <w:szCs w:val="22"/>
        </w:rPr>
        <w:t>* and Emrah Eroglu</w:t>
      </w:r>
      <w:r w:rsidRPr="00305917">
        <w:rPr>
          <w:i/>
          <w:szCs w:val="22"/>
          <w:vertAlign w:val="superscript"/>
        </w:rPr>
        <w:t>1,3,¶,</w:t>
      </w:r>
      <w:r w:rsidRPr="00305917">
        <w:rPr>
          <w:i/>
          <w:szCs w:val="22"/>
        </w:rPr>
        <w:t>*</w:t>
      </w: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rPr>
          <w:bCs/>
        </w:rPr>
      </w:pPr>
      <w:r w:rsidRPr="00305917">
        <w:rPr>
          <w:b/>
          <w:bCs/>
        </w:rPr>
        <w:t xml:space="preserve">Correspondence: </w:t>
      </w:r>
      <w:hyperlink r:id="rId4" w:history="1">
        <w:r w:rsidRPr="00305917">
          <w:rPr>
            <w:rStyle w:val="Hyperlink"/>
            <w:bCs/>
          </w:rPr>
          <w:t>giovanni.mann@kcl.ac.uk</w:t>
        </w:r>
      </w:hyperlink>
      <w:r w:rsidRPr="00305917">
        <w:rPr>
          <w:bCs/>
        </w:rPr>
        <w:t xml:space="preserve"> and </w:t>
      </w:r>
      <w:hyperlink r:id="rId5" w:history="1">
        <w:r w:rsidRPr="00305917">
          <w:rPr>
            <w:rStyle w:val="Hyperlink"/>
            <w:bCs/>
          </w:rPr>
          <w:t>emrah.eroglu@sabanciuniv.edu</w:t>
        </w:r>
      </w:hyperlink>
    </w:p>
    <w:p w:rsidR="0077773C" w:rsidRPr="00305917" w:rsidRDefault="0077773C" w:rsidP="0077773C">
      <w:pPr>
        <w:spacing w:line="360" w:lineRule="auto"/>
        <w:rPr>
          <w:b/>
          <w:bCs/>
        </w:rPr>
      </w:pPr>
    </w:p>
    <w:p w:rsidR="0077773C" w:rsidRPr="00305917" w:rsidRDefault="0077773C" w:rsidP="0077773C">
      <w:pPr>
        <w:spacing w:line="360" w:lineRule="auto"/>
        <w:rPr>
          <w:bCs/>
          <w:sz w:val="24"/>
        </w:rPr>
      </w:pPr>
      <w:r w:rsidRPr="00305917">
        <w:rPr>
          <w:bCs/>
          <w:sz w:val="24"/>
        </w:rPr>
        <w:t>Supplementary Figures 1-6</w:t>
      </w:r>
    </w:p>
    <w:p w:rsidR="0077773C" w:rsidRPr="00305917" w:rsidRDefault="0077773C" w:rsidP="0077773C">
      <w:pPr>
        <w:spacing w:line="360" w:lineRule="auto"/>
        <w:rPr>
          <w:bCs/>
        </w:rPr>
      </w:pPr>
      <w:r w:rsidRPr="00305917">
        <w:rPr>
          <w:bCs/>
          <w:sz w:val="24"/>
        </w:rPr>
        <w:t>Supplementary Table 1</w:t>
      </w:r>
    </w:p>
    <w:p w:rsidR="0077773C" w:rsidRPr="00305917" w:rsidRDefault="0077773C" w:rsidP="0077773C">
      <w:pPr>
        <w:rPr>
          <w:b/>
          <w:bCs/>
        </w:rPr>
      </w:pPr>
      <w:r w:rsidRPr="00305917">
        <w:rPr>
          <w:b/>
          <w:bCs/>
        </w:rPr>
        <w:br w:type="page"/>
      </w:r>
    </w:p>
    <w:p w:rsidR="0077773C" w:rsidRPr="00305917" w:rsidRDefault="0077773C" w:rsidP="0077773C">
      <w:pPr>
        <w:spacing w:line="360" w:lineRule="auto"/>
        <w:rPr>
          <w:b/>
          <w:bCs/>
        </w:rPr>
      </w:pPr>
      <w:r w:rsidRPr="00305917">
        <w:rPr>
          <w:b/>
          <w:bCs/>
        </w:rPr>
        <w:lastRenderedPageBreak/>
        <w:t>Supplementary Figures</w:t>
      </w:r>
    </w:p>
    <w:p w:rsidR="0077773C" w:rsidRPr="00305917" w:rsidRDefault="0077773C" w:rsidP="0077773C">
      <w:pPr>
        <w:spacing w:line="360" w:lineRule="auto"/>
        <w:rPr>
          <w:b/>
          <w:bCs/>
        </w:rPr>
      </w:pPr>
    </w:p>
    <w:p w:rsidR="0077773C" w:rsidRPr="00305917" w:rsidRDefault="0077773C" w:rsidP="0077773C">
      <w:pPr>
        <w:spacing w:line="360" w:lineRule="auto"/>
      </w:pPr>
      <w:r w:rsidRPr="00305917">
        <w:rPr>
          <w:noProof/>
        </w:rPr>
        <w:drawing>
          <wp:inline distT="0" distB="0" distL="0" distR="0" wp14:anchorId="4890B8BA" wp14:editId="730B851E">
            <wp:extent cx="5943600" cy="3962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pic:spPr>
                </pic:pic>
              </a:graphicData>
            </a:graphic>
          </wp:inline>
        </w:drawing>
      </w:r>
    </w:p>
    <w:p w:rsidR="0077773C" w:rsidRPr="00305917" w:rsidRDefault="0077773C" w:rsidP="0077773C">
      <w:pPr>
        <w:spacing w:line="240" w:lineRule="auto"/>
      </w:pPr>
      <w:r w:rsidRPr="00305917">
        <w:rPr>
          <w:b/>
          <w:bCs/>
        </w:rPr>
        <w:t>Supplementary Fig. 1</w:t>
      </w:r>
      <w:r w:rsidRPr="00305917">
        <w:t xml:space="preserve">: </w:t>
      </w:r>
      <w:r w:rsidRPr="00305917">
        <w:rPr>
          <w:b/>
          <w:bCs/>
        </w:rPr>
        <w:t>Short or long-term adaptation of HEK293T cells in different culture media under 18 kPa O</w:t>
      </w:r>
      <w:r w:rsidRPr="00305917">
        <w:rPr>
          <w:b/>
          <w:bCs/>
          <w:vertAlign w:val="subscript"/>
        </w:rPr>
        <w:t>2</w:t>
      </w:r>
      <w:r w:rsidRPr="00305917">
        <w:rPr>
          <w:b/>
          <w:bCs/>
        </w:rPr>
        <w:t xml:space="preserve">. a, </w:t>
      </w:r>
      <w:r w:rsidRPr="00305917">
        <w:t xml:space="preserve">Figures in this panel show NO responses of cultured cells in different culture media (DMEM, Advanced DMEM, F12, or F12K) and different iron (II) supplementation. Cells were maintained in the indicated culture media for 24 h. </w:t>
      </w:r>
      <w:r w:rsidRPr="00305917">
        <w:rPr>
          <w:b/>
          <w:bCs/>
        </w:rPr>
        <w:t>b,</w:t>
      </w:r>
      <w:r w:rsidRPr="00305917">
        <w:t xml:space="preserve"> Figures in this panel show the same procedure as in panel a, but cell treatments were continued for 21 days. After adaptation, either 24 h (a) or 21 days (b) cells were tested for geNOps functionality either without any other iron (II) treatment (light grey curves or bars), or 1 mM ascorbate (blue curves or bars), or 1 mM FeSO</w:t>
      </w:r>
      <w:r w:rsidRPr="00305917">
        <w:rPr>
          <w:vertAlign w:val="subscript"/>
        </w:rPr>
        <w:t xml:space="preserve">4 </w:t>
      </w:r>
      <w:r w:rsidRPr="00305917">
        <w:t>(orange curves or bars), or the combination of 1 mM FeSO</w:t>
      </w:r>
      <w:r w:rsidRPr="00305917">
        <w:rPr>
          <w:vertAlign w:val="subscript"/>
        </w:rPr>
        <w:t>4</w:t>
      </w:r>
      <w:r w:rsidRPr="00305917">
        <w:t xml:space="preserve"> and 1 mM ascorbate (pink curves or bars) for 20 min before imaging. All experiments were repeated in triplicate, and 50-120 individual cells were analyzed for each condition. Dunnett</w:t>
      </w:r>
      <w:r>
        <w:t>'</w:t>
      </w:r>
      <w:r w:rsidRPr="00305917">
        <w:t xml:space="preserve">s Multiple Comparison Test was applied to compare all columns with the control column. All values denote mean ± S.D., </w:t>
      </w:r>
      <w:r w:rsidRPr="00305917">
        <w:rPr>
          <w:i/>
          <w:iCs/>
        </w:rPr>
        <w:t>P</w:t>
      </w:r>
      <w:r w:rsidRPr="00305917">
        <w:t xml:space="preserve">-value summary: </w:t>
      </w:r>
      <w:r w:rsidRPr="00305917">
        <w:rPr>
          <w:i/>
          <w:iCs/>
        </w:rPr>
        <w:t>P&lt;0.0001</w:t>
      </w:r>
      <w:r w:rsidRPr="00305917">
        <w:t xml:space="preserve"> (</w:t>
      </w:r>
      <w:r w:rsidRPr="00305917">
        <w:rPr>
          <w:vertAlign w:val="superscript"/>
        </w:rPr>
        <w:t>■■■</w:t>
      </w:r>
      <w:r w:rsidRPr="00305917">
        <w:t>Control vs -Fe</w:t>
      </w:r>
      <w:r w:rsidRPr="00305917">
        <w:rPr>
          <w:vertAlign w:val="superscript"/>
        </w:rPr>
        <w:t>2+</w:t>
      </w:r>
      <w:r w:rsidRPr="00305917">
        <w:t xml:space="preserve">/ +Asc; </w:t>
      </w:r>
      <w:r w:rsidRPr="00305917">
        <w:rPr>
          <w:vertAlign w:val="superscript"/>
        </w:rPr>
        <w:t>###</w:t>
      </w:r>
      <w:r w:rsidRPr="00305917">
        <w:t>Control vs +Fe</w:t>
      </w:r>
      <w:r w:rsidRPr="00305917">
        <w:rPr>
          <w:vertAlign w:val="superscript"/>
        </w:rPr>
        <w:t>2+</w:t>
      </w:r>
      <w:r w:rsidRPr="00305917">
        <w:t>/ -Asc; ***Control vs +Fe</w:t>
      </w:r>
      <w:r w:rsidRPr="00305917">
        <w:rPr>
          <w:vertAlign w:val="superscript"/>
        </w:rPr>
        <w:t>2+</w:t>
      </w:r>
      <w:r w:rsidRPr="00305917">
        <w:t xml:space="preserve">/ +Asc.  </w:t>
      </w: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rPr>
          <w:b/>
          <w:bCs/>
        </w:rPr>
      </w:pPr>
    </w:p>
    <w:p w:rsidR="0077773C" w:rsidRPr="00305917" w:rsidRDefault="0077773C" w:rsidP="0077773C">
      <w:pPr>
        <w:spacing w:line="360" w:lineRule="auto"/>
      </w:pPr>
      <w:r w:rsidRPr="00305917">
        <w:rPr>
          <w:noProof/>
        </w:rPr>
        <w:lastRenderedPageBreak/>
        <w:drawing>
          <wp:inline distT="0" distB="0" distL="0" distR="0" wp14:anchorId="1BFED007" wp14:editId="197F6766">
            <wp:extent cx="5943600" cy="196787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967876"/>
                    </a:xfrm>
                    <a:prstGeom prst="rect">
                      <a:avLst/>
                    </a:prstGeom>
                    <a:noFill/>
                  </pic:spPr>
                </pic:pic>
              </a:graphicData>
            </a:graphic>
          </wp:inline>
        </w:drawing>
      </w:r>
    </w:p>
    <w:p w:rsidR="0077773C" w:rsidRPr="00305917" w:rsidRDefault="0077773C" w:rsidP="0077773C">
      <w:pPr>
        <w:spacing w:before="120" w:line="240" w:lineRule="auto"/>
      </w:pPr>
      <w:r w:rsidRPr="00305917">
        <w:rPr>
          <w:b/>
          <w:bCs/>
        </w:rPr>
        <w:t>Supplementary Fig. 2: Long-term adaptation of HEK293T cells to FeSO</w:t>
      </w:r>
      <w:r w:rsidRPr="00305917">
        <w:rPr>
          <w:b/>
          <w:bCs/>
          <w:vertAlign w:val="subscript"/>
        </w:rPr>
        <w:t>4</w:t>
      </w:r>
      <w:r w:rsidRPr="00305917">
        <w:rPr>
          <w:b/>
          <w:bCs/>
        </w:rPr>
        <w:t xml:space="preserve"> or ascorbate under 18 kPa O</w:t>
      </w:r>
      <w:r w:rsidRPr="00305917">
        <w:rPr>
          <w:b/>
          <w:bCs/>
          <w:vertAlign w:val="subscript"/>
        </w:rPr>
        <w:t>2</w:t>
      </w:r>
      <w:r w:rsidRPr="00305917">
        <w:rPr>
          <w:b/>
          <w:bCs/>
        </w:rPr>
        <w:t xml:space="preserve">. </w:t>
      </w:r>
      <w:r w:rsidRPr="00305917">
        <w:t xml:space="preserve">Representative phase-contrast images of cells expressing O-geNOp-NES treated with different concentrations of </w:t>
      </w:r>
      <w:r>
        <w:rPr>
          <w:b/>
          <w:bCs/>
        </w:rPr>
        <w:t xml:space="preserve">a, </w:t>
      </w:r>
      <w:r w:rsidRPr="00305917">
        <w:t xml:space="preserve">ascorbate or </w:t>
      </w:r>
      <w:r>
        <w:rPr>
          <w:b/>
          <w:bCs/>
        </w:rPr>
        <w:t xml:space="preserve">b, </w:t>
      </w:r>
      <w:r w:rsidRPr="00305917">
        <w:t>FeSO</w:t>
      </w:r>
      <w:r w:rsidRPr="00305917">
        <w:rPr>
          <w:vertAlign w:val="subscript"/>
        </w:rPr>
        <w:t>4</w:t>
      </w:r>
      <w:r w:rsidRPr="00305917">
        <w:t xml:space="preserve"> as indicated. Representative real-time NO traces in cells expressing O-geNOp-NES adapted for 14 days to increasing concentrations of </w:t>
      </w:r>
      <w:r>
        <w:rPr>
          <w:b/>
          <w:bCs/>
        </w:rPr>
        <w:t xml:space="preserve">c, </w:t>
      </w:r>
      <w:r w:rsidRPr="00305917">
        <w:t xml:space="preserve">ascorbate or </w:t>
      </w:r>
      <w:r>
        <w:rPr>
          <w:b/>
          <w:bCs/>
        </w:rPr>
        <w:t xml:space="preserve">d, </w:t>
      </w:r>
      <w:r w:rsidRPr="00305917">
        <w:t>FeSO</w:t>
      </w:r>
      <w:r w:rsidRPr="00305917">
        <w:rPr>
          <w:vertAlign w:val="subscript"/>
        </w:rPr>
        <w:t xml:space="preserve">4 </w:t>
      </w:r>
      <w:r w:rsidRPr="00305917">
        <w:rPr>
          <w:bCs/>
        </w:rPr>
        <w:t>as indicated in the legends</w:t>
      </w:r>
      <w:r w:rsidRPr="00305917">
        <w:t>. All experiments were repeated in triplicates, and 27-111 individual cells were analyzed for each condition. All values are given as mean ± S.D., and Dunnett</w:t>
      </w:r>
      <w:r>
        <w:t>'</w:t>
      </w:r>
      <w:r w:rsidRPr="00305917">
        <w:t>s Multiple Comparison Test was applied to compare all columns to the control column.</w:t>
      </w:r>
    </w:p>
    <w:p w:rsidR="0077773C" w:rsidRPr="00305917" w:rsidRDefault="0077773C" w:rsidP="0077773C">
      <w:pPr>
        <w:spacing w:line="360" w:lineRule="auto"/>
      </w:pPr>
    </w:p>
    <w:p w:rsidR="0077773C" w:rsidRPr="00305917" w:rsidRDefault="0077773C" w:rsidP="0077773C">
      <w:pPr>
        <w:spacing w:line="360" w:lineRule="auto"/>
      </w:pPr>
      <w:r w:rsidRPr="00305917">
        <w:br w:type="page"/>
      </w:r>
    </w:p>
    <w:p w:rsidR="0077773C" w:rsidRPr="00305917" w:rsidRDefault="0077773C" w:rsidP="0077773C">
      <w:pPr>
        <w:spacing w:line="360" w:lineRule="auto"/>
      </w:pPr>
      <w:r w:rsidRPr="00305917">
        <w:rPr>
          <w:noProof/>
        </w:rPr>
        <w:lastRenderedPageBreak/>
        <w:drawing>
          <wp:inline distT="0" distB="0" distL="0" distR="0" wp14:anchorId="47AE7923" wp14:editId="0B6A1FB1">
            <wp:extent cx="5943600" cy="512981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129816"/>
                    </a:xfrm>
                    <a:prstGeom prst="rect">
                      <a:avLst/>
                    </a:prstGeom>
                    <a:noFill/>
                  </pic:spPr>
                </pic:pic>
              </a:graphicData>
            </a:graphic>
          </wp:inline>
        </w:drawing>
      </w:r>
    </w:p>
    <w:p w:rsidR="0077773C" w:rsidRPr="00305917" w:rsidRDefault="0077773C" w:rsidP="0077773C">
      <w:pPr>
        <w:spacing w:line="240" w:lineRule="auto"/>
      </w:pPr>
    </w:p>
    <w:p w:rsidR="0077773C" w:rsidRPr="00305917" w:rsidRDefault="0077773C" w:rsidP="0077773C">
      <w:pPr>
        <w:spacing w:line="240" w:lineRule="auto"/>
        <w:rPr>
          <w:i/>
          <w:iCs/>
        </w:rPr>
      </w:pPr>
      <w:r w:rsidRPr="00305917">
        <w:rPr>
          <w:b/>
          <w:bCs/>
        </w:rPr>
        <w:t xml:space="preserve">Supplementary Fig.3: Live-cell imaging unveils intracellular distribution and </w:t>
      </w:r>
      <w:r>
        <w:rPr>
          <w:b/>
          <w:bCs/>
        </w:rPr>
        <w:t>iron (II) uptake</w:t>
      </w:r>
      <w:r w:rsidRPr="00305917">
        <w:rPr>
          <w:b/>
          <w:bCs/>
        </w:rPr>
        <w:t xml:space="preserve"> in EA.hy926 and HEK293T cells following long-term adaptation to 18 or 5 kPa O</w:t>
      </w:r>
      <w:r w:rsidRPr="00305917">
        <w:rPr>
          <w:b/>
          <w:bCs/>
          <w:vertAlign w:val="subscript"/>
        </w:rPr>
        <w:t>2</w:t>
      </w:r>
      <w:r w:rsidRPr="00305917">
        <w:rPr>
          <w:b/>
          <w:bCs/>
        </w:rPr>
        <w:t>. a,</w:t>
      </w:r>
      <w:r w:rsidRPr="00305917">
        <w:t xml:space="preserve"> High-resolution confocal images show Z-stacks of HEK293T cells treated with 1 mM FeSO</w:t>
      </w:r>
      <w:r w:rsidRPr="00305917">
        <w:rPr>
          <w:vertAlign w:val="subscript"/>
        </w:rPr>
        <w:t>4</w:t>
      </w:r>
      <w:r w:rsidRPr="00305917">
        <w:t xml:space="preserve"> and 1 mM ascorbate for 20 min and co-stained with Hoechst and FeRhoNox-1. </w:t>
      </w:r>
      <w:r w:rsidRPr="00305917">
        <w:rPr>
          <w:b/>
          <w:bCs/>
        </w:rPr>
        <w:t xml:space="preserve"> b, </w:t>
      </w:r>
      <w:r w:rsidRPr="00305917">
        <w:rPr>
          <w:bCs/>
        </w:rPr>
        <w:t>Phase-contrast images of Perls/DAB stained HEK293T cells under control condition or following treatment with 1 mM ascorbate, or 1 mM FeSO</w:t>
      </w:r>
      <w:r w:rsidRPr="00305917">
        <w:rPr>
          <w:bCs/>
          <w:vertAlign w:val="subscript"/>
        </w:rPr>
        <w:t>4</w:t>
      </w:r>
      <w:r>
        <w:rPr>
          <w:bCs/>
        </w:rPr>
        <w:t>, or</w:t>
      </w:r>
      <w:r w:rsidRPr="00305917">
        <w:rPr>
          <w:bCs/>
        </w:rPr>
        <w:t xml:space="preserve"> 1 mM FeSO</w:t>
      </w:r>
      <w:r w:rsidRPr="00305917">
        <w:rPr>
          <w:bCs/>
          <w:vertAlign w:val="subscript"/>
        </w:rPr>
        <w:t>4</w:t>
      </w:r>
      <w:r w:rsidRPr="00305917">
        <w:rPr>
          <w:bCs/>
        </w:rPr>
        <w:t xml:space="preserve"> + 1 mM ascorbate for 20 min. </w:t>
      </w:r>
      <w:r w:rsidRPr="00305917">
        <w:t xml:space="preserve">Normalized FeRhoNox-1 fluorescent intensities in EA.hy926 </w:t>
      </w:r>
      <w:r w:rsidRPr="00281E94">
        <w:rPr>
          <w:b/>
        </w:rPr>
        <w:t>(</w:t>
      </w:r>
      <w:r>
        <w:rPr>
          <w:b/>
        </w:rPr>
        <w:t xml:space="preserve">c) </w:t>
      </w:r>
      <w:r w:rsidRPr="00305917">
        <w:t xml:space="preserve">and </w:t>
      </w:r>
      <w:r>
        <w:t xml:space="preserve">HEK293T </w:t>
      </w:r>
      <w:r w:rsidRPr="00281E94">
        <w:rPr>
          <w:b/>
        </w:rPr>
        <w:t>(d)</w:t>
      </w:r>
      <w:r>
        <w:t xml:space="preserve"> </w:t>
      </w:r>
      <w:r w:rsidRPr="00305917">
        <w:t>cells following long-term adaption to 18 kPa (light grey bars) or 5 kPa O</w:t>
      </w:r>
      <w:r w:rsidRPr="00305917">
        <w:rPr>
          <w:vertAlign w:val="subscript"/>
        </w:rPr>
        <w:t>2</w:t>
      </w:r>
      <w:r w:rsidRPr="00305917">
        <w:t xml:space="preserve"> (dark grey bars) under non-treated conditions, 1mM FeSO</w:t>
      </w:r>
      <w:r w:rsidRPr="00305917">
        <w:rPr>
          <w:vertAlign w:val="subscript"/>
        </w:rPr>
        <w:t>4,</w:t>
      </w:r>
      <w:r w:rsidRPr="00305917">
        <w:t xml:space="preserve"> 1 mM ascorbate and 1 mM FeSO</w:t>
      </w:r>
      <w:r w:rsidRPr="00305917">
        <w:rPr>
          <w:vertAlign w:val="subscript"/>
        </w:rPr>
        <w:t>4</w:t>
      </w:r>
      <w:r w:rsidRPr="00305917">
        <w:t xml:space="preserve"> + 1 mM ascorbate for 20 min. Data denote mean ± S.E.M., n=6 different cell cultures, Tukey's Multiple Comparison Test, </w:t>
      </w:r>
      <w:r w:rsidRPr="00305917">
        <w:rPr>
          <w:i/>
          <w:iCs/>
        </w:rPr>
        <w:t>P</w:t>
      </w:r>
      <w:r w:rsidRPr="00305917">
        <w:t>-value summary: *</w:t>
      </w:r>
      <w:r w:rsidRPr="00305917">
        <w:rPr>
          <w:i/>
          <w:iCs/>
        </w:rPr>
        <w:t>P&lt;0.05.</w:t>
      </w:r>
    </w:p>
    <w:p w:rsidR="0077773C" w:rsidRPr="00305917" w:rsidRDefault="0077773C" w:rsidP="0077773C">
      <w:pPr>
        <w:spacing w:line="240" w:lineRule="auto"/>
      </w:pPr>
    </w:p>
    <w:p w:rsidR="0077773C" w:rsidRPr="00305917" w:rsidRDefault="0077773C" w:rsidP="0077773C">
      <w:pPr>
        <w:spacing w:line="360" w:lineRule="auto"/>
      </w:pPr>
    </w:p>
    <w:p w:rsidR="0077773C" w:rsidRPr="00305917" w:rsidRDefault="0077773C" w:rsidP="0077773C">
      <w:pPr>
        <w:spacing w:line="360" w:lineRule="auto"/>
      </w:pPr>
      <w:r w:rsidRPr="00305917">
        <w:br w:type="page"/>
      </w:r>
    </w:p>
    <w:p w:rsidR="0077773C" w:rsidRPr="00305917" w:rsidRDefault="0077773C" w:rsidP="0077773C">
      <w:pPr>
        <w:spacing w:line="240" w:lineRule="auto"/>
        <w:rPr>
          <w:b/>
          <w:bCs/>
        </w:rPr>
      </w:pPr>
      <w:r w:rsidRPr="00305917">
        <w:rPr>
          <w:b/>
          <w:bCs/>
          <w:noProof/>
        </w:rPr>
        <w:lastRenderedPageBreak/>
        <w:drawing>
          <wp:inline distT="0" distB="0" distL="0" distR="0" wp14:anchorId="014E72F7" wp14:editId="399D20E8">
            <wp:extent cx="5929508" cy="25431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6145" cy="2550311"/>
                    </a:xfrm>
                    <a:prstGeom prst="rect">
                      <a:avLst/>
                    </a:prstGeom>
                    <a:noFill/>
                  </pic:spPr>
                </pic:pic>
              </a:graphicData>
            </a:graphic>
          </wp:inline>
        </w:drawing>
      </w:r>
    </w:p>
    <w:p w:rsidR="0077773C" w:rsidRPr="00305917" w:rsidRDefault="0077773C" w:rsidP="0077773C">
      <w:pPr>
        <w:spacing w:line="240" w:lineRule="auto"/>
        <w:rPr>
          <w:b/>
          <w:bCs/>
        </w:rPr>
      </w:pPr>
    </w:p>
    <w:p w:rsidR="0077773C" w:rsidRPr="00305917" w:rsidRDefault="0077773C" w:rsidP="0077773C">
      <w:pPr>
        <w:spacing w:line="240" w:lineRule="auto"/>
      </w:pPr>
      <w:r w:rsidRPr="00305917">
        <w:rPr>
          <w:b/>
          <w:bCs/>
        </w:rPr>
        <w:t xml:space="preserve">Supplementary Fig. 4: Optimization of iron (II) loading process using Taguchi experimental design. </w:t>
      </w:r>
      <w:r w:rsidRPr="00305917">
        <w:t>Curves in this figure show real-time traces of NO responses in HEK293T cells under 18 kPa O</w:t>
      </w:r>
      <w:r w:rsidRPr="00305917">
        <w:rPr>
          <w:vertAlign w:val="subscript"/>
        </w:rPr>
        <w:t>2</w:t>
      </w:r>
      <w:r w:rsidRPr="00305917">
        <w:t xml:space="preserve"> and pretreated with different iron(II) and ascorbate concentrations for 5 min </w:t>
      </w:r>
      <w:r w:rsidRPr="00305917">
        <w:rPr>
          <w:b/>
        </w:rPr>
        <w:t xml:space="preserve">(a), </w:t>
      </w:r>
      <w:r w:rsidRPr="00305917">
        <w:t xml:space="preserve">10 min </w:t>
      </w:r>
      <w:r w:rsidRPr="00305917">
        <w:rPr>
          <w:b/>
        </w:rPr>
        <w:t>(b)</w:t>
      </w:r>
      <w:r w:rsidRPr="00305917">
        <w:t xml:space="preserve">, 15 min </w:t>
      </w:r>
      <w:r w:rsidRPr="00305917">
        <w:rPr>
          <w:b/>
        </w:rPr>
        <w:t>(c)</w:t>
      </w:r>
      <w:r w:rsidRPr="00305917">
        <w:t xml:space="preserve">, or 20 min </w:t>
      </w:r>
      <w:r w:rsidRPr="00305917">
        <w:rPr>
          <w:b/>
        </w:rPr>
        <w:t>(d)</w:t>
      </w:r>
      <w:r w:rsidRPr="00305917">
        <w:t>. Bars show mean ± S.D. of experiments conducted in duplicate in accordance with Taguchi design of experiments, with the number of individual cells ranging between 25 to 105 cells. For statistical analysis, 1 mM FeSO</w:t>
      </w:r>
      <w:r w:rsidRPr="00305917">
        <w:rPr>
          <w:vertAlign w:val="subscript"/>
        </w:rPr>
        <w:t>4</w:t>
      </w:r>
      <w:r w:rsidRPr="00305917">
        <w:t xml:space="preserve"> + 1 mM ascorbate for 10 min has been used as the control for comparison with other treatments Tukey's Multiple Comparison Test (panel b, right panel), in all other panels, Bonferroni's Multiple Comparison Test was performed. </w:t>
      </w:r>
      <w:r w:rsidRPr="009D3227">
        <w:rPr>
          <w:i/>
        </w:rPr>
        <w:t>P-values</w:t>
      </w:r>
      <w:r w:rsidRPr="00305917">
        <w:t xml:space="preserve"> are indicated</w:t>
      </w:r>
      <w:r>
        <w:t>,</w:t>
      </w:r>
      <w:r w:rsidRPr="00305917">
        <w:t xml:space="preserve"> respectively. </w:t>
      </w:r>
      <w:r w:rsidRPr="00305917">
        <w:br w:type="page"/>
      </w:r>
    </w:p>
    <w:p w:rsidR="0077773C" w:rsidRPr="00305917" w:rsidRDefault="0077773C" w:rsidP="0077773C">
      <w:pPr>
        <w:spacing w:line="360" w:lineRule="auto"/>
        <w:jc w:val="left"/>
      </w:pPr>
      <w:r w:rsidRPr="00305917">
        <w:rPr>
          <w:noProof/>
        </w:rPr>
        <w:lastRenderedPageBreak/>
        <w:drawing>
          <wp:inline distT="0" distB="0" distL="0" distR="0" wp14:anchorId="5C044071" wp14:editId="2A292464">
            <wp:extent cx="3996316" cy="1521562"/>
            <wp:effectExtent l="0" t="0" r="4445"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21621" cy="1531197"/>
                    </a:xfrm>
                    <a:prstGeom prst="rect">
                      <a:avLst/>
                    </a:prstGeom>
                    <a:noFill/>
                  </pic:spPr>
                </pic:pic>
              </a:graphicData>
            </a:graphic>
          </wp:inline>
        </w:drawing>
      </w:r>
    </w:p>
    <w:p w:rsidR="0077773C" w:rsidRPr="00305917" w:rsidRDefault="0077773C" w:rsidP="0077773C">
      <w:pPr>
        <w:spacing w:line="360" w:lineRule="auto"/>
      </w:pPr>
    </w:p>
    <w:p w:rsidR="0077773C" w:rsidRPr="00305917" w:rsidRDefault="0077773C" w:rsidP="0077773C">
      <w:pPr>
        <w:spacing w:line="276" w:lineRule="auto"/>
      </w:pPr>
      <w:r>
        <w:rPr>
          <w:b/>
          <w:bCs/>
        </w:rPr>
        <w:t xml:space="preserve">Supplementary Fig. 5: </w:t>
      </w:r>
      <w:r w:rsidRPr="00305917">
        <w:rPr>
          <w:b/>
          <w:bCs/>
        </w:rPr>
        <w:t>SEM</w:t>
      </w:r>
      <w:r>
        <w:rPr>
          <w:b/>
          <w:bCs/>
        </w:rPr>
        <w:t>/EDX method</w:t>
      </w:r>
      <w:r w:rsidRPr="00305917">
        <w:rPr>
          <w:b/>
          <w:bCs/>
        </w:rPr>
        <w:t xml:space="preserve"> for total Fe determination</w:t>
      </w:r>
      <w:r>
        <w:rPr>
          <w:b/>
          <w:bCs/>
        </w:rPr>
        <w:t xml:space="preserve">. </w:t>
      </w:r>
      <w:r w:rsidRPr="00305917">
        <w:rPr>
          <w:b/>
          <w:bCs/>
        </w:rPr>
        <w:t>a</w:t>
      </w:r>
      <w:r>
        <w:rPr>
          <w:b/>
          <w:bCs/>
        </w:rPr>
        <w:t>,</w:t>
      </w:r>
      <w:r w:rsidRPr="00305917">
        <w:t xml:space="preserve"> Representative </w:t>
      </w:r>
      <w:r>
        <w:t>SEM/EDX</w:t>
      </w:r>
      <w:r w:rsidRPr="00305917">
        <w:t xml:space="preserve"> micrograph shows the cross-section of an individual HEK293T cell under 18 kPa O</w:t>
      </w:r>
      <w:r w:rsidRPr="00305917">
        <w:rPr>
          <w:vertAlign w:val="subscript"/>
        </w:rPr>
        <w:t>2</w:t>
      </w:r>
      <w:r w:rsidRPr="00305917">
        <w:t xml:space="preserve"> and pretreated with 1 mM FeSO</w:t>
      </w:r>
      <w:r w:rsidRPr="00305917">
        <w:rPr>
          <w:vertAlign w:val="subscript"/>
        </w:rPr>
        <w:t xml:space="preserve">4 </w:t>
      </w:r>
      <w:r w:rsidRPr="00305917">
        <w:t xml:space="preserve">and 1 mM ascorbate for 20 min. </w:t>
      </w:r>
      <w:r>
        <w:t>The pink square indicates the accumulation of iron particles</w:t>
      </w:r>
      <w:r w:rsidRPr="00305917">
        <w:t xml:space="preserve">. The </w:t>
      </w:r>
      <w:r>
        <w:t>grey</w:t>
      </w:r>
      <w:r w:rsidRPr="00305917">
        <w:t xml:space="preserve"> square shows a cell region without iron accumulation. </w:t>
      </w:r>
      <w:r w:rsidRPr="00305917">
        <w:rPr>
          <w:b/>
          <w:bCs/>
        </w:rPr>
        <w:t>b,</w:t>
      </w:r>
      <w:r w:rsidRPr="00305917">
        <w:t xml:space="preserve"> Bars represent the maximum iron levels in cells detected in iron-containing (</w:t>
      </w:r>
      <w:r>
        <w:t>pink</w:t>
      </w:r>
      <w:r w:rsidRPr="00305917">
        <w:t xml:space="preserve"> bar, n=3) and non-iron-containing regions (</w:t>
      </w:r>
      <w:r>
        <w:t>grey</w:t>
      </w:r>
      <w:r w:rsidRPr="00305917">
        <w:t xml:space="preserve"> bar, n=3). Total iron levels were normalized against the total carbon content in the respective region of interest. Student</w:t>
      </w:r>
      <w:r>
        <w:t>'</w:t>
      </w:r>
      <w:r w:rsidRPr="00305917">
        <w:t xml:space="preserve">s t-test was applied, </w:t>
      </w:r>
      <w:r w:rsidRPr="00305917">
        <w:rPr>
          <w:i/>
          <w:iCs/>
        </w:rPr>
        <w:t>P&lt;0.01</w:t>
      </w:r>
      <w:r w:rsidRPr="00305917">
        <w:t>.</w:t>
      </w:r>
    </w:p>
    <w:p w:rsidR="0077773C" w:rsidRPr="00305917" w:rsidRDefault="0077773C" w:rsidP="0077773C">
      <w:pPr>
        <w:spacing w:line="360" w:lineRule="auto"/>
      </w:pPr>
    </w:p>
    <w:p w:rsidR="0077773C" w:rsidRPr="00305917" w:rsidRDefault="0077773C" w:rsidP="0077773C">
      <w:r w:rsidRPr="00305917">
        <w:br w:type="page"/>
      </w:r>
    </w:p>
    <w:p w:rsidR="0077773C" w:rsidRPr="00305917" w:rsidRDefault="0077773C" w:rsidP="0077773C">
      <w:pPr>
        <w:spacing w:line="360" w:lineRule="auto"/>
        <w:jc w:val="center"/>
      </w:pPr>
    </w:p>
    <w:p w:rsidR="0077773C" w:rsidRPr="00305917" w:rsidRDefault="0077773C" w:rsidP="0077773C">
      <w:pPr>
        <w:spacing w:line="360" w:lineRule="auto"/>
      </w:pPr>
      <w:r w:rsidRPr="00305917">
        <w:rPr>
          <w:noProof/>
        </w:rPr>
        <w:drawing>
          <wp:inline distT="0" distB="0" distL="0" distR="0" wp14:anchorId="0765D50B" wp14:editId="68AAA9C3">
            <wp:extent cx="5943600" cy="157999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579990"/>
                    </a:xfrm>
                    <a:prstGeom prst="rect">
                      <a:avLst/>
                    </a:prstGeom>
                    <a:noFill/>
                  </pic:spPr>
                </pic:pic>
              </a:graphicData>
            </a:graphic>
          </wp:inline>
        </w:drawing>
      </w:r>
    </w:p>
    <w:p w:rsidR="0077773C" w:rsidRPr="00305917" w:rsidRDefault="0077773C" w:rsidP="0077773C">
      <w:pPr>
        <w:spacing w:before="120" w:line="240" w:lineRule="auto"/>
        <w:rPr>
          <w:iCs/>
        </w:rPr>
      </w:pPr>
      <w:r w:rsidRPr="00305917">
        <w:rPr>
          <w:b/>
          <w:bCs/>
        </w:rPr>
        <w:t>Supplementary Fig. 6: Basal intracellular GSH and H</w:t>
      </w:r>
      <w:r w:rsidRPr="00305917">
        <w:rPr>
          <w:b/>
          <w:bCs/>
          <w:vertAlign w:val="subscript"/>
        </w:rPr>
        <w:t>2</w:t>
      </w:r>
      <w:r w:rsidRPr="00305917">
        <w:rPr>
          <w:b/>
          <w:bCs/>
        </w:rPr>
        <w:t>O</w:t>
      </w:r>
      <w:r w:rsidRPr="00305917">
        <w:rPr>
          <w:b/>
          <w:bCs/>
          <w:vertAlign w:val="subscript"/>
        </w:rPr>
        <w:t>2</w:t>
      </w:r>
      <w:r w:rsidRPr="00305917">
        <w:rPr>
          <w:b/>
          <w:bCs/>
        </w:rPr>
        <w:t xml:space="preserve"> levels in EA.hy926 and HEK293T cells adapted to 18 or 5 kPa O</w:t>
      </w:r>
      <w:r w:rsidRPr="00305917">
        <w:rPr>
          <w:b/>
          <w:bCs/>
          <w:vertAlign w:val="subscript"/>
        </w:rPr>
        <w:t>2</w:t>
      </w:r>
      <w:r w:rsidRPr="00305917">
        <w:rPr>
          <w:b/>
          <w:bCs/>
        </w:rPr>
        <w:t xml:space="preserve">. </w:t>
      </w:r>
      <w:r w:rsidRPr="00305917">
        <w:t>Bars show total intracellular glutathione lev</w:t>
      </w:r>
      <w:r>
        <w:t>els in</w:t>
      </w:r>
      <w:r w:rsidRPr="00305917">
        <w:t xml:space="preserve">  EA.hy926</w:t>
      </w:r>
      <w:r>
        <w:t xml:space="preserve"> </w:t>
      </w:r>
      <w:r w:rsidRPr="00305917">
        <w:rPr>
          <w:b/>
        </w:rPr>
        <w:t>(a)</w:t>
      </w:r>
      <w:r>
        <w:t xml:space="preserve"> and</w:t>
      </w:r>
      <w:r w:rsidRPr="00305917">
        <w:rPr>
          <w:b/>
        </w:rPr>
        <w:t xml:space="preserve"> </w:t>
      </w:r>
      <w:r w:rsidRPr="00305917">
        <w:t xml:space="preserve">HEK293T </w:t>
      </w:r>
      <w:r w:rsidRPr="00305917">
        <w:rPr>
          <w:b/>
        </w:rPr>
        <w:t>(b)</w:t>
      </w:r>
      <w:r>
        <w:rPr>
          <w:b/>
        </w:rPr>
        <w:t xml:space="preserve"> </w:t>
      </w:r>
      <w:r w:rsidRPr="00305917">
        <w:t xml:space="preserve">cells adapted for </w:t>
      </w:r>
      <w:r>
        <w:t>five</w:t>
      </w:r>
      <w:r w:rsidRPr="00305917">
        <w:t xml:space="preserve"> days to either 18 kPa (light grey bars) or 5 kPa (dark grey bars) O</w:t>
      </w:r>
      <w:r w:rsidRPr="00305917">
        <w:rPr>
          <w:vertAlign w:val="subscript"/>
        </w:rPr>
        <w:t>2</w:t>
      </w:r>
      <w:r w:rsidRPr="00305917">
        <w:t xml:space="preserve">. </w:t>
      </w:r>
      <w:r w:rsidRPr="00305917">
        <w:rPr>
          <w:b/>
        </w:rPr>
        <w:t>c</w:t>
      </w:r>
      <w:r w:rsidRPr="00305917">
        <w:t>, Bars indicate the statistical analysis of basal H</w:t>
      </w:r>
      <w:r w:rsidRPr="00305917">
        <w:rPr>
          <w:vertAlign w:val="subscript"/>
        </w:rPr>
        <w:t>2</w:t>
      </w:r>
      <w:r w:rsidRPr="00305917">
        <w:t>O</w:t>
      </w:r>
      <w:r w:rsidRPr="00305917">
        <w:rPr>
          <w:vertAlign w:val="subscript"/>
        </w:rPr>
        <w:t>2</w:t>
      </w:r>
      <w:r w:rsidRPr="00305917">
        <w:t xml:space="preserve"> levels in the mitochondria of EA.hy926 cells adapted for </w:t>
      </w:r>
      <w:r>
        <w:t>five</w:t>
      </w:r>
      <w:r w:rsidRPr="00305917">
        <w:t xml:space="preserve"> days to either 18 kPa (light grey bars) or 5 kPa (dark grey bars) O</w:t>
      </w:r>
      <w:r w:rsidRPr="00305917">
        <w:rPr>
          <w:vertAlign w:val="subscript"/>
        </w:rPr>
        <w:t>2</w:t>
      </w:r>
      <w:r w:rsidRPr="00305917">
        <w:t>.</w:t>
      </w:r>
      <w:r w:rsidRPr="00305917">
        <w:rPr>
          <w:b/>
        </w:rPr>
        <w:t xml:space="preserve"> </w:t>
      </w:r>
      <w:r w:rsidRPr="00305917">
        <w:t>Data denote mean ± S.E.M., n = 4 independent cultures, Student</w:t>
      </w:r>
      <w:r>
        <w:t>'</w:t>
      </w:r>
      <w:r w:rsidRPr="00305917">
        <w:t xml:space="preserve">s unpaired </w:t>
      </w:r>
      <w:r w:rsidRPr="00305917">
        <w:rPr>
          <w:i/>
          <w:iCs/>
        </w:rPr>
        <w:t>t</w:t>
      </w:r>
      <w:r w:rsidRPr="00305917">
        <w:t>-test,</w:t>
      </w:r>
      <w:r w:rsidRPr="00305917">
        <w:rPr>
          <w:i/>
          <w:iCs/>
        </w:rPr>
        <w:t xml:space="preserve"> </w:t>
      </w:r>
      <w:r w:rsidRPr="00305917">
        <w:t>**</w:t>
      </w:r>
      <w:r w:rsidRPr="00305917">
        <w:rPr>
          <w:i/>
          <w:iCs/>
        </w:rPr>
        <w:t>P&lt;0.01</w:t>
      </w:r>
      <w:r w:rsidRPr="00305917">
        <w:rPr>
          <w:iCs/>
        </w:rPr>
        <w:t>.</w:t>
      </w: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pPr>
    </w:p>
    <w:p w:rsidR="0077773C" w:rsidRPr="00305917" w:rsidRDefault="0077773C" w:rsidP="0077773C">
      <w:pPr>
        <w:spacing w:line="360" w:lineRule="auto"/>
        <w:rPr>
          <w:color w:val="000000" w:themeColor="text1"/>
        </w:rPr>
      </w:pPr>
      <w:r w:rsidRPr="00305917">
        <w:rPr>
          <w:b/>
          <w:bCs/>
          <w:color w:val="000000" w:themeColor="text1"/>
        </w:rPr>
        <w:lastRenderedPageBreak/>
        <w:t>Supplementary Table 1</w:t>
      </w:r>
      <w:r w:rsidRPr="00305917">
        <w:rPr>
          <w:color w:val="000000" w:themeColor="text1"/>
        </w:rPr>
        <w:t xml:space="preserve">: Experimental design for iron (II) loading optimization </w:t>
      </w:r>
    </w:p>
    <w:p w:rsidR="0077773C" w:rsidRDefault="0077773C" w:rsidP="0077773C">
      <w:pPr>
        <w:spacing w:line="360" w:lineRule="auto"/>
        <w:rPr>
          <w:color w:val="000000" w:themeColor="text1"/>
        </w:rPr>
      </w:pPr>
      <w:r w:rsidRPr="00305917">
        <w:rPr>
          <w:noProof/>
          <w:color w:val="000000" w:themeColor="text1"/>
        </w:rPr>
        <w:drawing>
          <wp:inline distT="0" distB="0" distL="0" distR="0" wp14:anchorId="763F8277" wp14:editId="7D7D0D42">
            <wp:extent cx="5810250" cy="62122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10250" cy="6212205"/>
                    </a:xfrm>
                    <a:prstGeom prst="rect">
                      <a:avLst/>
                    </a:prstGeom>
                    <a:noFill/>
                  </pic:spPr>
                </pic:pic>
              </a:graphicData>
            </a:graphic>
          </wp:inline>
        </w:drawing>
      </w:r>
    </w:p>
    <w:p w:rsidR="0077773C" w:rsidRPr="001F2DA5" w:rsidRDefault="0077773C" w:rsidP="0077773C">
      <w:pPr>
        <w:spacing w:line="360" w:lineRule="auto"/>
      </w:pPr>
    </w:p>
    <w:p w:rsidR="00494686" w:rsidRDefault="00494686">
      <w:bookmarkStart w:id="0" w:name="_GoBack"/>
      <w:bookmarkEnd w:id="0"/>
    </w:p>
    <w:sectPr w:rsidR="00494686" w:rsidSect="00374292">
      <w:footerReference w:type="even" r:id="rId13"/>
      <w:footerReference w:type="default" r:id="rId1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65762212"/>
      <w:docPartObj>
        <w:docPartGallery w:val="Page Numbers (Bottom of Page)"/>
        <w:docPartUnique/>
      </w:docPartObj>
    </w:sdtPr>
    <w:sdtEndPr>
      <w:rPr>
        <w:rStyle w:val="PageNumber"/>
      </w:rPr>
    </w:sdtEndPr>
    <w:sdtContent>
      <w:p w:rsidR="0023047C" w:rsidRDefault="0077773C" w:rsidP="007F685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3047C" w:rsidRDefault="0077773C" w:rsidP="00186D8A">
    <w:pPr>
      <w:pStyle w:val="Footer"/>
      <w:ind w:right="360"/>
    </w:pPr>
  </w:p>
  <w:p w:rsidR="001F2D62" w:rsidRDefault="0077773C"/>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79939626"/>
      <w:docPartObj>
        <w:docPartGallery w:val="Page Numbers (Bottom of Page)"/>
        <w:docPartUnique/>
      </w:docPartObj>
    </w:sdtPr>
    <w:sdtEndPr>
      <w:rPr>
        <w:rStyle w:val="PageNumber"/>
      </w:rPr>
    </w:sdtEndPr>
    <w:sdtContent>
      <w:p w:rsidR="0023047C" w:rsidRDefault="0077773C" w:rsidP="007F685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F2D62" w:rsidRDefault="0077773C" w:rsidP="0030765D"/>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LQ0NDM3NDcyNbMwMLBU0lEKTi0uzszPAykwrAUAfJFCKCwAAAA="/>
  </w:docVars>
  <w:rsids>
    <w:rsidRoot w:val="0077773C"/>
    <w:rsid w:val="00494686"/>
    <w:rsid w:val="0077773C"/>
    <w:rsid w:val="00E171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6C7D57-AB9E-49AD-AD2E-FF1C14F6D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773C"/>
    <w:rPr>
      <w:rFonts w:ascii="Arial" w:eastAsiaTheme="majorEastAsia" w:hAnsi="Arial" w:cs="Arial"/>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773C"/>
    <w:rPr>
      <w:color w:val="0000FF"/>
      <w:u w:val="single"/>
    </w:rPr>
  </w:style>
  <w:style w:type="paragraph" w:styleId="Title">
    <w:name w:val="Title"/>
    <w:basedOn w:val="Normal"/>
    <w:next w:val="Normal"/>
    <w:link w:val="TitleChar"/>
    <w:uiPriority w:val="10"/>
    <w:qFormat/>
    <w:rsid w:val="0077773C"/>
    <w:pPr>
      <w:spacing w:line="240" w:lineRule="auto"/>
    </w:pPr>
    <w:rPr>
      <w:rFonts w:asciiTheme="majorHAnsi" w:hAnsiTheme="majorHAnsi" w:cstheme="majorBidi"/>
      <w:spacing w:val="-10"/>
      <w:kern w:val="28"/>
      <w:sz w:val="56"/>
      <w:szCs w:val="56"/>
    </w:rPr>
  </w:style>
  <w:style w:type="character" w:customStyle="1" w:styleId="TitleChar">
    <w:name w:val="Title Char"/>
    <w:basedOn w:val="DefaultParagraphFont"/>
    <w:link w:val="Title"/>
    <w:uiPriority w:val="10"/>
    <w:rsid w:val="0077773C"/>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unhideWhenUsed/>
    <w:rsid w:val="0077773C"/>
    <w:pPr>
      <w:tabs>
        <w:tab w:val="center" w:pos="4680"/>
        <w:tab w:val="right" w:pos="9360"/>
      </w:tabs>
      <w:spacing w:line="240" w:lineRule="auto"/>
    </w:pPr>
  </w:style>
  <w:style w:type="character" w:customStyle="1" w:styleId="FooterChar">
    <w:name w:val="Footer Char"/>
    <w:basedOn w:val="DefaultParagraphFont"/>
    <w:link w:val="Footer"/>
    <w:uiPriority w:val="99"/>
    <w:rsid w:val="0077773C"/>
    <w:rPr>
      <w:rFonts w:ascii="Arial" w:eastAsiaTheme="majorEastAsia" w:hAnsi="Arial" w:cs="Arial"/>
      <w:szCs w:val="24"/>
    </w:rPr>
  </w:style>
  <w:style w:type="character" w:styleId="PageNumber">
    <w:name w:val="page number"/>
    <w:basedOn w:val="DefaultParagraphFont"/>
    <w:uiPriority w:val="99"/>
    <w:semiHidden/>
    <w:unhideWhenUsed/>
    <w:rsid w:val="0077773C"/>
  </w:style>
  <w:style w:type="character" w:styleId="LineNumber">
    <w:name w:val="line number"/>
    <w:basedOn w:val="DefaultParagraphFont"/>
    <w:uiPriority w:val="99"/>
    <w:semiHidden/>
    <w:unhideWhenUsed/>
    <w:rsid w:val="00777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emrah.eroglu@sabanciuniv.edu"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hyperlink" Target="mailto:giovanni.mann@kcl.ac.uk" TargetMode="External"/><Relationship Id="rId9" Type="http://schemas.openxmlformats.org/officeDocument/2006/relationships/image" Target="media/image4.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815</Words>
  <Characters>4650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Sabanci University</Company>
  <LinksUpToDate>false</LinksUpToDate>
  <CharactersWithSpaces>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Emrah Eroglu</dc:creator>
  <cp:keywords/>
  <dc:description/>
  <cp:lastModifiedBy>Emrah Eroglu</cp:lastModifiedBy>
  <cp:revision>1</cp:revision>
  <dcterms:created xsi:type="dcterms:W3CDTF">2022-02-21T11:31:00Z</dcterms:created>
  <dcterms:modified xsi:type="dcterms:W3CDTF">2022-02-21T11:32:00Z</dcterms:modified>
</cp:coreProperties>
</file>