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D56A85" w14:textId="77777777" w:rsidR="0025103E" w:rsidRPr="008C4E6B" w:rsidRDefault="0025103E" w:rsidP="0025103E">
      <w:pPr>
        <w:tabs>
          <w:tab w:val="left" w:pos="1760"/>
        </w:tabs>
        <w:spacing w:line="276" w:lineRule="auto"/>
        <w:jc w:val="both"/>
        <w:rPr>
          <w:b/>
          <w:sz w:val="24"/>
          <w:lang w:val="en-US"/>
        </w:rPr>
      </w:pPr>
      <w:r>
        <w:rPr>
          <w:b/>
          <w:sz w:val="24"/>
          <w:lang w:val="en-US"/>
        </w:rPr>
        <w:t>A 90-day oral exposure to food-grade gold (E175) at human relevant doses impacts the gut microbiota and the local immune system in a sex-dependent manner</w:t>
      </w:r>
      <w:r w:rsidRPr="003205B2">
        <w:rPr>
          <w:b/>
          <w:sz w:val="24"/>
          <w:lang w:val="en-US"/>
        </w:rPr>
        <w:t xml:space="preserve"> </w:t>
      </w:r>
      <w:r>
        <w:rPr>
          <w:b/>
          <w:sz w:val="24"/>
          <w:lang w:val="en-US"/>
        </w:rPr>
        <w:t>in mice</w:t>
      </w:r>
    </w:p>
    <w:p w14:paraId="6C645C6F" w14:textId="77777777" w:rsidR="0025103E" w:rsidRPr="008C4E6B" w:rsidRDefault="0025103E" w:rsidP="0025103E">
      <w:pPr>
        <w:tabs>
          <w:tab w:val="left" w:pos="1760"/>
        </w:tabs>
        <w:spacing w:line="276" w:lineRule="auto"/>
        <w:jc w:val="both"/>
        <w:rPr>
          <w:sz w:val="24"/>
          <w:lang w:val="en-US"/>
        </w:rPr>
      </w:pPr>
      <w:r w:rsidRPr="008C4E6B">
        <w:rPr>
          <w:sz w:val="24"/>
          <w:lang w:val="en-US"/>
        </w:rPr>
        <w:t>Lauris Evariste</w:t>
      </w:r>
      <w:r w:rsidRPr="008C4E6B">
        <w:rPr>
          <w:sz w:val="24"/>
          <w:vertAlign w:val="superscript"/>
          <w:lang w:val="en-US"/>
        </w:rPr>
        <w:t>1</w:t>
      </w:r>
      <w:r w:rsidRPr="008C4E6B">
        <w:rPr>
          <w:rFonts w:ascii="Times New Roman" w:hAnsi="Times New Roman" w:cs="Times New Roman"/>
          <w:sz w:val="24"/>
          <w:vertAlign w:val="superscript"/>
          <w:lang w:val="en-US"/>
        </w:rPr>
        <w:t>‡</w:t>
      </w:r>
      <w:r w:rsidRPr="008C4E6B">
        <w:rPr>
          <w:sz w:val="24"/>
          <w:lang w:val="en-US"/>
        </w:rPr>
        <w:t>, Bruno Lamas</w:t>
      </w:r>
      <w:r w:rsidRPr="008C4E6B">
        <w:rPr>
          <w:sz w:val="24"/>
          <w:vertAlign w:val="superscript"/>
          <w:lang w:val="en-US"/>
        </w:rPr>
        <w:t>1</w:t>
      </w:r>
      <w:r w:rsidRPr="008C4E6B">
        <w:rPr>
          <w:rFonts w:ascii="Times New Roman" w:hAnsi="Times New Roman" w:cs="Times New Roman"/>
          <w:sz w:val="24"/>
          <w:vertAlign w:val="superscript"/>
          <w:lang w:val="en-US"/>
        </w:rPr>
        <w:t>‡</w:t>
      </w:r>
      <w:r w:rsidRPr="008C4E6B">
        <w:rPr>
          <w:sz w:val="24"/>
          <w:lang w:val="en-US"/>
        </w:rPr>
        <w:t>, Sandrine Ellero-Simatos</w:t>
      </w:r>
      <w:r w:rsidRPr="008C4E6B">
        <w:rPr>
          <w:sz w:val="24"/>
          <w:vertAlign w:val="superscript"/>
          <w:lang w:val="en-US"/>
        </w:rPr>
        <w:t>1</w:t>
      </w:r>
      <w:r w:rsidRPr="008C4E6B">
        <w:rPr>
          <w:sz w:val="24"/>
          <w:lang w:val="en-US"/>
        </w:rPr>
        <w:t>, Laure Khoury</w:t>
      </w:r>
      <w:r w:rsidRPr="008C4E6B">
        <w:rPr>
          <w:sz w:val="24"/>
          <w:vertAlign w:val="superscript"/>
          <w:lang w:val="en-US"/>
        </w:rPr>
        <w:t>2</w:t>
      </w:r>
      <w:r w:rsidRPr="008C4E6B">
        <w:rPr>
          <w:sz w:val="24"/>
          <w:lang w:val="en-US"/>
        </w:rPr>
        <w:t>, Christel Cartier</w:t>
      </w:r>
      <w:r w:rsidRPr="008C4E6B">
        <w:rPr>
          <w:sz w:val="24"/>
          <w:vertAlign w:val="superscript"/>
          <w:lang w:val="en-US"/>
        </w:rPr>
        <w:t>1</w:t>
      </w:r>
      <w:r w:rsidRPr="008C4E6B">
        <w:rPr>
          <w:sz w:val="24"/>
          <w:lang w:val="en-US"/>
        </w:rPr>
        <w:t>, Eric Gaultier</w:t>
      </w:r>
      <w:r w:rsidRPr="008C4E6B">
        <w:rPr>
          <w:sz w:val="24"/>
          <w:vertAlign w:val="superscript"/>
          <w:lang w:val="en-US"/>
        </w:rPr>
        <w:t>1</w:t>
      </w:r>
      <w:r w:rsidRPr="008C4E6B">
        <w:rPr>
          <w:sz w:val="24"/>
          <w:lang w:val="en-US"/>
        </w:rPr>
        <w:t>, Benoit Chassaing</w:t>
      </w:r>
      <w:r w:rsidRPr="008C4E6B">
        <w:rPr>
          <w:sz w:val="24"/>
          <w:vertAlign w:val="superscript"/>
          <w:lang w:val="en-US"/>
        </w:rPr>
        <w:t>3</w:t>
      </w:r>
      <w:r w:rsidRPr="008C4E6B">
        <w:rPr>
          <w:sz w:val="24"/>
          <w:lang w:val="en-US"/>
        </w:rPr>
        <w:t>, Nicolas Feltin</w:t>
      </w:r>
      <w:r w:rsidRPr="008C4E6B">
        <w:rPr>
          <w:sz w:val="24"/>
          <w:vertAlign w:val="superscript"/>
          <w:lang w:val="en-US"/>
        </w:rPr>
        <w:t>4</w:t>
      </w:r>
      <w:r w:rsidRPr="008C4E6B">
        <w:rPr>
          <w:sz w:val="24"/>
          <w:lang w:val="en-US"/>
        </w:rPr>
        <w:t>, Laurent Devoille</w:t>
      </w:r>
      <w:r w:rsidRPr="008C4E6B">
        <w:rPr>
          <w:sz w:val="24"/>
          <w:vertAlign w:val="superscript"/>
          <w:lang w:val="en-US"/>
        </w:rPr>
        <w:t>4</w:t>
      </w:r>
      <w:r w:rsidRPr="008C4E6B">
        <w:rPr>
          <w:sz w:val="24"/>
          <w:lang w:val="en-US"/>
        </w:rPr>
        <w:t>, Georges Favre</w:t>
      </w:r>
      <w:r w:rsidRPr="008C4E6B">
        <w:rPr>
          <w:sz w:val="24"/>
          <w:vertAlign w:val="superscript"/>
          <w:lang w:val="en-US"/>
        </w:rPr>
        <w:t>4</w:t>
      </w:r>
      <w:r w:rsidRPr="008C4E6B">
        <w:rPr>
          <w:sz w:val="24"/>
          <w:lang w:val="en-US"/>
        </w:rPr>
        <w:t>, Marc Audebert</w:t>
      </w:r>
      <w:r w:rsidRPr="008C4E6B">
        <w:rPr>
          <w:sz w:val="24"/>
          <w:vertAlign w:val="superscript"/>
          <w:lang w:val="en-US"/>
        </w:rPr>
        <w:t>1,2</w:t>
      </w:r>
      <w:r w:rsidRPr="008C4E6B">
        <w:rPr>
          <w:sz w:val="24"/>
          <w:lang w:val="en-US"/>
        </w:rPr>
        <w:t>, Eric Houdeau</w:t>
      </w:r>
      <w:r w:rsidRPr="008C4E6B">
        <w:rPr>
          <w:sz w:val="24"/>
          <w:vertAlign w:val="superscript"/>
          <w:lang w:val="en-US"/>
        </w:rPr>
        <w:t>1*</w:t>
      </w:r>
      <w:r w:rsidRPr="008C4E6B">
        <w:rPr>
          <w:sz w:val="24"/>
          <w:lang w:val="en-US"/>
        </w:rPr>
        <w:t>.</w:t>
      </w:r>
    </w:p>
    <w:p w14:paraId="32473BC1" w14:textId="77777777" w:rsidR="0025103E" w:rsidRDefault="0025103E" w:rsidP="0025103E">
      <w:pPr>
        <w:tabs>
          <w:tab w:val="left" w:pos="1760"/>
        </w:tabs>
        <w:spacing w:line="276" w:lineRule="auto"/>
        <w:jc w:val="both"/>
        <w:rPr>
          <w:sz w:val="24"/>
          <w:lang w:val="en-US"/>
        </w:rPr>
      </w:pPr>
      <w:r w:rsidRPr="000F6DDE">
        <w:rPr>
          <w:sz w:val="24"/>
          <w:vertAlign w:val="superscript"/>
          <w:lang w:val="en-US"/>
        </w:rPr>
        <w:t>1</w:t>
      </w:r>
      <w:r w:rsidRPr="000F6DDE">
        <w:rPr>
          <w:sz w:val="24"/>
          <w:lang w:val="en-US"/>
        </w:rPr>
        <w:t>Toxalim UMR1331 (Research Centre in Food Toxicology), Toulouse</w:t>
      </w:r>
      <w:r>
        <w:rPr>
          <w:sz w:val="24"/>
          <w:lang w:val="en-US"/>
        </w:rPr>
        <w:t xml:space="preserve"> </w:t>
      </w:r>
      <w:r w:rsidRPr="000F6DDE">
        <w:rPr>
          <w:sz w:val="24"/>
          <w:lang w:val="en-US"/>
        </w:rPr>
        <w:t>University, INRAE, ENVT, INP-</w:t>
      </w:r>
      <w:proofErr w:type="spellStart"/>
      <w:r w:rsidRPr="000F6DDE">
        <w:rPr>
          <w:sz w:val="24"/>
          <w:lang w:val="en-US"/>
        </w:rPr>
        <w:t>Purpan</w:t>
      </w:r>
      <w:proofErr w:type="spellEnd"/>
      <w:r w:rsidRPr="000F6DDE">
        <w:rPr>
          <w:sz w:val="24"/>
          <w:lang w:val="en-US"/>
        </w:rPr>
        <w:t>, UPS, Toulouse, France.</w:t>
      </w:r>
    </w:p>
    <w:p w14:paraId="71CC1F98" w14:textId="77777777" w:rsidR="0025103E" w:rsidRDefault="0025103E" w:rsidP="0025103E">
      <w:pPr>
        <w:tabs>
          <w:tab w:val="left" w:pos="1760"/>
        </w:tabs>
        <w:spacing w:line="276" w:lineRule="auto"/>
        <w:jc w:val="both"/>
        <w:rPr>
          <w:sz w:val="24"/>
          <w:lang w:val="en-US"/>
        </w:rPr>
      </w:pPr>
      <w:r>
        <w:rPr>
          <w:sz w:val="24"/>
          <w:vertAlign w:val="superscript"/>
          <w:lang w:val="en-US"/>
        </w:rPr>
        <w:t>2</w:t>
      </w:r>
      <w:r w:rsidRPr="00E42BAD">
        <w:rPr>
          <w:sz w:val="24"/>
          <w:lang w:val="en-US"/>
        </w:rPr>
        <w:t>PrediTox, Toulouse, France.</w:t>
      </w:r>
    </w:p>
    <w:p w14:paraId="3EE50B2C" w14:textId="77777777" w:rsidR="0025103E" w:rsidRPr="00E54466" w:rsidRDefault="0025103E" w:rsidP="0025103E">
      <w:pPr>
        <w:tabs>
          <w:tab w:val="left" w:pos="1760"/>
        </w:tabs>
        <w:spacing w:line="276" w:lineRule="auto"/>
        <w:jc w:val="both"/>
        <w:rPr>
          <w:sz w:val="24"/>
          <w:lang w:val="en-US"/>
        </w:rPr>
      </w:pPr>
      <w:r>
        <w:rPr>
          <w:sz w:val="24"/>
          <w:vertAlign w:val="superscript"/>
          <w:lang w:val="en-US"/>
        </w:rPr>
        <w:t>3</w:t>
      </w:r>
      <w:r w:rsidRPr="00E54466">
        <w:rPr>
          <w:sz w:val="24"/>
          <w:lang w:val="en-US"/>
        </w:rPr>
        <w:t>INSERM U1016, team "Mucosal microbiota in chronic inflammatory diseases", CNRS UMR 8104, Université de Paris, Paris, France.</w:t>
      </w:r>
    </w:p>
    <w:p w14:paraId="73EA61AF" w14:textId="77777777" w:rsidR="0025103E" w:rsidRDefault="0025103E" w:rsidP="0025103E">
      <w:pPr>
        <w:tabs>
          <w:tab w:val="left" w:pos="1760"/>
        </w:tabs>
        <w:spacing w:line="276" w:lineRule="auto"/>
        <w:jc w:val="both"/>
        <w:rPr>
          <w:sz w:val="24"/>
          <w:lang w:val="en-US"/>
        </w:rPr>
      </w:pPr>
      <w:r>
        <w:rPr>
          <w:sz w:val="24"/>
          <w:vertAlign w:val="superscript"/>
          <w:lang w:val="en-US"/>
        </w:rPr>
        <w:t>4</w:t>
      </w:r>
      <w:r w:rsidRPr="00E42BAD">
        <w:rPr>
          <w:sz w:val="24"/>
          <w:lang w:val="en-US"/>
        </w:rPr>
        <w:t>Department of</w:t>
      </w:r>
      <w:r>
        <w:rPr>
          <w:sz w:val="24"/>
          <w:lang w:val="en-US"/>
        </w:rPr>
        <w:t xml:space="preserve"> </w:t>
      </w:r>
      <w:r w:rsidRPr="00E42BAD">
        <w:rPr>
          <w:sz w:val="24"/>
          <w:lang w:val="en-US"/>
        </w:rPr>
        <w:t xml:space="preserve">materials, LNE, </w:t>
      </w:r>
      <w:proofErr w:type="spellStart"/>
      <w:r w:rsidRPr="00E42BAD">
        <w:rPr>
          <w:sz w:val="24"/>
          <w:lang w:val="en-US"/>
        </w:rPr>
        <w:t>Trappes</w:t>
      </w:r>
      <w:proofErr w:type="spellEnd"/>
      <w:r w:rsidRPr="00E42BAD">
        <w:rPr>
          <w:sz w:val="24"/>
          <w:lang w:val="en-US"/>
        </w:rPr>
        <w:t>, France.</w:t>
      </w:r>
    </w:p>
    <w:p w14:paraId="01B27A74" w14:textId="77777777" w:rsidR="0025103E" w:rsidRDefault="0025103E" w:rsidP="0025103E">
      <w:pPr>
        <w:tabs>
          <w:tab w:val="left" w:pos="1760"/>
        </w:tabs>
        <w:spacing w:line="276" w:lineRule="auto"/>
        <w:ind w:firstLine="426"/>
        <w:jc w:val="both"/>
        <w:rPr>
          <w:sz w:val="24"/>
          <w:lang w:val="en-US"/>
        </w:rPr>
      </w:pPr>
    </w:p>
    <w:p w14:paraId="37105BA1" w14:textId="77777777" w:rsidR="0025103E" w:rsidRDefault="0025103E" w:rsidP="0025103E">
      <w:pPr>
        <w:tabs>
          <w:tab w:val="left" w:pos="1760"/>
        </w:tabs>
        <w:spacing w:line="276" w:lineRule="auto"/>
        <w:ind w:firstLine="426"/>
        <w:jc w:val="both"/>
        <w:rPr>
          <w:sz w:val="24"/>
          <w:lang w:val="en-US"/>
        </w:rPr>
      </w:pPr>
      <w:r w:rsidRPr="00E42BAD">
        <w:rPr>
          <w:rFonts w:ascii="Times New Roman" w:hAnsi="Times New Roman" w:cs="Times New Roman"/>
          <w:sz w:val="24"/>
          <w:vertAlign w:val="superscript"/>
          <w:lang w:val="en-US"/>
        </w:rPr>
        <w:t>‡</w:t>
      </w:r>
      <w:r w:rsidRPr="00E42BAD">
        <w:rPr>
          <w:sz w:val="24"/>
          <w:lang w:val="en-US"/>
        </w:rPr>
        <w:t>These authors contributed to this work as co-first authors.</w:t>
      </w:r>
    </w:p>
    <w:p w14:paraId="0997FEC5" w14:textId="75A68361" w:rsidR="0025103E" w:rsidRDefault="0025103E" w:rsidP="0025103E">
      <w:pPr>
        <w:tabs>
          <w:tab w:val="left" w:pos="1760"/>
        </w:tabs>
        <w:spacing w:line="276" w:lineRule="auto"/>
        <w:ind w:firstLine="426"/>
        <w:jc w:val="both"/>
        <w:rPr>
          <w:sz w:val="24"/>
          <w:lang w:val="en-US"/>
        </w:rPr>
      </w:pPr>
      <w:r w:rsidRPr="00E42BAD">
        <w:rPr>
          <w:sz w:val="24"/>
          <w:vertAlign w:val="superscript"/>
          <w:lang w:val="en-US"/>
        </w:rPr>
        <w:t>*</w:t>
      </w:r>
      <w:r w:rsidRPr="00E42BAD">
        <w:rPr>
          <w:sz w:val="24"/>
          <w:lang w:val="en-US"/>
        </w:rPr>
        <w:t xml:space="preserve">Corresponding author: </w:t>
      </w:r>
      <w:hyperlink r:id="rId5" w:history="1">
        <w:r w:rsidR="00936755" w:rsidRPr="000F560D">
          <w:rPr>
            <w:rStyle w:val="Lienhypertexte"/>
            <w:sz w:val="24"/>
            <w:lang w:val="en-US"/>
          </w:rPr>
          <w:t>eric.houdeau@inrae.fr</w:t>
        </w:r>
      </w:hyperlink>
    </w:p>
    <w:p w14:paraId="7BA61B18" w14:textId="2CEAFDDB" w:rsidR="00936755" w:rsidRDefault="00936755" w:rsidP="00936755">
      <w:pPr>
        <w:tabs>
          <w:tab w:val="left" w:pos="1760"/>
        </w:tabs>
        <w:spacing w:line="276" w:lineRule="auto"/>
        <w:jc w:val="both"/>
        <w:rPr>
          <w:sz w:val="24"/>
          <w:lang w:val="en-US"/>
        </w:rPr>
      </w:pPr>
    </w:p>
    <w:p w14:paraId="4E1989AF" w14:textId="18DC79AC" w:rsidR="00936755" w:rsidRDefault="00936755" w:rsidP="00936755">
      <w:pPr>
        <w:tabs>
          <w:tab w:val="left" w:pos="1760"/>
        </w:tabs>
        <w:spacing w:line="276" w:lineRule="auto"/>
        <w:jc w:val="center"/>
        <w:rPr>
          <w:sz w:val="24"/>
          <w:lang w:val="en-US"/>
        </w:rPr>
      </w:pPr>
      <w:r>
        <w:rPr>
          <w:b/>
          <w:sz w:val="24"/>
          <w:lang w:val="en-US"/>
        </w:rPr>
        <w:t>Supplementary material</w:t>
      </w:r>
    </w:p>
    <w:p w14:paraId="14EB6C2E" w14:textId="77777777" w:rsidR="00936755" w:rsidRPr="00E42BAD" w:rsidRDefault="00936755" w:rsidP="0025103E">
      <w:pPr>
        <w:tabs>
          <w:tab w:val="left" w:pos="1760"/>
        </w:tabs>
        <w:spacing w:line="276" w:lineRule="auto"/>
        <w:ind w:firstLine="426"/>
        <w:jc w:val="both"/>
        <w:rPr>
          <w:sz w:val="24"/>
          <w:lang w:val="en-US"/>
        </w:rPr>
      </w:pPr>
    </w:p>
    <w:p w14:paraId="28BE7484" w14:textId="073EE625" w:rsidR="0025103E" w:rsidRDefault="0025103E">
      <w:pPr>
        <w:rPr>
          <w:lang w:val="en-US"/>
        </w:rPr>
      </w:pPr>
      <w:r>
        <w:rPr>
          <w:lang w:val="en-US"/>
        </w:rPr>
        <w:br w:type="page"/>
      </w:r>
    </w:p>
    <w:p w14:paraId="130FC8B9" w14:textId="39D49BCE" w:rsidR="0025103E" w:rsidRDefault="0025103E">
      <w:pPr>
        <w:rPr>
          <w:lang w:val="en-US"/>
        </w:rPr>
      </w:pPr>
      <w:r w:rsidRPr="0025103E">
        <w:rPr>
          <w:lang w:val="en-US"/>
        </w:rPr>
        <w:lastRenderedPageBreak/>
        <w:t>Table S1: Oral exposure to E175 and Ref-Au. Data are expressed as mean ± SEM</w:t>
      </w:r>
    </w:p>
    <w:tbl>
      <w:tblPr>
        <w:tblStyle w:val="Grilledutableau"/>
        <w:tblW w:w="0" w:type="auto"/>
        <w:tblInd w:w="-567" w:type="dxa"/>
        <w:tblLook w:val="04A0" w:firstRow="1" w:lastRow="0" w:firstColumn="1" w:lastColumn="0" w:noHBand="0" w:noVBand="1"/>
      </w:tblPr>
      <w:tblGrid>
        <w:gridCol w:w="868"/>
        <w:gridCol w:w="3252"/>
        <w:gridCol w:w="1317"/>
        <w:gridCol w:w="1206"/>
        <w:gridCol w:w="1317"/>
        <w:gridCol w:w="1317"/>
      </w:tblGrid>
      <w:tr w:rsidR="0025103E" w:rsidRPr="0025103E" w14:paraId="518BA65A" w14:textId="77777777" w:rsidTr="0025103E">
        <w:trPr>
          <w:trHeight w:val="290"/>
        </w:trPr>
        <w:tc>
          <w:tcPr>
            <w:tcW w:w="0" w:type="auto"/>
            <w:gridSpan w:val="2"/>
            <w:tcBorders>
              <w:top w:val="nil"/>
              <w:left w:val="nil"/>
              <w:bottom w:val="nil"/>
            </w:tcBorders>
            <w:noWrap/>
            <w:hideMark/>
          </w:tcPr>
          <w:p w14:paraId="1A7D6CB3" w14:textId="2C69F28C" w:rsidR="0025103E" w:rsidRPr="0025103E" w:rsidRDefault="0025103E" w:rsidP="0025103E">
            <w:pPr>
              <w:jc w:val="center"/>
              <w:rPr>
                <w:lang w:val="en-US"/>
              </w:rPr>
            </w:pPr>
          </w:p>
        </w:tc>
        <w:tc>
          <w:tcPr>
            <w:tcW w:w="0" w:type="auto"/>
            <w:gridSpan w:val="3"/>
            <w:noWrap/>
            <w:hideMark/>
          </w:tcPr>
          <w:p w14:paraId="58BFCF64" w14:textId="77777777" w:rsidR="0025103E" w:rsidRPr="0025103E" w:rsidRDefault="0025103E" w:rsidP="0025103E">
            <w:pPr>
              <w:jc w:val="center"/>
            </w:pPr>
            <w:r w:rsidRPr="0025103E">
              <w:t>E175</w:t>
            </w:r>
          </w:p>
        </w:tc>
        <w:tc>
          <w:tcPr>
            <w:tcW w:w="0" w:type="auto"/>
            <w:noWrap/>
            <w:hideMark/>
          </w:tcPr>
          <w:p w14:paraId="51840A4A" w14:textId="77777777" w:rsidR="0025103E" w:rsidRPr="0025103E" w:rsidRDefault="0025103E" w:rsidP="0025103E">
            <w:pPr>
              <w:jc w:val="center"/>
            </w:pPr>
            <w:proofErr w:type="spellStart"/>
            <w:r w:rsidRPr="0025103E">
              <w:t>Ref</w:t>
            </w:r>
            <w:proofErr w:type="spellEnd"/>
            <w:r w:rsidRPr="0025103E">
              <w:t>-Au</w:t>
            </w:r>
          </w:p>
        </w:tc>
      </w:tr>
      <w:tr w:rsidR="0025103E" w:rsidRPr="0025103E" w14:paraId="4F62F296" w14:textId="77777777" w:rsidTr="0025103E">
        <w:trPr>
          <w:trHeight w:val="290"/>
        </w:trPr>
        <w:tc>
          <w:tcPr>
            <w:tcW w:w="0" w:type="auto"/>
            <w:tcBorders>
              <w:top w:val="nil"/>
              <w:left w:val="nil"/>
            </w:tcBorders>
            <w:noWrap/>
            <w:hideMark/>
          </w:tcPr>
          <w:p w14:paraId="7579B2FE" w14:textId="778AADFC" w:rsidR="0025103E" w:rsidRPr="0025103E" w:rsidRDefault="0025103E" w:rsidP="0025103E">
            <w:pPr>
              <w:jc w:val="center"/>
            </w:pPr>
          </w:p>
        </w:tc>
        <w:tc>
          <w:tcPr>
            <w:tcW w:w="0" w:type="auto"/>
            <w:hideMark/>
          </w:tcPr>
          <w:p w14:paraId="58D4B47B" w14:textId="5E230424" w:rsidR="0025103E" w:rsidRPr="0025103E" w:rsidRDefault="0025103E" w:rsidP="0025103E">
            <w:pPr>
              <w:jc w:val="center"/>
              <w:rPr>
                <w:lang w:val="en-US"/>
              </w:rPr>
            </w:pPr>
            <w:r w:rsidRPr="0025103E">
              <w:rPr>
                <w:lang w:val="en-US"/>
              </w:rPr>
              <w:t>Target intake (µg/kg of BW/d)</w:t>
            </w:r>
          </w:p>
        </w:tc>
        <w:tc>
          <w:tcPr>
            <w:tcW w:w="0" w:type="auto"/>
            <w:noWrap/>
            <w:hideMark/>
          </w:tcPr>
          <w:p w14:paraId="731CB669" w14:textId="77777777" w:rsidR="0025103E" w:rsidRPr="0025103E" w:rsidRDefault="0025103E" w:rsidP="0025103E">
            <w:pPr>
              <w:jc w:val="center"/>
            </w:pPr>
            <w:r w:rsidRPr="0025103E">
              <w:t>0.1</w:t>
            </w:r>
          </w:p>
        </w:tc>
        <w:tc>
          <w:tcPr>
            <w:tcW w:w="0" w:type="auto"/>
            <w:noWrap/>
            <w:hideMark/>
          </w:tcPr>
          <w:p w14:paraId="2F8ED148" w14:textId="77777777" w:rsidR="0025103E" w:rsidRPr="0025103E" w:rsidRDefault="0025103E" w:rsidP="0025103E">
            <w:pPr>
              <w:jc w:val="center"/>
            </w:pPr>
            <w:r w:rsidRPr="0025103E">
              <w:t>1</w:t>
            </w:r>
          </w:p>
        </w:tc>
        <w:tc>
          <w:tcPr>
            <w:tcW w:w="0" w:type="auto"/>
            <w:noWrap/>
            <w:hideMark/>
          </w:tcPr>
          <w:p w14:paraId="14FF89CE" w14:textId="77777777" w:rsidR="0025103E" w:rsidRPr="0025103E" w:rsidRDefault="0025103E" w:rsidP="0025103E">
            <w:pPr>
              <w:jc w:val="center"/>
            </w:pPr>
            <w:r w:rsidRPr="0025103E">
              <w:t>10</w:t>
            </w:r>
          </w:p>
        </w:tc>
        <w:tc>
          <w:tcPr>
            <w:tcW w:w="0" w:type="auto"/>
            <w:noWrap/>
            <w:hideMark/>
          </w:tcPr>
          <w:p w14:paraId="2A5664BA" w14:textId="77777777" w:rsidR="0025103E" w:rsidRPr="0025103E" w:rsidRDefault="0025103E" w:rsidP="0025103E">
            <w:pPr>
              <w:jc w:val="center"/>
            </w:pPr>
            <w:r w:rsidRPr="0025103E">
              <w:t>10</w:t>
            </w:r>
          </w:p>
        </w:tc>
      </w:tr>
      <w:tr w:rsidR="0025103E" w:rsidRPr="0025103E" w14:paraId="7BC7DB8B" w14:textId="77777777" w:rsidTr="0025103E">
        <w:trPr>
          <w:trHeight w:val="290"/>
        </w:trPr>
        <w:tc>
          <w:tcPr>
            <w:tcW w:w="0" w:type="auto"/>
            <w:noWrap/>
            <w:hideMark/>
          </w:tcPr>
          <w:p w14:paraId="2201351E" w14:textId="77777777" w:rsidR="0025103E" w:rsidRPr="0025103E" w:rsidRDefault="0025103E" w:rsidP="0025103E">
            <w:pPr>
              <w:jc w:val="center"/>
            </w:pPr>
            <w:r w:rsidRPr="0025103E">
              <w:t>Male</w:t>
            </w:r>
          </w:p>
        </w:tc>
        <w:tc>
          <w:tcPr>
            <w:tcW w:w="0" w:type="auto"/>
            <w:noWrap/>
            <w:hideMark/>
          </w:tcPr>
          <w:p w14:paraId="235F8476" w14:textId="2D6A0F92" w:rsidR="0025103E" w:rsidRPr="0025103E" w:rsidRDefault="00194FB5" w:rsidP="0025103E">
            <w:pPr>
              <w:jc w:val="center"/>
              <w:rPr>
                <w:lang w:val="en-US"/>
              </w:rPr>
            </w:pPr>
            <w:r>
              <w:rPr>
                <w:lang w:val="en-US"/>
              </w:rPr>
              <w:t>Calculated intake (µg/kg of BW</w:t>
            </w:r>
            <w:r w:rsidR="0025103E" w:rsidRPr="0025103E">
              <w:rPr>
                <w:lang w:val="en-US"/>
              </w:rPr>
              <w:t>/d)</w:t>
            </w:r>
          </w:p>
        </w:tc>
        <w:tc>
          <w:tcPr>
            <w:tcW w:w="0" w:type="auto"/>
            <w:noWrap/>
            <w:hideMark/>
          </w:tcPr>
          <w:p w14:paraId="22695E10" w14:textId="77777777" w:rsidR="0025103E" w:rsidRPr="0025103E" w:rsidRDefault="0025103E" w:rsidP="0025103E">
            <w:pPr>
              <w:jc w:val="center"/>
            </w:pPr>
            <w:r w:rsidRPr="0025103E">
              <w:t>0.09 ± 0.002</w:t>
            </w:r>
          </w:p>
        </w:tc>
        <w:tc>
          <w:tcPr>
            <w:tcW w:w="0" w:type="auto"/>
            <w:noWrap/>
            <w:hideMark/>
          </w:tcPr>
          <w:p w14:paraId="3F4A5252" w14:textId="77777777" w:rsidR="0025103E" w:rsidRPr="0025103E" w:rsidRDefault="0025103E" w:rsidP="0025103E">
            <w:pPr>
              <w:jc w:val="center"/>
            </w:pPr>
            <w:r w:rsidRPr="0025103E">
              <w:t>0.93 ± 0.02</w:t>
            </w:r>
          </w:p>
        </w:tc>
        <w:tc>
          <w:tcPr>
            <w:tcW w:w="0" w:type="auto"/>
            <w:noWrap/>
            <w:hideMark/>
          </w:tcPr>
          <w:p w14:paraId="2144EAB5" w14:textId="77777777" w:rsidR="0025103E" w:rsidRPr="0025103E" w:rsidRDefault="0025103E" w:rsidP="0025103E">
            <w:pPr>
              <w:jc w:val="center"/>
            </w:pPr>
            <w:r w:rsidRPr="0025103E">
              <w:t>9.43 ± 0.18</w:t>
            </w:r>
          </w:p>
        </w:tc>
        <w:tc>
          <w:tcPr>
            <w:tcW w:w="0" w:type="auto"/>
            <w:noWrap/>
            <w:hideMark/>
          </w:tcPr>
          <w:p w14:paraId="6BECF034" w14:textId="77777777" w:rsidR="0025103E" w:rsidRPr="0025103E" w:rsidRDefault="0025103E" w:rsidP="0025103E">
            <w:pPr>
              <w:jc w:val="center"/>
            </w:pPr>
            <w:r w:rsidRPr="0025103E">
              <w:t>9.08 ± 0.17</w:t>
            </w:r>
          </w:p>
        </w:tc>
      </w:tr>
      <w:tr w:rsidR="0025103E" w:rsidRPr="0025103E" w14:paraId="6D0F0942" w14:textId="77777777" w:rsidTr="0025103E">
        <w:trPr>
          <w:trHeight w:val="290"/>
        </w:trPr>
        <w:tc>
          <w:tcPr>
            <w:tcW w:w="0" w:type="auto"/>
            <w:noWrap/>
            <w:hideMark/>
          </w:tcPr>
          <w:p w14:paraId="3D3E6FFD" w14:textId="77777777" w:rsidR="0025103E" w:rsidRPr="0025103E" w:rsidRDefault="0025103E" w:rsidP="0025103E">
            <w:pPr>
              <w:jc w:val="center"/>
            </w:pPr>
            <w:proofErr w:type="spellStart"/>
            <w:r w:rsidRPr="0025103E">
              <w:t>Female</w:t>
            </w:r>
            <w:proofErr w:type="spellEnd"/>
          </w:p>
        </w:tc>
        <w:tc>
          <w:tcPr>
            <w:tcW w:w="0" w:type="auto"/>
            <w:noWrap/>
            <w:hideMark/>
          </w:tcPr>
          <w:p w14:paraId="1F5B0691" w14:textId="39113454" w:rsidR="0025103E" w:rsidRPr="0025103E" w:rsidRDefault="00194FB5" w:rsidP="0025103E">
            <w:pPr>
              <w:jc w:val="center"/>
              <w:rPr>
                <w:lang w:val="en-US"/>
              </w:rPr>
            </w:pPr>
            <w:r>
              <w:rPr>
                <w:lang w:val="en-US"/>
              </w:rPr>
              <w:t>Calculated intake (µg/kg of BW</w:t>
            </w:r>
            <w:r w:rsidR="0025103E" w:rsidRPr="0025103E">
              <w:rPr>
                <w:lang w:val="en-US"/>
              </w:rPr>
              <w:t>/d)</w:t>
            </w:r>
          </w:p>
        </w:tc>
        <w:tc>
          <w:tcPr>
            <w:tcW w:w="0" w:type="auto"/>
            <w:noWrap/>
            <w:hideMark/>
          </w:tcPr>
          <w:p w14:paraId="0217B15C" w14:textId="77777777" w:rsidR="0025103E" w:rsidRPr="0025103E" w:rsidRDefault="0025103E" w:rsidP="0025103E">
            <w:pPr>
              <w:jc w:val="center"/>
            </w:pPr>
            <w:r w:rsidRPr="0025103E">
              <w:t>0.11 ± 0.002</w:t>
            </w:r>
          </w:p>
        </w:tc>
        <w:tc>
          <w:tcPr>
            <w:tcW w:w="0" w:type="auto"/>
            <w:noWrap/>
            <w:hideMark/>
          </w:tcPr>
          <w:p w14:paraId="61FBD13D" w14:textId="77777777" w:rsidR="0025103E" w:rsidRPr="0025103E" w:rsidRDefault="0025103E" w:rsidP="0025103E">
            <w:pPr>
              <w:jc w:val="center"/>
            </w:pPr>
            <w:r w:rsidRPr="0025103E">
              <w:t>1.14 ± 0.02</w:t>
            </w:r>
          </w:p>
        </w:tc>
        <w:tc>
          <w:tcPr>
            <w:tcW w:w="0" w:type="auto"/>
            <w:noWrap/>
            <w:hideMark/>
          </w:tcPr>
          <w:p w14:paraId="1497018F" w14:textId="77777777" w:rsidR="0025103E" w:rsidRPr="0025103E" w:rsidRDefault="0025103E" w:rsidP="0025103E">
            <w:pPr>
              <w:jc w:val="center"/>
            </w:pPr>
            <w:r w:rsidRPr="0025103E">
              <w:t>11.64 ± 0.19</w:t>
            </w:r>
          </w:p>
        </w:tc>
        <w:tc>
          <w:tcPr>
            <w:tcW w:w="0" w:type="auto"/>
            <w:noWrap/>
            <w:hideMark/>
          </w:tcPr>
          <w:p w14:paraId="002380C1" w14:textId="77777777" w:rsidR="0025103E" w:rsidRPr="0025103E" w:rsidRDefault="0025103E" w:rsidP="0025103E">
            <w:pPr>
              <w:jc w:val="center"/>
            </w:pPr>
            <w:r w:rsidRPr="0025103E">
              <w:t>11.85 ± 0.18</w:t>
            </w:r>
          </w:p>
        </w:tc>
      </w:tr>
    </w:tbl>
    <w:p w14:paraId="5B13DA15" w14:textId="6FBBFCC9" w:rsidR="00C46023" w:rsidRDefault="00C46023">
      <w:pPr>
        <w:rPr>
          <w:lang w:val="en-US"/>
        </w:rPr>
      </w:pPr>
    </w:p>
    <w:p w14:paraId="19DD8CA7" w14:textId="6369B038" w:rsidR="00F02B5E" w:rsidRDefault="00F02B5E">
      <w:pPr>
        <w:rPr>
          <w:lang w:val="en-US"/>
        </w:rPr>
      </w:pPr>
      <w:r>
        <w:rPr>
          <w:lang w:val="en-US"/>
        </w:rPr>
        <w:br w:type="page"/>
      </w:r>
      <w:bookmarkStart w:id="0" w:name="_GoBack"/>
      <w:bookmarkEnd w:id="0"/>
    </w:p>
    <w:p w14:paraId="689A2E1B" w14:textId="21E38B63" w:rsidR="00F02B5E" w:rsidRDefault="00F02B5E" w:rsidP="00F02B5E">
      <w:pPr>
        <w:jc w:val="both"/>
        <w:rPr>
          <w:lang w:val="en-US"/>
        </w:rPr>
      </w:pPr>
      <w:r w:rsidRPr="00F02B5E">
        <w:rPr>
          <w:noProof/>
          <w:lang w:eastAsia="fr-FR"/>
        </w:rPr>
        <w:lastRenderedPageBreak/>
        <w:drawing>
          <wp:inline distT="0" distB="0" distL="0" distR="0" wp14:anchorId="31671CD3" wp14:editId="535C7E51">
            <wp:extent cx="5760720" cy="2483485"/>
            <wp:effectExtent l="0" t="0" r="0" b="0"/>
            <wp:docPr id="5" name="Image 4">
              <a:extLst xmlns:a="http://schemas.openxmlformats.org/drawingml/2006/main">
                <a:ext uri="{FF2B5EF4-FFF2-40B4-BE49-F238E27FC236}">
                  <a16:creationId xmlns:a16="http://schemas.microsoft.com/office/drawing/2014/main" id="{6EC66ED6-D5AF-4F92-A02A-C0515E2727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a:extLst>
                        <a:ext uri="{FF2B5EF4-FFF2-40B4-BE49-F238E27FC236}">
                          <a16:creationId xmlns:a16="http://schemas.microsoft.com/office/drawing/2014/main" id="{6EC66ED6-D5AF-4F92-A02A-C0515E2727AB}"/>
                        </a:ext>
                      </a:extLst>
                    </pic:cNvPr>
                    <pic:cNvPicPr>
                      <a:picLocks noChangeAspect="1"/>
                    </pic:cNvPicPr>
                  </pic:nvPicPr>
                  <pic:blipFill>
                    <a:blip r:embed="rId6"/>
                    <a:stretch>
                      <a:fillRect/>
                    </a:stretch>
                  </pic:blipFill>
                  <pic:spPr>
                    <a:xfrm>
                      <a:off x="0" y="0"/>
                      <a:ext cx="5760720" cy="2483485"/>
                    </a:xfrm>
                    <a:prstGeom prst="rect">
                      <a:avLst/>
                    </a:prstGeom>
                  </pic:spPr>
                </pic:pic>
              </a:graphicData>
            </a:graphic>
          </wp:inline>
        </w:drawing>
      </w:r>
    </w:p>
    <w:p w14:paraId="3CE64BA0" w14:textId="03B16C6A" w:rsidR="00F02B5E" w:rsidRPr="00F02B5E" w:rsidRDefault="00F02B5E" w:rsidP="00F02B5E">
      <w:pPr>
        <w:jc w:val="both"/>
        <w:rPr>
          <w:lang w:val="en-US"/>
        </w:rPr>
      </w:pPr>
      <w:r w:rsidRPr="00F02B5E">
        <w:rPr>
          <w:b/>
          <w:bCs/>
          <w:lang w:val="en-US"/>
        </w:rPr>
        <w:t xml:space="preserve">Figure S1: Body weight gain of male and female mice exposed to Ref-Au or E175 for 13 weeks. </w:t>
      </w:r>
      <w:r w:rsidRPr="00F02B5E">
        <w:rPr>
          <w:lang w:val="en-US"/>
        </w:rPr>
        <w:t xml:space="preserve">(A) Body weight gain of male mice orally exposed for 13 weeks to Ref-Au at 10µg/kg </w:t>
      </w:r>
      <w:proofErr w:type="spellStart"/>
      <w:r w:rsidRPr="00F02B5E">
        <w:rPr>
          <w:lang w:val="en-US"/>
        </w:rPr>
        <w:t>bw</w:t>
      </w:r>
      <w:proofErr w:type="spellEnd"/>
      <w:r w:rsidRPr="00F02B5E">
        <w:rPr>
          <w:lang w:val="en-US"/>
        </w:rPr>
        <w:t xml:space="preserve">/d or E175 at 0.1, 1 and 10µg/kg </w:t>
      </w:r>
      <w:proofErr w:type="spellStart"/>
      <w:r w:rsidRPr="00F02B5E">
        <w:rPr>
          <w:lang w:val="en-US"/>
        </w:rPr>
        <w:t>bw</w:t>
      </w:r>
      <w:proofErr w:type="spellEnd"/>
      <w:r w:rsidRPr="00F02B5E">
        <w:rPr>
          <w:lang w:val="en-US"/>
        </w:rPr>
        <w:t xml:space="preserve">/d. (B) Body weight gain of female mice orally exposed for 13 weeks to Ref-Au at 10µg/kg </w:t>
      </w:r>
      <w:proofErr w:type="spellStart"/>
      <w:r w:rsidRPr="00F02B5E">
        <w:rPr>
          <w:lang w:val="en-US"/>
        </w:rPr>
        <w:t>bw</w:t>
      </w:r>
      <w:proofErr w:type="spellEnd"/>
      <w:r w:rsidRPr="00F02B5E">
        <w:rPr>
          <w:lang w:val="en-US"/>
        </w:rPr>
        <w:t xml:space="preserve">/d or E175 at 0.1, 1 and 10µg/kg </w:t>
      </w:r>
      <w:proofErr w:type="spellStart"/>
      <w:r w:rsidRPr="00F02B5E">
        <w:rPr>
          <w:lang w:val="en-US"/>
        </w:rPr>
        <w:t>bw</w:t>
      </w:r>
      <w:proofErr w:type="spellEnd"/>
      <w:r w:rsidRPr="00F02B5E">
        <w:rPr>
          <w:lang w:val="en-US"/>
        </w:rPr>
        <w:t xml:space="preserve">/d. The data are expressed as the </w:t>
      </w:r>
      <w:proofErr w:type="spellStart"/>
      <w:r w:rsidRPr="00F02B5E">
        <w:rPr>
          <w:lang w:val="en-US"/>
        </w:rPr>
        <w:t>mean±SEM</w:t>
      </w:r>
      <w:proofErr w:type="spellEnd"/>
      <w:r w:rsidRPr="00F02B5E">
        <w:rPr>
          <w:lang w:val="en-US"/>
        </w:rPr>
        <w:t xml:space="preserve">. *P&lt;0.05 by </w:t>
      </w:r>
      <w:r w:rsidR="000A626E" w:rsidRPr="00F02B5E">
        <w:rPr>
          <w:lang w:val="en-US"/>
        </w:rPr>
        <w:t>two-way</w:t>
      </w:r>
      <w:r w:rsidRPr="00F02B5E">
        <w:rPr>
          <w:lang w:val="en-US"/>
        </w:rPr>
        <w:t xml:space="preserve"> ANOVA and </w:t>
      </w:r>
      <w:r w:rsidRPr="00F02B5E">
        <w:rPr>
          <w:i/>
          <w:iCs/>
          <w:lang w:val="en-US"/>
        </w:rPr>
        <w:t>post hoc</w:t>
      </w:r>
      <w:r w:rsidRPr="00F02B5E">
        <w:rPr>
          <w:lang w:val="en-US"/>
        </w:rPr>
        <w:t xml:space="preserve"> Bonferroni test. </w:t>
      </w:r>
    </w:p>
    <w:p w14:paraId="3CC618E3" w14:textId="4898DE46" w:rsidR="00F02B5E" w:rsidRDefault="00F02B5E">
      <w:pPr>
        <w:rPr>
          <w:lang w:val="en-US"/>
        </w:rPr>
      </w:pPr>
    </w:p>
    <w:p w14:paraId="2B93ED03" w14:textId="64F84DCD" w:rsidR="000A626E" w:rsidRDefault="000A626E">
      <w:pPr>
        <w:rPr>
          <w:lang w:val="en-US"/>
        </w:rPr>
      </w:pPr>
      <w:r>
        <w:rPr>
          <w:lang w:val="en-US"/>
        </w:rPr>
        <w:br w:type="page"/>
      </w:r>
    </w:p>
    <w:p w14:paraId="24CD96C7" w14:textId="12B7056C" w:rsidR="000A626E" w:rsidRDefault="00174FA0" w:rsidP="00174FA0">
      <w:pPr>
        <w:jc w:val="center"/>
        <w:rPr>
          <w:lang w:val="en-US"/>
        </w:rPr>
      </w:pPr>
      <w:r>
        <w:rPr>
          <w:noProof/>
          <w:lang w:eastAsia="fr-FR"/>
        </w:rPr>
        <w:drawing>
          <wp:inline distT="0" distB="0" distL="0" distR="0" wp14:anchorId="24E3F008" wp14:editId="0C11675D">
            <wp:extent cx="3542030" cy="5773420"/>
            <wp:effectExtent l="0" t="0" r="127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42030" cy="5773420"/>
                    </a:xfrm>
                    <a:prstGeom prst="rect">
                      <a:avLst/>
                    </a:prstGeom>
                    <a:noFill/>
                  </pic:spPr>
                </pic:pic>
              </a:graphicData>
            </a:graphic>
          </wp:inline>
        </w:drawing>
      </w:r>
    </w:p>
    <w:p w14:paraId="7EAF3849" w14:textId="77777777" w:rsidR="00174FA0" w:rsidRPr="00174FA0" w:rsidRDefault="00174FA0" w:rsidP="00174FA0">
      <w:pPr>
        <w:jc w:val="both"/>
        <w:rPr>
          <w:lang w:val="en-US"/>
        </w:rPr>
      </w:pPr>
      <w:r w:rsidRPr="00174FA0">
        <w:rPr>
          <w:b/>
          <w:bCs/>
          <w:lang w:val="en-US"/>
        </w:rPr>
        <w:t>Figure S2: Confocal images of jejunum tissue sections from mice orally treated for 13 weeks days with gold-containing preparations.</w:t>
      </w:r>
      <w:r w:rsidRPr="00174FA0">
        <w:rPr>
          <w:lang w:val="en-US"/>
        </w:rPr>
        <w:t xml:space="preserve"> (A) control, (B) Ref-Au nanomaterial, and (C) E175. The laser reflecting (metal) particles appear in green (white arrows), the WGA-labelled glycoproteins in red, and cell nuclei in blue.</w:t>
      </w:r>
    </w:p>
    <w:p w14:paraId="63460A27" w14:textId="1AAB06DF" w:rsidR="00174FA0" w:rsidRDefault="00174FA0">
      <w:pPr>
        <w:rPr>
          <w:lang w:val="en-US"/>
        </w:rPr>
      </w:pPr>
    </w:p>
    <w:p w14:paraId="2E3367D6" w14:textId="052359E2" w:rsidR="00174FA0" w:rsidRDefault="00174FA0">
      <w:pPr>
        <w:rPr>
          <w:lang w:val="en-US"/>
        </w:rPr>
      </w:pPr>
      <w:r>
        <w:rPr>
          <w:lang w:val="en-US"/>
        </w:rPr>
        <w:br w:type="page"/>
      </w:r>
    </w:p>
    <w:p w14:paraId="383BDE1C" w14:textId="372ACF42" w:rsidR="00174FA0" w:rsidRDefault="00174FA0" w:rsidP="00174FA0">
      <w:pPr>
        <w:jc w:val="center"/>
        <w:rPr>
          <w:lang w:val="en-US"/>
        </w:rPr>
      </w:pPr>
      <w:r>
        <w:rPr>
          <w:noProof/>
          <w:lang w:eastAsia="fr-FR"/>
        </w:rPr>
        <w:drawing>
          <wp:inline distT="0" distB="0" distL="0" distR="0" wp14:anchorId="1410973F" wp14:editId="6FFF7B51">
            <wp:extent cx="3883660" cy="6346190"/>
            <wp:effectExtent l="0" t="0" r="254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3660" cy="6346190"/>
                    </a:xfrm>
                    <a:prstGeom prst="rect">
                      <a:avLst/>
                    </a:prstGeom>
                    <a:noFill/>
                  </pic:spPr>
                </pic:pic>
              </a:graphicData>
            </a:graphic>
          </wp:inline>
        </w:drawing>
      </w:r>
    </w:p>
    <w:p w14:paraId="2F5CF95C" w14:textId="77777777" w:rsidR="00174FA0" w:rsidRPr="00174FA0" w:rsidRDefault="00174FA0" w:rsidP="00174FA0">
      <w:pPr>
        <w:jc w:val="both"/>
      </w:pPr>
      <w:r w:rsidRPr="00174FA0">
        <w:rPr>
          <w:b/>
          <w:bCs/>
          <w:lang w:val="en-US"/>
        </w:rPr>
        <w:t>Figure S3: Confocal images of Peyer’s patches tissue sections from mice orally treated for 13 weeks with gold-containing preparations</w:t>
      </w:r>
      <w:r w:rsidRPr="00174FA0">
        <w:rPr>
          <w:lang w:val="en-US"/>
        </w:rPr>
        <w:t>. (A) control, (B) Ref-Au nanomaterial, and (C) E175. The laser reflecting (metal) particles appear in green (white arrows), the WGA-labelled glycoproteins in red and cell nuclei in blue. Ep: epithelium.</w:t>
      </w:r>
    </w:p>
    <w:p w14:paraId="5694EC06" w14:textId="2A2F8B88" w:rsidR="00174FA0" w:rsidRDefault="00174FA0">
      <w:pPr>
        <w:rPr>
          <w:lang w:val="en-US"/>
        </w:rPr>
      </w:pPr>
    </w:p>
    <w:p w14:paraId="7D08A2B7" w14:textId="5261F9A6" w:rsidR="00174FA0" w:rsidRDefault="00174FA0">
      <w:pPr>
        <w:rPr>
          <w:lang w:val="en-US"/>
        </w:rPr>
      </w:pPr>
      <w:r>
        <w:rPr>
          <w:lang w:val="en-US"/>
        </w:rPr>
        <w:br w:type="page"/>
      </w:r>
    </w:p>
    <w:p w14:paraId="13B32DCD" w14:textId="3AC5703E" w:rsidR="00174FA0" w:rsidRDefault="00174FA0" w:rsidP="00970CA0">
      <w:pPr>
        <w:jc w:val="center"/>
        <w:rPr>
          <w:lang w:val="en-US"/>
        </w:rPr>
      </w:pPr>
      <w:r>
        <w:rPr>
          <w:noProof/>
          <w:lang w:eastAsia="fr-FR"/>
        </w:rPr>
        <w:drawing>
          <wp:inline distT="0" distB="0" distL="0" distR="0" wp14:anchorId="224DBC69" wp14:editId="30AD27A6">
            <wp:extent cx="3886200" cy="623114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99308" cy="6252163"/>
                    </a:xfrm>
                    <a:prstGeom prst="rect">
                      <a:avLst/>
                    </a:prstGeom>
                    <a:noFill/>
                  </pic:spPr>
                </pic:pic>
              </a:graphicData>
            </a:graphic>
          </wp:inline>
        </w:drawing>
      </w:r>
    </w:p>
    <w:p w14:paraId="7A05B4D0" w14:textId="77777777" w:rsidR="006A0538" w:rsidRPr="006A0538" w:rsidRDefault="006A0538" w:rsidP="006A0538">
      <w:pPr>
        <w:jc w:val="both"/>
      </w:pPr>
      <w:r w:rsidRPr="006A0538">
        <w:rPr>
          <w:b/>
          <w:bCs/>
          <w:lang w:val="en-US"/>
        </w:rPr>
        <w:t>Figure S4: Confocal images of colon tissue sections from mice orally treated for 13 weeks with gold-containing preparations</w:t>
      </w:r>
      <w:r w:rsidRPr="006A0538">
        <w:rPr>
          <w:lang w:val="en-US"/>
        </w:rPr>
        <w:t>. (A) control, (B) Ref-Au nanomaterial, and (C) E175. The laser reflecting (gold) particles appear in green (white arrows), the WGA-labelled glycoproteins in red and cell nuclei in blue. Ep: epithelium; Mu: muscle; Cr: crypt; *: lumen.</w:t>
      </w:r>
    </w:p>
    <w:p w14:paraId="4D8814B3" w14:textId="788EF79B" w:rsidR="00F02B5E" w:rsidRDefault="00F02B5E">
      <w:pPr>
        <w:rPr>
          <w:lang w:val="en-US"/>
        </w:rPr>
      </w:pPr>
    </w:p>
    <w:p w14:paraId="1FBDFAAF" w14:textId="4D2FF885" w:rsidR="00322C36" w:rsidRDefault="00322C36">
      <w:pPr>
        <w:rPr>
          <w:lang w:val="en-US"/>
        </w:rPr>
      </w:pPr>
      <w:r>
        <w:rPr>
          <w:lang w:val="en-US"/>
        </w:rPr>
        <w:br w:type="page"/>
      </w:r>
    </w:p>
    <w:p w14:paraId="445DF642" w14:textId="21884CB4" w:rsidR="00F02B5E" w:rsidRDefault="00093280" w:rsidP="00093280">
      <w:pPr>
        <w:jc w:val="center"/>
        <w:rPr>
          <w:lang w:val="en-US"/>
        </w:rPr>
      </w:pPr>
      <w:r>
        <w:rPr>
          <w:noProof/>
          <w:lang w:eastAsia="fr-FR"/>
        </w:rPr>
        <w:drawing>
          <wp:inline distT="0" distB="0" distL="0" distR="0" wp14:anchorId="1F947172" wp14:editId="659E7380">
            <wp:extent cx="3689132" cy="4292333"/>
            <wp:effectExtent l="0" t="0" r="698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93111" cy="4296963"/>
                    </a:xfrm>
                    <a:prstGeom prst="rect">
                      <a:avLst/>
                    </a:prstGeom>
                    <a:noFill/>
                  </pic:spPr>
                </pic:pic>
              </a:graphicData>
            </a:graphic>
          </wp:inline>
        </w:drawing>
      </w:r>
    </w:p>
    <w:p w14:paraId="30120C9B" w14:textId="77777777" w:rsidR="00093280" w:rsidRPr="00093280" w:rsidRDefault="00093280" w:rsidP="00093280">
      <w:pPr>
        <w:jc w:val="both"/>
        <w:rPr>
          <w:lang w:val="en-US"/>
        </w:rPr>
      </w:pPr>
      <w:r w:rsidRPr="00093280">
        <w:rPr>
          <w:b/>
          <w:bCs/>
          <w:lang w:val="en-US"/>
        </w:rPr>
        <w:t>Figure S5. Representative TEM analysis in the small intestine of mice treated with the Ref-Au nanomaterial.</w:t>
      </w:r>
    </w:p>
    <w:p w14:paraId="3F7A7000" w14:textId="77777777" w:rsidR="00093280" w:rsidRPr="00093280" w:rsidRDefault="00093280" w:rsidP="00093280">
      <w:pPr>
        <w:jc w:val="both"/>
        <w:rPr>
          <w:lang w:val="en-US"/>
        </w:rPr>
      </w:pPr>
      <w:r w:rsidRPr="00093280">
        <w:rPr>
          <w:b/>
          <w:bCs/>
          <w:lang w:val="en-US"/>
        </w:rPr>
        <w:t>A:</w:t>
      </w:r>
      <w:r w:rsidRPr="00093280">
        <w:rPr>
          <w:lang w:val="en-US"/>
        </w:rPr>
        <w:t xml:space="preserve"> TEM images of tissue sections from the jejunum. Paired right and left panels in A1-A4 correspond to the same tissue sections at different magnification.</w:t>
      </w:r>
    </w:p>
    <w:p w14:paraId="572773BC" w14:textId="77777777" w:rsidR="00093280" w:rsidRPr="00093280" w:rsidRDefault="00093280" w:rsidP="00093280">
      <w:pPr>
        <w:jc w:val="both"/>
        <w:rPr>
          <w:lang w:val="en-US"/>
        </w:rPr>
      </w:pPr>
      <w:r w:rsidRPr="00093280">
        <w:rPr>
          <w:i/>
          <w:iCs/>
          <w:lang w:val="en-US"/>
        </w:rPr>
        <w:t>Arrows</w:t>
      </w:r>
      <w:r w:rsidRPr="00093280">
        <w:rPr>
          <w:lang w:val="en-US"/>
        </w:rPr>
        <w:t xml:space="preserve"> indicate electron-dense inorganic particles. Note in A5 some particles distributed into the lumen of the intestine (i.e., unabsorbed).</w:t>
      </w:r>
    </w:p>
    <w:p w14:paraId="1F8FD4EE" w14:textId="77777777" w:rsidR="00093280" w:rsidRPr="00093280" w:rsidRDefault="00093280" w:rsidP="00093280">
      <w:pPr>
        <w:jc w:val="both"/>
      </w:pPr>
      <w:r w:rsidRPr="00093280">
        <w:rPr>
          <w:lang w:val="en-US"/>
        </w:rPr>
        <w:t xml:space="preserve">Nu: nucleus; </w:t>
      </w:r>
      <w:proofErr w:type="spellStart"/>
      <w:r w:rsidRPr="00093280">
        <w:rPr>
          <w:lang w:val="en-US"/>
        </w:rPr>
        <w:t>Mv</w:t>
      </w:r>
      <w:proofErr w:type="spellEnd"/>
      <w:r w:rsidRPr="00093280">
        <w:rPr>
          <w:lang w:val="en-US"/>
        </w:rPr>
        <w:t>: microvilli; Ca: capillary; RER:  rough endoplasmic reticulum; *: intestinal lumen.</w:t>
      </w:r>
    </w:p>
    <w:p w14:paraId="354D2EB4" w14:textId="0AC1F076" w:rsidR="00174FA0" w:rsidRDefault="00174FA0">
      <w:pPr>
        <w:rPr>
          <w:lang w:val="en-US"/>
        </w:rPr>
      </w:pPr>
    </w:p>
    <w:p w14:paraId="4D32951D" w14:textId="58BE2A91" w:rsidR="00093280" w:rsidRDefault="00093280">
      <w:pPr>
        <w:rPr>
          <w:lang w:val="en-US"/>
        </w:rPr>
      </w:pPr>
      <w:r>
        <w:rPr>
          <w:lang w:val="en-US"/>
        </w:rPr>
        <w:br w:type="page"/>
      </w:r>
    </w:p>
    <w:p w14:paraId="1273E102" w14:textId="067B0568" w:rsidR="00093280" w:rsidRDefault="00093280" w:rsidP="00093280">
      <w:pPr>
        <w:jc w:val="center"/>
        <w:rPr>
          <w:lang w:val="en-US"/>
        </w:rPr>
      </w:pPr>
      <w:r>
        <w:rPr>
          <w:noProof/>
          <w:lang w:eastAsia="fr-FR"/>
        </w:rPr>
        <w:drawing>
          <wp:inline distT="0" distB="0" distL="0" distR="0" wp14:anchorId="6B894780" wp14:editId="0FA34AD8">
            <wp:extent cx="4389755" cy="3529965"/>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389755" cy="3529965"/>
                    </a:xfrm>
                    <a:prstGeom prst="rect">
                      <a:avLst/>
                    </a:prstGeom>
                    <a:noFill/>
                  </pic:spPr>
                </pic:pic>
              </a:graphicData>
            </a:graphic>
          </wp:inline>
        </w:drawing>
      </w:r>
    </w:p>
    <w:p w14:paraId="3E0C1187" w14:textId="77777777" w:rsidR="00093280" w:rsidRPr="00093280" w:rsidRDefault="00093280" w:rsidP="00093280">
      <w:pPr>
        <w:rPr>
          <w:lang w:val="en-US"/>
        </w:rPr>
      </w:pPr>
      <w:r w:rsidRPr="00093280">
        <w:rPr>
          <w:b/>
          <w:bCs/>
          <w:lang w:val="en-US"/>
        </w:rPr>
        <w:t>Figure S6. Representative TEM analysis in the Peyer’s patches of mice treated with the Ref-Au nanomaterial</w:t>
      </w:r>
    </w:p>
    <w:p w14:paraId="70092E40" w14:textId="77777777" w:rsidR="00093280" w:rsidRPr="00093280" w:rsidRDefault="00093280" w:rsidP="00093280">
      <w:r w:rsidRPr="00093280">
        <w:rPr>
          <w:b/>
          <w:bCs/>
          <w:lang w:val="en-US"/>
        </w:rPr>
        <w:t xml:space="preserve">A: </w:t>
      </w:r>
      <w:r w:rsidRPr="00093280">
        <w:rPr>
          <w:lang w:val="en-US"/>
        </w:rPr>
        <w:t>TEM images of Peyer’s patches (gut-associated lymphoid tissue). Paired right and left panels in A1-A2 correspond to the same tissue sections at different magnification.</w:t>
      </w:r>
      <w:r w:rsidRPr="00093280">
        <w:rPr>
          <w:i/>
          <w:iCs/>
          <w:lang w:val="en-US"/>
        </w:rPr>
        <w:t xml:space="preserve"> </w:t>
      </w:r>
      <w:proofErr w:type="spellStart"/>
      <w:r w:rsidRPr="00093280">
        <w:rPr>
          <w:i/>
          <w:iCs/>
        </w:rPr>
        <w:t>Arrows</w:t>
      </w:r>
      <w:proofErr w:type="spellEnd"/>
      <w:r w:rsidRPr="00093280">
        <w:t xml:space="preserve"> </w:t>
      </w:r>
      <w:proofErr w:type="spellStart"/>
      <w:r w:rsidRPr="00093280">
        <w:t>indicate</w:t>
      </w:r>
      <w:proofErr w:type="spellEnd"/>
      <w:r w:rsidRPr="00093280">
        <w:t xml:space="preserve"> </w:t>
      </w:r>
      <w:proofErr w:type="spellStart"/>
      <w:r w:rsidRPr="00093280">
        <w:t>electron</w:t>
      </w:r>
      <w:proofErr w:type="spellEnd"/>
      <w:r w:rsidRPr="00093280">
        <w:t xml:space="preserve">-dense </w:t>
      </w:r>
      <w:proofErr w:type="spellStart"/>
      <w:r w:rsidRPr="00093280">
        <w:t>inorganic</w:t>
      </w:r>
      <w:proofErr w:type="spellEnd"/>
      <w:r w:rsidRPr="00093280">
        <w:t xml:space="preserve"> </w:t>
      </w:r>
      <w:proofErr w:type="spellStart"/>
      <w:r w:rsidRPr="00093280">
        <w:t>particles</w:t>
      </w:r>
      <w:proofErr w:type="spellEnd"/>
      <w:r w:rsidRPr="00093280">
        <w:t>.</w:t>
      </w:r>
    </w:p>
    <w:p w14:paraId="2B402EA9" w14:textId="77777777" w:rsidR="00093280" w:rsidRPr="00093280" w:rsidRDefault="00093280" w:rsidP="00093280">
      <w:r w:rsidRPr="00093280">
        <w:t>Nu: nucleus; Mv: </w:t>
      </w:r>
      <w:proofErr w:type="spellStart"/>
      <w:r w:rsidRPr="00093280">
        <w:t>microvilli</w:t>
      </w:r>
      <w:proofErr w:type="spellEnd"/>
      <w:r w:rsidRPr="00093280">
        <w:t>; *: intestinal lumen.</w:t>
      </w:r>
    </w:p>
    <w:p w14:paraId="2069B9ED" w14:textId="734371BE" w:rsidR="00093280" w:rsidRDefault="00093280"/>
    <w:p w14:paraId="7D6F6ED8" w14:textId="36FC592B" w:rsidR="00093280" w:rsidRDefault="00093280">
      <w:r>
        <w:br w:type="page"/>
      </w:r>
    </w:p>
    <w:p w14:paraId="09F5947A" w14:textId="575F439B" w:rsidR="00093280" w:rsidRDefault="00093280" w:rsidP="00093280">
      <w:pPr>
        <w:jc w:val="center"/>
      </w:pPr>
      <w:r>
        <w:rPr>
          <w:noProof/>
          <w:lang w:eastAsia="fr-FR"/>
        </w:rPr>
        <w:drawing>
          <wp:inline distT="0" distB="0" distL="0" distR="0" wp14:anchorId="50FCBF05" wp14:editId="2A4C9790">
            <wp:extent cx="3858895" cy="4401820"/>
            <wp:effectExtent l="0" t="0" r="8255"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58895" cy="4401820"/>
                    </a:xfrm>
                    <a:prstGeom prst="rect">
                      <a:avLst/>
                    </a:prstGeom>
                    <a:noFill/>
                  </pic:spPr>
                </pic:pic>
              </a:graphicData>
            </a:graphic>
          </wp:inline>
        </w:drawing>
      </w:r>
    </w:p>
    <w:p w14:paraId="6B88434D" w14:textId="77777777" w:rsidR="00093280" w:rsidRPr="00093280" w:rsidRDefault="00093280" w:rsidP="00093280">
      <w:pPr>
        <w:jc w:val="both"/>
        <w:rPr>
          <w:lang w:val="en-US"/>
        </w:rPr>
      </w:pPr>
      <w:r w:rsidRPr="00093280">
        <w:rPr>
          <w:b/>
          <w:bCs/>
          <w:lang w:val="en-US"/>
        </w:rPr>
        <w:t>Figure S7. Representative TEM analysis in the colon of mice treated with the Ref Au nanomaterial</w:t>
      </w:r>
    </w:p>
    <w:p w14:paraId="658ABF4E" w14:textId="77777777" w:rsidR="00093280" w:rsidRPr="00093280" w:rsidRDefault="00093280" w:rsidP="00093280">
      <w:pPr>
        <w:jc w:val="both"/>
      </w:pPr>
      <w:r w:rsidRPr="00093280">
        <w:rPr>
          <w:b/>
          <w:bCs/>
          <w:lang w:val="en-US"/>
        </w:rPr>
        <w:t>A:</w:t>
      </w:r>
      <w:r w:rsidRPr="00093280">
        <w:rPr>
          <w:lang w:val="en-US"/>
        </w:rPr>
        <w:t xml:space="preserve"> TEM images of colonic tissue sections. Paired right and left panels in A1-A4 correspond to the same tissue sections at different magnification. </w:t>
      </w:r>
      <w:r w:rsidRPr="00093280">
        <w:rPr>
          <w:i/>
          <w:iCs/>
          <w:lang w:val="en-US"/>
        </w:rPr>
        <w:t>Arrow</w:t>
      </w:r>
      <w:r w:rsidRPr="00093280">
        <w:rPr>
          <w:lang w:val="en-US"/>
        </w:rPr>
        <w:t>s indicate electron-dense inorganic particles.</w:t>
      </w:r>
    </w:p>
    <w:p w14:paraId="16DA078D" w14:textId="77777777" w:rsidR="00093280" w:rsidRPr="00093280" w:rsidRDefault="00093280" w:rsidP="00093280">
      <w:pPr>
        <w:jc w:val="both"/>
      </w:pPr>
      <w:r w:rsidRPr="00093280">
        <w:rPr>
          <w:lang w:val="en-US"/>
        </w:rPr>
        <w:t xml:space="preserve">GC: Goblet cell; Nu: nucleus; </w:t>
      </w:r>
      <w:proofErr w:type="spellStart"/>
      <w:r w:rsidRPr="00093280">
        <w:rPr>
          <w:lang w:val="en-US"/>
        </w:rPr>
        <w:t>Mv</w:t>
      </w:r>
      <w:proofErr w:type="spellEnd"/>
      <w:r w:rsidRPr="00093280">
        <w:rPr>
          <w:lang w:val="en-US"/>
        </w:rPr>
        <w:t>: microvilli; Ca: capillary; *: intestinal lumen.</w:t>
      </w:r>
    </w:p>
    <w:p w14:paraId="192E7905" w14:textId="07F42D54" w:rsidR="00093280" w:rsidRDefault="00093280"/>
    <w:p w14:paraId="3D7B92BB" w14:textId="48B8F802" w:rsidR="00093280" w:rsidRDefault="00093280">
      <w:r>
        <w:br w:type="page"/>
      </w:r>
    </w:p>
    <w:p w14:paraId="7B0F4A07" w14:textId="7D938FA4" w:rsidR="00093280" w:rsidRDefault="005C1520" w:rsidP="005C1520">
      <w:pPr>
        <w:jc w:val="center"/>
      </w:pPr>
      <w:r w:rsidRPr="005C1520">
        <w:rPr>
          <w:noProof/>
          <w:lang w:eastAsia="fr-FR"/>
        </w:rPr>
        <w:drawing>
          <wp:inline distT="0" distB="0" distL="0" distR="0" wp14:anchorId="20FA8B94" wp14:editId="46C97020">
            <wp:extent cx="3859102" cy="4456562"/>
            <wp:effectExtent l="0" t="0" r="8255" b="1270"/>
            <wp:docPr id="2" name="Image 1">
              <a:extLst xmlns:a="http://schemas.openxmlformats.org/drawingml/2006/main">
                <a:ext uri="{FF2B5EF4-FFF2-40B4-BE49-F238E27FC236}">
                  <a16:creationId xmlns:a16="http://schemas.microsoft.com/office/drawing/2014/main" id="{43035C3A-B847-42F5-A00B-ABF31CC7D1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43035C3A-B847-42F5-A00B-ABF31CC7D1C7}"/>
                        </a:ext>
                      </a:extLst>
                    </pic:cNvPr>
                    <pic:cNvPicPr>
                      <a:picLocks noChangeAspect="1"/>
                    </pic:cNvPicPr>
                  </pic:nvPicPr>
                  <pic:blipFill>
                    <a:blip r:embed="rId13"/>
                    <a:stretch>
                      <a:fillRect/>
                    </a:stretch>
                  </pic:blipFill>
                  <pic:spPr>
                    <a:xfrm>
                      <a:off x="0" y="0"/>
                      <a:ext cx="3859102" cy="4456562"/>
                    </a:xfrm>
                    <a:prstGeom prst="rect">
                      <a:avLst/>
                    </a:prstGeom>
                  </pic:spPr>
                </pic:pic>
              </a:graphicData>
            </a:graphic>
          </wp:inline>
        </w:drawing>
      </w:r>
    </w:p>
    <w:p w14:paraId="213D2446" w14:textId="77777777" w:rsidR="005C1520" w:rsidRPr="005C1520" w:rsidRDefault="005C1520" w:rsidP="005C1520">
      <w:pPr>
        <w:jc w:val="both"/>
        <w:rPr>
          <w:lang w:val="en-US"/>
        </w:rPr>
      </w:pPr>
      <w:r w:rsidRPr="005C1520">
        <w:rPr>
          <w:b/>
          <w:bCs/>
          <w:lang w:val="en-US"/>
        </w:rPr>
        <w:t>Figure S8. Representative TEM analysis in the small intestine</w:t>
      </w:r>
      <w:r w:rsidRPr="005C1520">
        <w:rPr>
          <w:lang w:val="en-US"/>
        </w:rPr>
        <w:t xml:space="preserve"> </w:t>
      </w:r>
      <w:r w:rsidRPr="005C1520">
        <w:rPr>
          <w:b/>
          <w:bCs/>
          <w:lang w:val="en-US"/>
        </w:rPr>
        <w:t>of mice treated with the food additive E175</w:t>
      </w:r>
    </w:p>
    <w:p w14:paraId="41A54702" w14:textId="77777777" w:rsidR="005C1520" w:rsidRPr="005C1520" w:rsidRDefault="005C1520" w:rsidP="005C1520">
      <w:pPr>
        <w:jc w:val="both"/>
      </w:pPr>
      <w:r w:rsidRPr="005C1520">
        <w:rPr>
          <w:b/>
          <w:bCs/>
          <w:lang w:val="en-US"/>
        </w:rPr>
        <w:t xml:space="preserve">A: </w:t>
      </w:r>
      <w:r w:rsidRPr="005C1520">
        <w:rPr>
          <w:lang w:val="en-US"/>
        </w:rPr>
        <w:t>TEM images of tissue sections from the jejunum. Paired right and left panels in A1-A4 correspond to the same tissue sections at different magnification.</w:t>
      </w:r>
      <w:r w:rsidRPr="005C1520">
        <w:rPr>
          <w:i/>
          <w:iCs/>
          <w:lang w:val="en-US"/>
        </w:rPr>
        <w:t xml:space="preserve"> Arrows</w:t>
      </w:r>
      <w:r w:rsidRPr="005C1520">
        <w:rPr>
          <w:lang w:val="en-US"/>
        </w:rPr>
        <w:t xml:space="preserve"> indicate electron-dense inorganic particles.</w:t>
      </w:r>
    </w:p>
    <w:p w14:paraId="7CA1DD55" w14:textId="77777777" w:rsidR="005C1520" w:rsidRPr="005C1520" w:rsidRDefault="005C1520" w:rsidP="005C1520">
      <w:pPr>
        <w:jc w:val="both"/>
      </w:pPr>
      <w:r w:rsidRPr="005C1520">
        <w:t>Mv: </w:t>
      </w:r>
      <w:proofErr w:type="spellStart"/>
      <w:r w:rsidRPr="005C1520">
        <w:t>microvilli</w:t>
      </w:r>
      <w:proofErr w:type="spellEnd"/>
      <w:r w:rsidRPr="005C1520">
        <w:t>; Mi: </w:t>
      </w:r>
      <w:proofErr w:type="spellStart"/>
      <w:r w:rsidRPr="005C1520">
        <w:t>mitochondria</w:t>
      </w:r>
      <w:proofErr w:type="spellEnd"/>
      <w:r w:rsidRPr="005C1520">
        <w:t>; *: intestinal lumen.</w:t>
      </w:r>
    </w:p>
    <w:p w14:paraId="4AA52DFE" w14:textId="1DB8B774" w:rsidR="00093280" w:rsidRDefault="00093280"/>
    <w:p w14:paraId="52629A82" w14:textId="2BCE3E00" w:rsidR="005C1520" w:rsidRDefault="005C1520">
      <w:r>
        <w:br w:type="page"/>
      </w:r>
    </w:p>
    <w:p w14:paraId="222D5880" w14:textId="126E6CFF" w:rsidR="005C1520" w:rsidRDefault="005C1520" w:rsidP="005C1520">
      <w:pPr>
        <w:jc w:val="center"/>
      </w:pPr>
      <w:r>
        <w:rPr>
          <w:noProof/>
          <w:lang w:eastAsia="fr-FR"/>
        </w:rPr>
        <w:drawing>
          <wp:inline distT="0" distB="0" distL="0" distR="0" wp14:anchorId="1C4B410F" wp14:editId="3A72159A">
            <wp:extent cx="4030100" cy="7015656"/>
            <wp:effectExtent l="0" t="0" r="8890"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37114" cy="7027866"/>
                    </a:xfrm>
                    <a:prstGeom prst="rect">
                      <a:avLst/>
                    </a:prstGeom>
                    <a:noFill/>
                  </pic:spPr>
                </pic:pic>
              </a:graphicData>
            </a:graphic>
          </wp:inline>
        </w:drawing>
      </w:r>
    </w:p>
    <w:p w14:paraId="2F2D268F" w14:textId="77777777" w:rsidR="005C1520" w:rsidRPr="005C1520" w:rsidRDefault="005C1520" w:rsidP="005C1520">
      <w:pPr>
        <w:jc w:val="both"/>
        <w:rPr>
          <w:lang w:val="en-US"/>
        </w:rPr>
      </w:pPr>
      <w:r w:rsidRPr="005C1520">
        <w:rPr>
          <w:b/>
          <w:bCs/>
          <w:lang w:val="en-US"/>
        </w:rPr>
        <w:t>Figure S9. Representative TEM-EDX analysis in the Peyer’s patches of mice treated with the food additive E175</w:t>
      </w:r>
    </w:p>
    <w:p w14:paraId="722D16D6" w14:textId="77777777" w:rsidR="005C1520" w:rsidRPr="005C1520" w:rsidRDefault="005C1520" w:rsidP="005C1520">
      <w:pPr>
        <w:jc w:val="both"/>
        <w:rPr>
          <w:lang w:val="en-US"/>
        </w:rPr>
      </w:pPr>
      <w:r w:rsidRPr="005C1520">
        <w:rPr>
          <w:b/>
          <w:bCs/>
          <w:lang w:val="en-US"/>
        </w:rPr>
        <w:t xml:space="preserve">A: </w:t>
      </w:r>
      <w:r w:rsidRPr="005C1520">
        <w:rPr>
          <w:lang w:val="en-US"/>
        </w:rPr>
        <w:t>TEM images of Peyer’s patches (gut-associated lymphoid tissue). Paired right and left panels in A1-A2 correspond to the same tissue sections at different magnification.</w:t>
      </w:r>
      <w:r w:rsidRPr="005C1520">
        <w:rPr>
          <w:i/>
          <w:iCs/>
          <w:lang w:val="en-US"/>
        </w:rPr>
        <w:t xml:space="preserve"> Arrows</w:t>
      </w:r>
      <w:r w:rsidRPr="005C1520">
        <w:rPr>
          <w:lang w:val="en-US"/>
        </w:rPr>
        <w:t xml:space="preserve"> indicate electron-dense inorganic particles.</w:t>
      </w:r>
    </w:p>
    <w:p w14:paraId="46D1F63E" w14:textId="77777777" w:rsidR="005C1520" w:rsidRPr="005C1520" w:rsidRDefault="005C1520" w:rsidP="005C1520">
      <w:pPr>
        <w:jc w:val="both"/>
        <w:rPr>
          <w:lang w:val="en-US"/>
        </w:rPr>
      </w:pPr>
      <w:r w:rsidRPr="005C1520">
        <w:rPr>
          <w:b/>
          <w:bCs/>
          <w:lang w:val="en-US"/>
        </w:rPr>
        <w:t>B:</w:t>
      </w:r>
      <w:r w:rsidRPr="005C1520">
        <w:rPr>
          <w:lang w:val="en-US"/>
        </w:rPr>
        <w:t xml:space="preserve"> representative EDX spectra (B1, B3) and corresponding TEM images (B2, B4).</w:t>
      </w:r>
    </w:p>
    <w:p w14:paraId="2152CED3" w14:textId="63F13098" w:rsidR="005C1520" w:rsidRDefault="005C1520" w:rsidP="005C1520">
      <w:pPr>
        <w:jc w:val="both"/>
      </w:pPr>
      <w:r w:rsidRPr="005C1520">
        <w:rPr>
          <w:lang w:val="en-US"/>
        </w:rPr>
        <w:t xml:space="preserve">Nu: nucleus; </w:t>
      </w:r>
      <w:proofErr w:type="spellStart"/>
      <w:r w:rsidRPr="005C1520">
        <w:rPr>
          <w:lang w:val="en-US"/>
        </w:rPr>
        <w:t>Ar</w:t>
      </w:r>
      <w:proofErr w:type="spellEnd"/>
      <w:r w:rsidRPr="005C1520">
        <w:rPr>
          <w:lang w:val="en-US"/>
        </w:rPr>
        <w:t>: Artery.</w:t>
      </w:r>
      <w:r>
        <w:br w:type="page"/>
      </w:r>
    </w:p>
    <w:p w14:paraId="21479534" w14:textId="6E3F655E" w:rsidR="005C1520" w:rsidRPr="00093280" w:rsidRDefault="005C1520" w:rsidP="005C1520">
      <w:pPr>
        <w:jc w:val="center"/>
      </w:pPr>
      <w:r>
        <w:rPr>
          <w:noProof/>
          <w:lang w:eastAsia="fr-FR"/>
        </w:rPr>
        <w:drawing>
          <wp:inline distT="0" distB="0" distL="0" distR="0" wp14:anchorId="45309537" wp14:editId="53689595">
            <wp:extent cx="4279900" cy="3377565"/>
            <wp:effectExtent l="0" t="0" r="635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79900" cy="3377565"/>
                    </a:xfrm>
                    <a:prstGeom prst="rect">
                      <a:avLst/>
                    </a:prstGeom>
                    <a:noFill/>
                  </pic:spPr>
                </pic:pic>
              </a:graphicData>
            </a:graphic>
          </wp:inline>
        </w:drawing>
      </w:r>
    </w:p>
    <w:p w14:paraId="017610F9" w14:textId="77777777" w:rsidR="005C1520" w:rsidRPr="005C1520" w:rsidRDefault="005C1520" w:rsidP="005C1520">
      <w:pPr>
        <w:jc w:val="both"/>
        <w:rPr>
          <w:lang w:val="en-US"/>
        </w:rPr>
      </w:pPr>
      <w:r w:rsidRPr="005C1520">
        <w:rPr>
          <w:b/>
          <w:bCs/>
          <w:lang w:val="en-US"/>
        </w:rPr>
        <w:t>Figure S10. Representative TEM analysis in the colon of mice treated with the food additive E175</w:t>
      </w:r>
    </w:p>
    <w:p w14:paraId="2975D163" w14:textId="77777777" w:rsidR="005C1520" w:rsidRPr="005C1520" w:rsidRDefault="005C1520" w:rsidP="005C1520">
      <w:pPr>
        <w:jc w:val="both"/>
      </w:pPr>
      <w:r w:rsidRPr="005C1520">
        <w:rPr>
          <w:b/>
          <w:bCs/>
          <w:lang w:val="en-US"/>
        </w:rPr>
        <w:t>A:</w:t>
      </w:r>
      <w:r w:rsidRPr="005C1520">
        <w:rPr>
          <w:lang w:val="en-US"/>
        </w:rPr>
        <w:t xml:space="preserve"> TEM images of colonic tissue sections. Paired right and left panels in A1-A2 correspond to the same tissue sections at different magnification. </w:t>
      </w:r>
      <w:r w:rsidRPr="005C1520">
        <w:rPr>
          <w:i/>
          <w:iCs/>
          <w:lang w:val="en-US"/>
        </w:rPr>
        <w:t>Arrows</w:t>
      </w:r>
      <w:r w:rsidRPr="005C1520">
        <w:rPr>
          <w:lang w:val="en-US"/>
        </w:rPr>
        <w:t xml:space="preserve"> indicate electron-dense inorganic particles.</w:t>
      </w:r>
    </w:p>
    <w:p w14:paraId="27EE8DE5" w14:textId="77777777" w:rsidR="005C1520" w:rsidRPr="005C1520" w:rsidRDefault="005C1520" w:rsidP="005C1520">
      <w:pPr>
        <w:jc w:val="both"/>
      </w:pPr>
      <w:r w:rsidRPr="005C1520">
        <w:rPr>
          <w:lang w:val="en-US"/>
        </w:rPr>
        <w:t xml:space="preserve">Nu: nucleus; </w:t>
      </w:r>
      <w:proofErr w:type="spellStart"/>
      <w:r w:rsidRPr="005C1520">
        <w:rPr>
          <w:lang w:val="en-US"/>
        </w:rPr>
        <w:t>Mv</w:t>
      </w:r>
      <w:proofErr w:type="spellEnd"/>
      <w:r w:rsidRPr="005C1520">
        <w:rPr>
          <w:lang w:val="en-US"/>
        </w:rPr>
        <w:t xml:space="preserve">: microvilli; </w:t>
      </w:r>
      <w:proofErr w:type="spellStart"/>
      <w:r w:rsidRPr="005C1520">
        <w:rPr>
          <w:lang w:val="en-US"/>
        </w:rPr>
        <w:t>Ar</w:t>
      </w:r>
      <w:proofErr w:type="spellEnd"/>
      <w:r w:rsidRPr="005C1520">
        <w:rPr>
          <w:lang w:val="en-US"/>
        </w:rPr>
        <w:t>: artery.</w:t>
      </w:r>
    </w:p>
    <w:p w14:paraId="2BBE5132" w14:textId="1120CB1A" w:rsidR="00093280" w:rsidRDefault="00093280"/>
    <w:p w14:paraId="321C52FA" w14:textId="2FB8610C" w:rsidR="00803AC5" w:rsidRDefault="00803AC5" w:rsidP="00947B1F">
      <w:pPr>
        <w:jc w:val="center"/>
      </w:pPr>
      <w:r>
        <w:br w:type="page"/>
      </w:r>
      <w:r w:rsidRPr="00803AC5">
        <w:rPr>
          <w:noProof/>
          <w:lang w:eastAsia="fr-FR"/>
        </w:rPr>
        <w:drawing>
          <wp:inline distT="0" distB="0" distL="0" distR="0" wp14:anchorId="1EB7E20E" wp14:editId="0F680510">
            <wp:extent cx="4554107" cy="7346317"/>
            <wp:effectExtent l="0" t="0" r="0" b="6985"/>
            <wp:docPr id="1" name="Image 1">
              <a:extLst xmlns:a="http://schemas.openxmlformats.org/drawingml/2006/main">
                <a:ext uri="{FF2B5EF4-FFF2-40B4-BE49-F238E27FC236}">
                  <a16:creationId xmlns:a16="http://schemas.microsoft.com/office/drawing/2014/main" id="{9407847A-25BF-4B73-BCA5-4ED1421D9D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a16="http://schemas.microsoft.com/office/drawing/2014/main" id="{9407847A-25BF-4B73-BCA5-4ED1421D9DC0}"/>
                        </a:ext>
                      </a:extLst>
                    </pic:cNvPr>
                    <pic:cNvPicPr>
                      <a:picLocks noChangeAspect="1"/>
                    </pic:cNvPicPr>
                  </pic:nvPicPr>
                  <pic:blipFill>
                    <a:blip r:embed="rId16"/>
                    <a:stretch>
                      <a:fillRect/>
                    </a:stretch>
                  </pic:blipFill>
                  <pic:spPr>
                    <a:xfrm>
                      <a:off x="0" y="0"/>
                      <a:ext cx="4554107" cy="7346317"/>
                    </a:xfrm>
                    <a:prstGeom prst="rect">
                      <a:avLst/>
                    </a:prstGeom>
                  </pic:spPr>
                </pic:pic>
              </a:graphicData>
            </a:graphic>
          </wp:inline>
        </w:drawing>
      </w:r>
    </w:p>
    <w:p w14:paraId="6FF4A0CF" w14:textId="77777777" w:rsidR="00947B1F" w:rsidRPr="00947B1F" w:rsidRDefault="00947B1F" w:rsidP="00947B1F">
      <w:r w:rsidRPr="00947B1F">
        <w:rPr>
          <w:b/>
          <w:bCs/>
          <w:lang w:val="en-US"/>
        </w:rPr>
        <w:t>Figure S11: Confocal images of liver tissue sections from mice orally treated for 13 weeks with gold-containing preparations</w:t>
      </w:r>
      <w:r w:rsidRPr="00947B1F">
        <w:rPr>
          <w:lang w:val="en-US"/>
        </w:rPr>
        <w:t>. (A) control, (B) Ref-Au nanomaterial, and (C) E175. The laser reflecting (metal) particles appear in green (white arrows), the WGA-labelled glycoproteins in red and cell nuclei in blue. PV: portal vein; BD: bile duct; HA: hepatic artery.</w:t>
      </w:r>
    </w:p>
    <w:p w14:paraId="2B8ECB81" w14:textId="636B9933" w:rsidR="00947B1F" w:rsidRDefault="00947B1F">
      <w:r>
        <w:br w:type="page"/>
      </w:r>
    </w:p>
    <w:p w14:paraId="24618884" w14:textId="6AE60E80" w:rsidR="005C1520" w:rsidRDefault="005C1520" w:rsidP="005C1520">
      <w:pPr>
        <w:jc w:val="center"/>
      </w:pPr>
      <w:r>
        <w:rPr>
          <w:noProof/>
          <w:lang w:eastAsia="fr-FR"/>
        </w:rPr>
        <w:drawing>
          <wp:inline distT="0" distB="0" distL="0" distR="0" wp14:anchorId="60BAC9B0" wp14:editId="4579C0CB">
            <wp:extent cx="4212590" cy="3383280"/>
            <wp:effectExtent l="0" t="0" r="0" b="762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12590" cy="3383280"/>
                    </a:xfrm>
                    <a:prstGeom prst="rect">
                      <a:avLst/>
                    </a:prstGeom>
                    <a:noFill/>
                  </pic:spPr>
                </pic:pic>
              </a:graphicData>
            </a:graphic>
          </wp:inline>
        </w:drawing>
      </w:r>
    </w:p>
    <w:p w14:paraId="5D186B23" w14:textId="77777777" w:rsidR="005C1520" w:rsidRPr="005C1520" w:rsidRDefault="005C1520" w:rsidP="005C1520">
      <w:pPr>
        <w:jc w:val="both"/>
        <w:rPr>
          <w:lang w:val="en-US"/>
        </w:rPr>
      </w:pPr>
      <w:r w:rsidRPr="005C1520">
        <w:rPr>
          <w:b/>
          <w:bCs/>
          <w:lang w:val="en-US"/>
        </w:rPr>
        <w:t>Figure S12. Representative TEM analysis in the liver of mice treated with the Ref Au nanomaterial</w:t>
      </w:r>
    </w:p>
    <w:p w14:paraId="0CD3038C" w14:textId="77777777" w:rsidR="005C1520" w:rsidRPr="005C1520" w:rsidRDefault="005C1520" w:rsidP="005C1520">
      <w:pPr>
        <w:jc w:val="both"/>
        <w:rPr>
          <w:lang w:val="en-US"/>
        </w:rPr>
      </w:pPr>
      <w:r w:rsidRPr="005C1520">
        <w:rPr>
          <w:b/>
          <w:bCs/>
          <w:lang w:val="en-US"/>
        </w:rPr>
        <w:t>A:</w:t>
      </w:r>
      <w:r w:rsidRPr="005C1520">
        <w:rPr>
          <w:lang w:val="en-US"/>
        </w:rPr>
        <w:t xml:space="preserve"> TEM images of liver tissue sections. Paired right and left panels in A1-A2 correspond to the same tissue sections at different magnification. </w:t>
      </w:r>
      <w:r w:rsidRPr="005C1520">
        <w:rPr>
          <w:i/>
          <w:iCs/>
          <w:lang w:val="en-US"/>
        </w:rPr>
        <w:t>Arrows</w:t>
      </w:r>
      <w:r w:rsidRPr="005C1520">
        <w:rPr>
          <w:lang w:val="en-US"/>
        </w:rPr>
        <w:t xml:space="preserve"> indicate electron-dense inorganic particles. </w:t>
      </w:r>
    </w:p>
    <w:p w14:paraId="163BBF92" w14:textId="77777777" w:rsidR="005C1520" w:rsidRPr="005C1520" w:rsidRDefault="005C1520" w:rsidP="005C1520">
      <w:pPr>
        <w:jc w:val="both"/>
        <w:rPr>
          <w:lang w:val="en-US"/>
        </w:rPr>
      </w:pPr>
      <w:r w:rsidRPr="005C1520">
        <w:rPr>
          <w:lang w:val="en-US"/>
        </w:rPr>
        <w:t xml:space="preserve">Nu: nucleus; </w:t>
      </w:r>
      <w:proofErr w:type="gramStart"/>
      <w:r w:rsidRPr="005C1520">
        <w:rPr>
          <w:lang w:val="en-US"/>
        </w:rPr>
        <w:t>SER :</w:t>
      </w:r>
      <w:proofErr w:type="gramEnd"/>
      <w:r w:rsidRPr="005C1520">
        <w:rPr>
          <w:lang w:val="en-US"/>
        </w:rPr>
        <w:t xml:space="preserve"> smooth reticulum endoplasmic; RBC: red blood cell.</w:t>
      </w:r>
    </w:p>
    <w:p w14:paraId="52CB9D43" w14:textId="685CE802" w:rsidR="005C1520" w:rsidRPr="005C1520" w:rsidRDefault="005C1520">
      <w:pPr>
        <w:rPr>
          <w:lang w:val="en-US"/>
        </w:rPr>
      </w:pPr>
    </w:p>
    <w:p w14:paraId="4F3D784E" w14:textId="3AE53C7F" w:rsidR="005C1520" w:rsidRDefault="005C1520">
      <w:pPr>
        <w:rPr>
          <w:lang w:val="en-US"/>
        </w:rPr>
      </w:pPr>
      <w:r>
        <w:rPr>
          <w:lang w:val="en-US"/>
        </w:rPr>
        <w:br w:type="page"/>
      </w:r>
    </w:p>
    <w:p w14:paraId="074EADD4" w14:textId="5055FA13" w:rsidR="005C1520" w:rsidRPr="005C1520" w:rsidRDefault="005C1520" w:rsidP="005C1520">
      <w:pPr>
        <w:jc w:val="center"/>
        <w:rPr>
          <w:lang w:val="en-US"/>
        </w:rPr>
      </w:pPr>
      <w:r>
        <w:rPr>
          <w:noProof/>
          <w:lang w:eastAsia="fr-FR"/>
        </w:rPr>
        <w:drawing>
          <wp:inline distT="0" distB="0" distL="0" distR="0" wp14:anchorId="638E6D12" wp14:editId="4C28B288">
            <wp:extent cx="4566285" cy="5736590"/>
            <wp:effectExtent l="0" t="0" r="5715"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66285" cy="5736590"/>
                    </a:xfrm>
                    <a:prstGeom prst="rect">
                      <a:avLst/>
                    </a:prstGeom>
                    <a:noFill/>
                  </pic:spPr>
                </pic:pic>
              </a:graphicData>
            </a:graphic>
          </wp:inline>
        </w:drawing>
      </w:r>
    </w:p>
    <w:p w14:paraId="5CB75CE8" w14:textId="77777777" w:rsidR="005C1520" w:rsidRPr="005C1520" w:rsidRDefault="005C1520" w:rsidP="005C1520">
      <w:pPr>
        <w:jc w:val="both"/>
        <w:rPr>
          <w:lang w:val="en-US"/>
        </w:rPr>
      </w:pPr>
      <w:r w:rsidRPr="005C1520">
        <w:rPr>
          <w:b/>
          <w:bCs/>
          <w:lang w:val="en-US"/>
        </w:rPr>
        <w:t>Figure S13. Representative TEM-EDX analysis in the liver of mice treated with the food additive E175</w:t>
      </w:r>
    </w:p>
    <w:p w14:paraId="01742B05" w14:textId="77777777" w:rsidR="005C1520" w:rsidRPr="005C1520" w:rsidRDefault="005C1520" w:rsidP="005C1520">
      <w:pPr>
        <w:jc w:val="both"/>
        <w:rPr>
          <w:lang w:val="en-US"/>
        </w:rPr>
      </w:pPr>
      <w:r w:rsidRPr="005C1520">
        <w:rPr>
          <w:b/>
          <w:bCs/>
          <w:lang w:val="en-US"/>
        </w:rPr>
        <w:t xml:space="preserve">A: </w:t>
      </w:r>
      <w:r w:rsidRPr="005C1520">
        <w:rPr>
          <w:lang w:val="en-US"/>
        </w:rPr>
        <w:t xml:space="preserve">TEM images of liver tissue sections. Paired right and left panels in A1-A2 and A3-A4 correspond to the same tissue sections at different magnification. </w:t>
      </w:r>
      <w:r w:rsidRPr="005C1520">
        <w:rPr>
          <w:i/>
          <w:iCs/>
          <w:lang w:val="en-US"/>
        </w:rPr>
        <w:t>Arrows</w:t>
      </w:r>
      <w:r w:rsidRPr="005C1520">
        <w:rPr>
          <w:lang w:val="en-US"/>
        </w:rPr>
        <w:t xml:space="preserve"> in A indicate electron-dense inorganic particles.</w:t>
      </w:r>
    </w:p>
    <w:p w14:paraId="60A30028" w14:textId="77777777" w:rsidR="005C1520" w:rsidRPr="005C1520" w:rsidRDefault="005C1520" w:rsidP="005C1520">
      <w:pPr>
        <w:jc w:val="both"/>
        <w:rPr>
          <w:lang w:val="en-US"/>
        </w:rPr>
      </w:pPr>
      <w:proofErr w:type="gramStart"/>
      <w:r w:rsidRPr="005C1520">
        <w:rPr>
          <w:b/>
          <w:bCs/>
          <w:lang w:val="en-US"/>
        </w:rPr>
        <w:t>B :</w:t>
      </w:r>
      <w:proofErr w:type="gramEnd"/>
      <w:r w:rsidRPr="005C1520">
        <w:rPr>
          <w:lang w:val="en-US"/>
        </w:rPr>
        <w:t xml:space="preserve"> representative EDX spectrum (B1) and corresponding TEM image (B2).</w:t>
      </w:r>
    </w:p>
    <w:p w14:paraId="6849F837" w14:textId="77777777" w:rsidR="005C1520" w:rsidRPr="005C1520" w:rsidRDefault="005C1520" w:rsidP="005C1520">
      <w:pPr>
        <w:jc w:val="both"/>
      </w:pPr>
      <w:r w:rsidRPr="005C1520">
        <w:rPr>
          <w:lang w:val="en-US"/>
        </w:rPr>
        <w:t>Nu: nucleus.</w:t>
      </w:r>
    </w:p>
    <w:p w14:paraId="61EB8463" w14:textId="6A5D3D89" w:rsidR="005C1520" w:rsidRDefault="005C1520">
      <w:pPr>
        <w:rPr>
          <w:lang w:val="en-US"/>
        </w:rPr>
      </w:pPr>
    </w:p>
    <w:p w14:paraId="160EA80F" w14:textId="4B520185" w:rsidR="005C1520" w:rsidRDefault="005C1520">
      <w:pPr>
        <w:rPr>
          <w:lang w:val="en-US"/>
        </w:rPr>
      </w:pPr>
      <w:r>
        <w:rPr>
          <w:lang w:val="en-US"/>
        </w:rPr>
        <w:br w:type="page"/>
      </w:r>
    </w:p>
    <w:p w14:paraId="24111C64" w14:textId="56B28611" w:rsidR="005C1520" w:rsidRDefault="005C1520" w:rsidP="005C1520">
      <w:pPr>
        <w:jc w:val="center"/>
        <w:rPr>
          <w:lang w:val="en-US"/>
        </w:rPr>
      </w:pPr>
      <w:r>
        <w:rPr>
          <w:noProof/>
          <w:lang w:eastAsia="fr-FR"/>
        </w:rPr>
        <w:drawing>
          <wp:inline distT="0" distB="0" distL="0" distR="0" wp14:anchorId="79EF6588" wp14:editId="15682079">
            <wp:extent cx="4517390" cy="7266940"/>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17390" cy="7266940"/>
                    </a:xfrm>
                    <a:prstGeom prst="rect">
                      <a:avLst/>
                    </a:prstGeom>
                    <a:noFill/>
                  </pic:spPr>
                </pic:pic>
              </a:graphicData>
            </a:graphic>
          </wp:inline>
        </w:drawing>
      </w:r>
    </w:p>
    <w:p w14:paraId="6C856E38" w14:textId="77777777" w:rsidR="005C1520" w:rsidRPr="005C1520" w:rsidRDefault="005C1520" w:rsidP="005C1520">
      <w:pPr>
        <w:jc w:val="both"/>
      </w:pPr>
      <w:r w:rsidRPr="005C1520">
        <w:rPr>
          <w:b/>
          <w:bCs/>
          <w:lang w:val="en-US"/>
        </w:rPr>
        <w:t>Figure S14: Confocal images of spleen tissue sections from mice orally treated for 90 days with gold-containing preparations</w:t>
      </w:r>
      <w:r w:rsidRPr="005C1520">
        <w:rPr>
          <w:lang w:val="en-US"/>
        </w:rPr>
        <w:t>. (A) control, (B) Ref-Au nanomaterial, and (C) E175. The laser reflecting (metal) particles appear in green (white arrows), the WGA-labelled glycoproteins in red and cell nuclei in blue. TA: trabecular artery.</w:t>
      </w:r>
    </w:p>
    <w:p w14:paraId="58FD0BF1" w14:textId="66095201" w:rsidR="005C1520" w:rsidRDefault="005C1520">
      <w:pPr>
        <w:rPr>
          <w:lang w:val="en-US"/>
        </w:rPr>
      </w:pPr>
    </w:p>
    <w:p w14:paraId="0E9BD512" w14:textId="0B49CBD0" w:rsidR="005C1520" w:rsidRDefault="005C1520">
      <w:pPr>
        <w:rPr>
          <w:lang w:val="en-US"/>
        </w:rPr>
      </w:pPr>
      <w:r>
        <w:rPr>
          <w:lang w:val="en-US"/>
        </w:rPr>
        <w:br w:type="page"/>
      </w:r>
    </w:p>
    <w:p w14:paraId="291CADDA" w14:textId="4DDA81EF" w:rsidR="005C1520" w:rsidRDefault="00066648" w:rsidP="00066648">
      <w:pPr>
        <w:jc w:val="center"/>
        <w:rPr>
          <w:lang w:val="en-US"/>
        </w:rPr>
      </w:pPr>
      <w:r>
        <w:rPr>
          <w:noProof/>
          <w:lang w:eastAsia="fr-FR"/>
        </w:rPr>
        <w:drawing>
          <wp:inline distT="0" distB="0" distL="0" distR="0" wp14:anchorId="2B84745E" wp14:editId="593B2A81">
            <wp:extent cx="4444365" cy="3469005"/>
            <wp:effectExtent l="0" t="0" r="0"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44365" cy="3469005"/>
                    </a:xfrm>
                    <a:prstGeom prst="rect">
                      <a:avLst/>
                    </a:prstGeom>
                    <a:noFill/>
                  </pic:spPr>
                </pic:pic>
              </a:graphicData>
            </a:graphic>
          </wp:inline>
        </w:drawing>
      </w:r>
    </w:p>
    <w:p w14:paraId="0B6E9531" w14:textId="77777777" w:rsidR="00066648" w:rsidRPr="00066648" w:rsidRDefault="00066648" w:rsidP="00066648">
      <w:pPr>
        <w:jc w:val="both"/>
        <w:rPr>
          <w:lang w:val="en-US"/>
        </w:rPr>
      </w:pPr>
      <w:r w:rsidRPr="00066648">
        <w:rPr>
          <w:b/>
          <w:bCs/>
          <w:lang w:val="en-US"/>
        </w:rPr>
        <w:t>Figure S15. Representative TEM analysis in the spleen of mice treated with the Ref Au nanomaterial</w:t>
      </w:r>
    </w:p>
    <w:p w14:paraId="2C5E207A" w14:textId="77777777" w:rsidR="00066648" w:rsidRPr="00066648" w:rsidRDefault="00066648" w:rsidP="00066648">
      <w:pPr>
        <w:jc w:val="both"/>
        <w:rPr>
          <w:lang w:val="en-US"/>
        </w:rPr>
      </w:pPr>
      <w:r w:rsidRPr="00066648">
        <w:rPr>
          <w:b/>
          <w:bCs/>
          <w:lang w:val="en-US"/>
        </w:rPr>
        <w:t xml:space="preserve">A: </w:t>
      </w:r>
      <w:r w:rsidRPr="00066648">
        <w:rPr>
          <w:lang w:val="en-US"/>
        </w:rPr>
        <w:t>TEM images of spleen tissue sections. Paired right and left panels in A1-A2 correspond to the same tissue sections at different magnification.</w:t>
      </w:r>
      <w:r w:rsidRPr="00066648">
        <w:rPr>
          <w:i/>
          <w:iCs/>
          <w:lang w:val="en-US"/>
        </w:rPr>
        <w:t xml:space="preserve"> Arrows</w:t>
      </w:r>
      <w:r w:rsidRPr="00066648">
        <w:rPr>
          <w:lang w:val="en-US"/>
        </w:rPr>
        <w:t xml:space="preserve"> in A indicate electron-dense inorganic particles.</w:t>
      </w:r>
    </w:p>
    <w:p w14:paraId="3210B5D6" w14:textId="77777777" w:rsidR="00066648" w:rsidRPr="00066648" w:rsidRDefault="00066648" w:rsidP="00066648">
      <w:pPr>
        <w:jc w:val="both"/>
        <w:rPr>
          <w:lang w:val="en-US"/>
        </w:rPr>
      </w:pPr>
      <w:r w:rsidRPr="00066648">
        <w:rPr>
          <w:lang w:val="en-US"/>
        </w:rPr>
        <w:t>Nu: nucleus.</w:t>
      </w:r>
    </w:p>
    <w:p w14:paraId="27BAB0B7" w14:textId="52B79D51" w:rsidR="005C1520" w:rsidRDefault="005C1520">
      <w:pPr>
        <w:rPr>
          <w:lang w:val="en-US"/>
        </w:rPr>
      </w:pPr>
    </w:p>
    <w:p w14:paraId="691B110D" w14:textId="4E6A1DC0" w:rsidR="00066648" w:rsidRDefault="00066648">
      <w:pPr>
        <w:rPr>
          <w:lang w:val="en-US"/>
        </w:rPr>
      </w:pPr>
    </w:p>
    <w:p w14:paraId="58043C85" w14:textId="2D685CE8" w:rsidR="00066648" w:rsidRDefault="00066648">
      <w:pPr>
        <w:rPr>
          <w:lang w:val="en-US"/>
        </w:rPr>
      </w:pPr>
      <w:r>
        <w:rPr>
          <w:lang w:val="en-US"/>
        </w:rPr>
        <w:br w:type="page"/>
      </w:r>
    </w:p>
    <w:p w14:paraId="17C107E0" w14:textId="052A2C9E" w:rsidR="00066648" w:rsidRDefault="00066648" w:rsidP="00066648">
      <w:pPr>
        <w:jc w:val="center"/>
        <w:rPr>
          <w:lang w:val="en-US"/>
        </w:rPr>
      </w:pPr>
      <w:r>
        <w:rPr>
          <w:noProof/>
          <w:lang w:eastAsia="fr-FR"/>
        </w:rPr>
        <w:drawing>
          <wp:inline distT="0" distB="0" distL="0" distR="0" wp14:anchorId="1BA51E86" wp14:editId="59278CCA">
            <wp:extent cx="4206586" cy="7188200"/>
            <wp:effectExtent l="0" t="0" r="381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11660" cy="7196871"/>
                    </a:xfrm>
                    <a:prstGeom prst="rect">
                      <a:avLst/>
                    </a:prstGeom>
                    <a:noFill/>
                  </pic:spPr>
                </pic:pic>
              </a:graphicData>
            </a:graphic>
          </wp:inline>
        </w:drawing>
      </w:r>
    </w:p>
    <w:p w14:paraId="6D20D777" w14:textId="77777777" w:rsidR="00066648" w:rsidRPr="00066648" w:rsidRDefault="00066648" w:rsidP="00066648">
      <w:pPr>
        <w:jc w:val="both"/>
        <w:rPr>
          <w:lang w:val="en-US"/>
        </w:rPr>
      </w:pPr>
      <w:r w:rsidRPr="00066648">
        <w:rPr>
          <w:b/>
          <w:bCs/>
          <w:lang w:val="en-US"/>
        </w:rPr>
        <w:t>Figure S16. Representative TEM-EDX analysis in the spleen</w:t>
      </w:r>
      <w:r w:rsidRPr="00066648">
        <w:rPr>
          <w:lang w:val="en-US"/>
        </w:rPr>
        <w:t xml:space="preserve"> </w:t>
      </w:r>
      <w:r w:rsidRPr="00066648">
        <w:rPr>
          <w:b/>
          <w:bCs/>
          <w:lang w:val="en-US"/>
        </w:rPr>
        <w:t>of mice treated with the food additive E175</w:t>
      </w:r>
    </w:p>
    <w:p w14:paraId="1FF6EC2A" w14:textId="77777777" w:rsidR="00066648" w:rsidRPr="00066648" w:rsidRDefault="00066648" w:rsidP="00066648">
      <w:pPr>
        <w:jc w:val="both"/>
        <w:rPr>
          <w:lang w:val="en-US"/>
        </w:rPr>
      </w:pPr>
      <w:r w:rsidRPr="00066648">
        <w:rPr>
          <w:b/>
          <w:bCs/>
          <w:lang w:val="en-US"/>
        </w:rPr>
        <w:t>A:</w:t>
      </w:r>
      <w:r w:rsidRPr="00066648">
        <w:rPr>
          <w:lang w:val="en-US"/>
        </w:rPr>
        <w:t xml:space="preserve"> TEM images of spleen tissue sections. Paired right and left panels in A1-A2 correspond to the same tissue sections at different magnification. </w:t>
      </w:r>
      <w:r w:rsidRPr="00066648">
        <w:rPr>
          <w:i/>
          <w:iCs/>
          <w:lang w:val="en-US"/>
        </w:rPr>
        <w:t>Arrows</w:t>
      </w:r>
      <w:r w:rsidRPr="00066648">
        <w:rPr>
          <w:lang w:val="en-US"/>
        </w:rPr>
        <w:t xml:space="preserve"> indicate electron-dense inorganic particles.</w:t>
      </w:r>
    </w:p>
    <w:p w14:paraId="5ECECB84" w14:textId="77777777" w:rsidR="00066648" w:rsidRPr="00066648" w:rsidRDefault="00066648" w:rsidP="00066648">
      <w:pPr>
        <w:jc w:val="both"/>
        <w:rPr>
          <w:lang w:val="en-US"/>
        </w:rPr>
      </w:pPr>
      <w:r w:rsidRPr="00066648">
        <w:rPr>
          <w:b/>
          <w:bCs/>
          <w:lang w:val="en-US"/>
        </w:rPr>
        <w:t>B:</w:t>
      </w:r>
      <w:r w:rsidRPr="00066648">
        <w:rPr>
          <w:lang w:val="en-US"/>
        </w:rPr>
        <w:t xml:space="preserve"> representative EDX spectra (B1, B3) and corresponding TEM images (B2, B4) of EDX-analyzed particles.</w:t>
      </w:r>
    </w:p>
    <w:p w14:paraId="0AB2A1FC" w14:textId="01FCF586" w:rsidR="00066648" w:rsidRDefault="00066648" w:rsidP="00066648">
      <w:pPr>
        <w:jc w:val="both"/>
        <w:rPr>
          <w:lang w:val="en-US"/>
        </w:rPr>
      </w:pPr>
      <w:r w:rsidRPr="00066648">
        <w:rPr>
          <w:lang w:val="en-US"/>
        </w:rPr>
        <w:t>RBC: red blood cell; BV: blood vessel.</w:t>
      </w:r>
      <w:r>
        <w:rPr>
          <w:lang w:val="en-US"/>
        </w:rPr>
        <w:br w:type="page"/>
      </w:r>
    </w:p>
    <w:p w14:paraId="06389197" w14:textId="68C4B179" w:rsidR="00066648" w:rsidRPr="00A2532B" w:rsidRDefault="00A2532B" w:rsidP="00A2532B">
      <w:pPr>
        <w:jc w:val="center"/>
        <w:rPr>
          <w:lang w:val="en-US"/>
        </w:rPr>
      </w:pPr>
      <w:r>
        <w:rPr>
          <w:noProof/>
          <w:lang w:eastAsia="fr-FR"/>
        </w:rPr>
        <w:drawing>
          <wp:inline distT="0" distB="0" distL="0" distR="0" wp14:anchorId="1D0D06B9" wp14:editId="51E39769">
            <wp:extent cx="4203043" cy="6432332"/>
            <wp:effectExtent l="0" t="0" r="7620" b="698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18126" cy="6455415"/>
                    </a:xfrm>
                    <a:prstGeom prst="rect">
                      <a:avLst/>
                    </a:prstGeom>
                    <a:noFill/>
                  </pic:spPr>
                </pic:pic>
              </a:graphicData>
            </a:graphic>
          </wp:inline>
        </w:drawing>
      </w:r>
    </w:p>
    <w:p w14:paraId="5711D343" w14:textId="77777777" w:rsidR="00AA21C8" w:rsidRPr="00AA21C8" w:rsidRDefault="00AA21C8" w:rsidP="00AA21C8">
      <w:pPr>
        <w:jc w:val="both"/>
        <w:rPr>
          <w:lang w:val="en-US"/>
        </w:rPr>
      </w:pPr>
      <w:r w:rsidRPr="00AA21C8">
        <w:rPr>
          <w:b/>
          <w:bCs/>
          <w:lang w:val="en-US"/>
        </w:rPr>
        <w:t xml:space="preserve">Figure S17. Sex-specific differences in gut microbiota composition of mice exposed to Ref-Au or E175 for 13 weeks. </w:t>
      </w:r>
    </w:p>
    <w:p w14:paraId="61E29C56" w14:textId="2FA386CE" w:rsidR="00AA21C8" w:rsidRDefault="00AA21C8" w:rsidP="00AA21C8">
      <w:pPr>
        <w:jc w:val="both"/>
        <w:rPr>
          <w:lang w:val="en-US"/>
        </w:rPr>
      </w:pPr>
      <w:r w:rsidRPr="00AA21C8">
        <w:rPr>
          <w:b/>
          <w:bCs/>
          <w:lang w:val="en-US"/>
        </w:rPr>
        <w:t>A:</w:t>
      </w:r>
      <w:r w:rsidRPr="00AA21C8">
        <w:rPr>
          <w:lang w:val="en-US"/>
        </w:rPr>
        <w:t xml:space="preserve"> Principal component analysis based </w:t>
      </w:r>
      <w:r w:rsidR="00956B19">
        <w:rPr>
          <w:lang w:val="en-US"/>
        </w:rPr>
        <w:t xml:space="preserve">on </w:t>
      </w:r>
      <w:r w:rsidR="00956B19" w:rsidRPr="00956B19">
        <w:rPr>
          <w:lang w:val="en-US"/>
        </w:rPr>
        <w:t>Bray-Curtis dissimilarity</w:t>
      </w:r>
      <w:r w:rsidR="00956B19">
        <w:rPr>
          <w:lang w:val="en-US"/>
        </w:rPr>
        <w:t xml:space="preserve"> calculated </w:t>
      </w:r>
      <w:r w:rsidRPr="00AA21C8">
        <w:rPr>
          <w:lang w:val="en-US"/>
        </w:rPr>
        <w:t xml:space="preserve">on bacterial 16S rDNA gene sequence abundance in feces from male and female mice exposed to Ref-Au (10µg/kg </w:t>
      </w:r>
      <w:proofErr w:type="spellStart"/>
      <w:r w:rsidRPr="00AA21C8">
        <w:rPr>
          <w:lang w:val="en-US"/>
        </w:rPr>
        <w:t>bw</w:t>
      </w:r>
      <w:proofErr w:type="spellEnd"/>
      <w:r w:rsidRPr="00AA21C8">
        <w:rPr>
          <w:lang w:val="en-US"/>
        </w:rPr>
        <w:t xml:space="preserve">/d) or E175 0,1; 1; 10µg/kg </w:t>
      </w:r>
      <w:proofErr w:type="spellStart"/>
      <w:r w:rsidRPr="00AA21C8">
        <w:rPr>
          <w:lang w:val="en-US"/>
        </w:rPr>
        <w:t>bw</w:t>
      </w:r>
      <w:proofErr w:type="spellEnd"/>
      <w:r w:rsidRPr="00AA21C8">
        <w:rPr>
          <w:lang w:val="en-US"/>
        </w:rPr>
        <w:t xml:space="preserve">/d) for 13 weeks. </w:t>
      </w:r>
    </w:p>
    <w:p w14:paraId="43A42A65" w14:textId="26A2ECFD" w:rsidR="00956B19" w:rsidRPr="00AA21C8" w:rsidRDefault="00956B19" w:rsidP="00AA21C8">
      <w:pPr>
        <w:jc w:val="both"/>
        <w:rPr>
          <w:lang w:val="en-US"/>
        </w:rPr>
      </w:pPr>
      <w:r>
        <w:rPr>
          <w:b/>
          <w:bCs/>
          <w:lang w:val="en-US"/>
        </w:rPr>
        <w:t>B-C</w:t>
      </w:r>
      <w:r w:rsidRPr="00AA21C8">
        <w:rPr>
          <w:b/>
          <w:bCs/>
          <w:lang w:val="en-US"/>
        </w:rPr>
        <w:t>:</w:t>
      </w:r>
      <w:r w:rsidRPr="00AA21C8">
        <w:rPr>
          <w:lang w:val="en-US"/>
        </w:rPr>
        <w:t xml:space="preserve"> Principal component analysis based </w:t>
      </w:r>
      <w:r>
        <w:rPr>
          <w:lang w:val="en-US"/>
        </w:rPr>
        <w:t xml:space="preserve">on </w:t>
      </w:r>
      <w:r w:rsidRPr="00956B19">
        <w:rPr>
          <w:lang w:val="en-US"/>
        </w:rPr>
        <w:t>Bray-Curtis dissimilarity</w:t>
      </w:r>
      <w:r>
        <w:rPr>
          <w:lang w:val="en-US"/>
        </w:rPr>
        <w:t xml:space="preserve"> calculated </w:t>
      </w:r>
      <w:r w:rsidRPr="00AA21C8">
        <w:rPr>
          <w:lang w:val="en-US"/>
        </w:rPr>
        <w:t>on bacterial 16S rDNA gene sequence abundance in feces from male</w:t>
      </w:r>
      <w:r>
        <w:rPr>
          <w:lang w:val="en-US"/>
        </w:rPr>
        <w:t xml:space="preserve"> (B)</w:t>
      </w:r>
      <w:r w:rsidRPr="00AA21C8">
        <w:rPr>
          <w:lang w:val="en-US"/>
        </w:rPr>
        <w:t xml:space="preserve"> </w:t>
      </w:r>
      <w:r>
        <w:rPr>
          <w:lang w:val="en-US"/>
        </w:rPr>
        <w:t>or</w:t>
      </w:r>
      <w:r w:rsidRPr="00AA21C8">
        <w:rPr>
          <w:lang w:val="en-US"/>
        </w:rPr>
        <w:t xml:space="preserve"> female</w:t>
      </w:r>
      <w:r>
        <w:rPr>
          <w:lang w:val="en-US"/>
        </w:rPr>
        <w:t xml:space="preserve"> (C)</w:t>
      </w:r>
      <w:r w:rsidRPr="00AA21C8">
        <w:rPr>
          <w:lang w:val="en-US"/>
        </w:rPr>
        <w:t xml:space="preserve"> mice exposed to Ref-Au (10µg/kg </w:t>
      </w:r>
      <w:proofErr w:type="spellStart"/>
      <w:r w:rsidRPr="00AA21C8">
        <w:rPr>
          <w:lang w:val="en-US"/>
        </w:rPr>
        <w:t>bw</w:t>
      </w:r>
      <w:proofErr w:type="spellEnd"/>
      <w:r w:rsidRPr="00AA21C8">
        <w:rPr>
          <w:lang w:val="en-US"/>
        </w:rPr>
        <w:t xml:space="preserve">/d) or E175 0,1; 1; 10µg/kg </w:t>
      </w:r>
      <w:proofErr w:type="spellStart"/>
      <w:r w:rsidRPr="00AA21C8">
        <w:rPr>
          <w:lang w:val="en-US"/>
        </w:rPr>
        <w:t>bw</w:t>
      </w:r>
      <w:proofErr w:type="spellEnd"/>
      <w:r w:rsidRPr="00AA21C8">
        <w:rPr>
          <w:lang w:val="en-US"/>
        </w:rPr>
        <w:t>/d) for 13 weeks.</w:t>
      </w:r>
    </w:p>
    <w:p w14:paraId="44C02635" w14:textId="28CEA5EA" w:rsidR="00805150" w:rsidRDefault="00A2532B" w:rsidP="00956B19">
      <w:pPr>
        <w:jc w:val="both"/>
        <w:rPr>
          <w:lang w:val="en-US"/>
        </w:rPr>
      </w:pPr>
      <w:r>
        <w:rPr>
          <w:b/>
          <w:bCs/>
          <w:lang w:val="en-US"/>
        </w:rPr>
        <w:t>D</w:t>
      </w:r>
      <w:r w:rsidR="00AA21C8" w:rsidRPr="00AA21C8">
        <w:rPr>
          <w:b/>
          <w:bCs/>
          <w:lang w:val="en-US"/>
        </w:rPr>
        <w:t>-</w:t>
      </w:r>
      <w:r>
        <w:rPr>
          <w:b/>
          <w:bCs/>
          <w:lang w:val="en-US"/>
        </w:rPr>
        <w:t>E</w:t>
      </w:r>
      <w:r w:rsidR="00AA21C8" w:rsidRPr="00AA21C8">
        <w:rPr>
          <w:lang w:val="en-US"/>
        </w:rPr>
        <w:t xml:space="preserve">: Bacterial-taxon-based analysis at the phylum level in the feces from male (B) and female (C) mice exposed to Ref-Au (10µg/kg </w:t>
      </w:r>
      <w:proofErr w:type="spellStart"/>
      <w:r w:rsidR="00AA21C8" w:rsidRPr="00AA21C8">
        <w:rPr>
          <w:lang w:val="en-US"/>
        </w:rPr>
        <w:t>bw</w:t>
      </w:r>
      <w:proofErr w:type="spellEnd"/>
      <w:r w:rsidR="00AA21C8" w:rsidRPr="00AA21C8">
        <w:rPr>
          <w:lang w:val="en-US"/>
        </w:rPr>
        <w:t xml:space="preserve">/d) or E175 0,1; 1; 10µg/kg </w:t>
      </w:r>
      <w:proofErr w:type="spellStart"/>
      <w:r w:rsidR="00AA21C8" w:rsidRPr="00AA21C8">
        <w:rPr>
          <w:lang w:val="en-US"/>
        </w:rPr>
        <w:t>bw</w:t>
      </w:r>
      <w:proofErr w:type="spellEnd"/>
      <w:r w:rsidR="00AA21C8" w:rsidRPr="00AA21C8">
        <w:rPr>
          <w:lang w:val="en-US"/>
        </w:rPr>
        <w:t xml:space="preserve">/d) for 13 weeks. </w:t>
      </w:r>
      <w:r w:rsidR="00805150">
        <w:rPr>
          <w:lang w:val="en-US"/>
        </w:rPr>
        <w:br w:type="page"/>
      </w:r>
    </w:p>
    <w:p w14:paraId="05F60729" w14:textId="1D7EB6EE" w:rsidR="005C1520" w:rsidRDefault="004C77ED" w:rsidP="004C77ED">
      <w:pPr>
        <w:jc w:val="center"/>
        <w:rPr>
          <w:lang w:val="en-US"/>
        </w:rPr>
      </w:pPr>
      <w:r>
        <w:rPr>
          <w:noProof/>
          <w:lang w:eastAsia="fr-FR"/>
        </w:rPr>
        <w:drawing>
          <wp:inline distT="0" distB="0" distL="0" distR="0" wp14:anchorId="601B7711" wp14:editId="5A8C2907">
            <wp:extent cx="5499779" cy="5103628"/>
            <wp:effectExtent l="0" t="0" r="5715"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506882" cy="5110219"/>
                    </a:xfrm>
                    <a:prstGeom prst="rect">
                      <a:avLst/>
                    </a:prstGeom>
                    <a:noFill/>
                  </pic:spPr>
                </pic:pic>
              </a:graphicData>
            </a:graphic>
          </wp:inline>
        </w:drawing>
      </w:r>
    </w:p>
    <w:p w14:paraId="31BB2CE9" w14:textId="1E4E9166" w:rsidR="004C77ED" w:rsidRDefault="004C77ED" w:rsidP="004C77ED">
      <w:pPr>
        <w:jc w:val="both"/>
        <w:rPr>
          <w:lang w:val="en-US"/>
        </w:rPr>
      </w:pPr>
      <w:r w:rsidRPr="004C77ED">
        <w:rPr>
          <w:b/>
          <w:bCs/>
          <w:lang w:val="en-US"/>
        </w:rPr>
        <w:t xml:space="preserve">Figure S18: Effects of exposure to Ref Au nanomaterial on the metabolic activity of the gut microbiota in male and female mice. </w:t>
      </w:r>
      <w:r w:rsidRPr="004C77ED">
        <w:rPr>
          <w:lang w:val="en-US"/>
        </w:rPr>
        <w:t xml:space="preserve">(A, C) Orthogonal projection on latent structure-discriminant analysis (O-PLS-DA) score plots derived from </w:t>
      </w:r>
      <w:r w:rsidRPr="004C77ED">
        <w:rPr>
          <w:vertAlign w:val="superscript"/>
          <w:lang w:val="en-US"/>
        </w:rPr>
        <w:t>1</w:t>
      </w:r>
      <w:r w:rsidRPr="004C77ED">
        <w:rPr>
          <w:lang w:val="en-US"/>
        </w:rPr>
        <w:t>H-NMR spectra of fecal extract from males (A) and female (C) exposed to the Ref Au nanomaterial (Ref-Au) and mice exposed to untreated food pellets (Ctrl). (B</w:t>
      </w:r>
      <w:proofErr w:type="gramStart"/>
      <w:r w:rsidRPr="004C77ED">
        <w:rPr>
          <w:lang w:val="en-US"/>
        </w:rPr>
        <w:t>,D</w:t>
      </w:r>
      <w:proofErr w:type="gramEnd"/>
      <w:r w:rsidRPr="004C77ED">
        <w:rPr>
          <w:lang w:val="en-US"/>
        </w:rPr>
        <w:t>) Coefficient plots related to the O-PLS-DA models discriminating between males (B) or female (D) mice exposed to the Ref Au nanomaterial (Ref-Au) and mice exposed to untreated food pellets (Ctrl). Panels in (B) and (D) show the discriminant metabolites that are higher or lower in mice exposed to the Ref Au nanomaterial compared to mice exposed to untreated food pellets. Metabolites are color-coded according to their correlation coefficient, red indicating a very strong positive correlation. The direction of the metabolite indicates the group with which it is positively associated as labeled on the diagram</w:t>
      </w:r>
    </w:p>
    <w:p w14:paraId="472CBA50" w14:textId="19F47B1D" w:rsidR="004C77ED" w:rsidRDefault="004C77ED" w:rsidP="004C77ED">
      <w:pPr>
        <w:jc w:val="both"/>
        <w:rPr>
          <w:lang w:val="en-US"/>
        </w:rPr>
      </w:pPr>
    </w:p>
    <w:p w14:paraId="5323B82A" w14:textId="1C5CF8AE" w:rsidR="004C77ED" w:rsidRDefault="004C77ED">
      <w:pPr>
        <w:rPr>
          <w:lang w:val="en-US"/>
        </w:rPr>
      </w:pPr>
      <w:r>
        <w:rPr>
          <w:lang w:val="en-US"/>
        </w:rPr>
        <w:br w:type="page"/>
      </w:r>
    </w:p>
    <w:p w14:paraId="35BCE163" w14:textId="28CD42DB" w:rsidR="004C77ED" w:rsidRPr="004C77ED" w:rsidRDefault="0033146D" w:rsidP="0033146D">
      <w:pPr>
        <w:jc w:val="center"/>
        <w:rPr>
          <w:lang w:val="en-US"/>
        </w:rPr>
      </w:pPr>
      <w:r w:rsidRPr="0033146D">
        <w:rPr>
          <w:noProof/>
          <w:lang w:eastAsia="fr-FR"/>
        </w:rPr>
        <w:drawing>
          <wp:inline distT="0" distB="0" distL="0" distR="0" wp14:anchorId="658A9D87" wp14:editId="06D90B3B">
            <wp:extent cx="5760720" cy="2725420"/>
            <wp:effectExtent l="0" t="0" r="0" b="0"/>
            <wp:docPr id="3" name="Image 2">
              <a:extLst xmlns:a="http://schemas.openxmlformats.org/drawingml/2006/main">
                <a:ext uri="{FF2B5EF4-FFF2-40B4-BE49-F238E27FC236}">
                  <a16:creationId xmlns:a16="http://schemas.microsoft.com/office/drawing/2014/main" id="{5FA61121-9EC7-4EC2-BD7C-02D10410C1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2">
                      <a:extLst>
                        <a:ext uri="{FF2B5EF4-FFF2-40B4-BE49-F238E27FC236}">
                          <a16:creationId xmlns:a16="http://schemas.microsoft.com/office/drawing/2014/main" id="{5FA61121-9EC7-4EC2-BD7C-02D10410C17A}"/>
                        </a:ext>
                      </a:extLst>
                    </pic:cNvPr>
                    <pic:cNvPicPr>
                      <a:picLocks noChangeAspect="1"/>
                    </pic:cNvPicPr>
                  </pic:nvPicPr>
                  <pic:blipFill rotWithShape="1">
                    <a:blip r:embed="rId24"/>
                    <a:srcRect r="3736"/>
                    <a:stretch/>
                  </pic:blipFill>
                  <pic:spPr>
                    <a:xfrm>
                      <a:off x="0" y="0"/>
                      <a:ext cx="5760720" cy="2725420"/>
                    </a:xfrm>
                    <a:prstGeom prst="rect">
                      <a:avLst/>
                    </a:prstGeom>
                  </pic:spPr>
                </pic:pic>
              </a:graphicData>
            </a:graphic>
          </wp:inline>
        </w:drawing>
      </w:r>
    </w:p>
    <w:p w14:paraId="2FD7F570" w14:textId="77777777" w:rsidR="0033146D" w:rsidRPr="0033146D" w:rsidRDefault="0033146D" w:rsidP="0033146D">
      <w:pPr>
        <w:jc w:val="both"/>
        <w:rPr>
          <w:lang w:val="en-US"/>
        </w:rPr>
      </w:pPr>
      <w:r w:rsidRPr="0033146D">
        <w:rPr>
          <w:b/>
          <w:bCs/>
          <w:lang w:val="en-US"/>
        </w:rPr>
        <w:t xml:space="preserve">Figure S19: Lipocalin-2 (Lcn2) levels in feces of female and male mice exposed for 13 weeks to the Ref Au nanomaterial or the E175. </w:t>
      </w:r>
      <w:r w:rsidRPr="0033146D">
        <w:rPr>
          <w:lang w:val="en-US"/>
        </w:rPr>
        <w:t xml:space="preserve">Fecal level of Lcn-2 in female (A) and male (B) mice exposed to exposed to Ref-Au (10µg/kg </w:t>
      </w:r>
      <w:proofErr w:type="spellStart"/>
      <w:r w:rsidRPr="0033146D">
        <w:rPr>
          <w:lang w:val="en-US"/>
        </w:rPr>
        <w:t>bw</w:t>
      </w:r>
      <w:proofErr w:type="spellEnd"/>
      <w:r w:rsidRPr="0033146D">
        <w:rPr>
          <w:lang w:val="en-US"/>
        </w:rPr>
        <w:t xml:space="preserve">/d) or E175 0,1; 1; 10µg/kg </w:t>
      </w:r>
      <w:proofErr w:type="spellStart"/>
      <w:r w:rsidRPr="0033146D">
        <w:rPr>
          <w:lang w:val="en-US"/>
        </w:rPr>
        <w:t>bw</w:t>
      </w:r>
      <w:proofErr w:type="spellEnd"/>
      <w:r w:rsidRPr="0033146D">
        <w:rPr>
          <w:lang w:val="en-US"/>
        </w:rPr>
        <w:t>/d) for 13 weeks. Each dot represents an individual mouse. Data are presented as mean ± SEM. Statistical significance was determined by one-way ANOVA with Tukey post hoc test; *</w:t>
      </w:r>
      <w:r w:rsidRPr="0033146D">
        <w:rPr>
          <w:i/>
          <w:iCs/>
          <w:lang w:val="en-US"/>
        </w:rPr>
        <w:t>p</w:t>
      </w:r>
      <w:r w:rsidRPr="0033146D">
        <w:rPr>
          <w:lang w:val="en-US"/>
        </w:rPr>
        <w:t>&lt;0.05.</w:t>
      </w:r>
    </w:p>
    <w:p w14:paraId="73313E70" w14:textId="2508533C" w:rsidR="00066648" w:rsidRDefault="00066648">
      <w:pPr>
        <w:rPr>
          <w:lang w:val="en-US"/>
        </w:rPr>
      </w:pPr>
    </w:p>
    <w:p w14:paraId="4B6DF9FD" w14:textId="551C4CE7" w:rsidR="0033146D" w:rsidRDefault="0033146D">
      <w:pPr>
        <w:rPr>
          <w:lang w:val="en-US"/>
        </w:rPr>
      </w:pPr>
      <w:r>
        <w:rPr>
          <w:lang w:val="en-US"/>
        </w:rPr>
        <w:br w:type="page"/>
      </w:r>
    </w:p>
    <w:p w14:paraId="39BF2CA2" w14:textId="2FFB1BC0" w:rsidR="0033146D" w:rsidRDefault="0033146D" w:rsidP="0033146D">
      <w:pPr>
        <w:jc w:val="center"/>
        <w:rPr>
          <w:lang w:val="en-US"/>
        </w:rPr>
      </w:pPr>
      <w:r>
        <w:rPr>
          <w:noProof/>
          <w:lang w:eastAsia="fr-FR"/>
        </w:rPr>
        <w:drawing>
          <wp:inline distT="0" distB="0" distL="0" distR="0" wp14:anchorId="3C4B7F9E" wp14:editId="64B9D525">
            <wp:extent cx="6088423" cy="4432300"/>
            <wp:effectExtent l="0" t="0" r="0" b="635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90703" cy="4433960"/>
                    </a:xfrm>
                    <a:prstGeom prst="rect">
                      <a:avLst/>
                    </a:prstGeom>
                    <a:noFill/>
                  </pic:spPr>
                </pic:pic>
              </a:graphicData>
            </a:graphic>
          </wp:inline>
        </w:drawing>
      </w:r>
    </w:p>
    <w:p w14:paraId="69C459C7" w14:textId="77777777" w:rsidR="0033146D" w:rsidRPr="0033146D" w:rsidRDefault="0033146D" w:rsidP="0033146D">
      <w:pPr>
        <w:jc w:val="both"/>
        <w:rPr>
          <w:lang w:val="en-US"/>
        </w:rPr>
      </w:pPr>
      <w:r w:rsidRPr="0033146D">
        <w:rPr>
          <w:b/>
          <w:bCs/>
          <w:lang w:val="en-US"/>
        </w:rPr>
        <w:t xml:space="preserve">Figure S20: Gene expression of pro- and anti-inflammatory cytokines in colon of male and female mice exposed to the Ref-Au nanomaterial or E175 for 13 weeks. </w:t>
      </w:r>
      <w:r w:rsidRPr="0033146D">
        <w:rPr>
          <w:lang w:val="en-US"/>
        </w:rPr>
        <w:t xml:space="preserve">Gene expression of the pro-inflammatory cytokines IL1β (A,G), TNFα (B, H), </w:t>
      </w:r>
      <w:proofErr w:type="spellStart"/>
      <w:r w:rsidRPr="0033146D">
        <w:rPr>
          <w:lang w:val="en-US"/>
        </w:rPr>
        <w:t>IFNγ</w:t>
      </w:r>
      <w:proofErr w:type="spellEnd"/>
      <w:r w:rsidRPr="0033146D">
        <w:rPr>
          <w:lang w:val="en-US"/>
        </w:rPr>
        <w:t xml:space="preserve"> (C, I) and IL17 (D,J) as well as of the anti-inflammatory cytokines TGFβ (E, K) and IL10 (F,L) in the colon mucosa of male (A-F) and female (G-L) mice orally exposed to Ref-Au (10µg/kg </w:t>
      </w:r>
      <w:proofErr w:type="spellStart"/>
      <w:r w:rsidRPr="0033146D">
        <w:rPr>
          <w:lang w:val="en-US"/>
        </w:rPr>
        <w:t>bw</w:t>
      </w:r>
      <w:proofErr w:type="spellEnd"/>
      <w:r w:rsidRPr="0033146D">
        <w:rPr>
          <w:lang w:val="en-US"/>
        </w:rPr>
        <w:t xml:space="preserve">/d) or E175 (0.1; 1 and 10µg/kg </w:t>
      </w:r>
      <w:proofErr w:type="spellStart"/>
      <w:r w:rsidRPr="0033146D">
        <w:rPr>
          <w:lang w:val="en-US"/>
        </w:rPr>
        <w:t>bw</w:t>
      </w:r>
      <w:proofErr w:type="spellEnd"/>
      <w:r w:rsidRPr="0033146D">
        <w:rPr>
          <w:lang w:val="en-US"/>
        </w:rPr>
        <w:t>/d) for 13 weeks. Each dot represents an individual mouse. Data are presented as mean ± SEM. Statistical significance was determined by one-way ANOVA with Tukey post hoc test or Kruskal-Wallis followed by Dunn’s post hoc test; *p&lt;0.05, **p&lt;0.01, ***p&lt;0.001.</w:t>
      </w:r>
    </w:p>
    <w:p w14:paraId="7F99CDE6" w14:textId="77777777" w:rsidR="0033146D" w:rsidRPr="005C1520" w:rsidRDefault="0033146D">
      <w:pPr>
        <w:rPr>
          <w:lang w:val="en-US"/>
        </w:rPr>
      </w:pPr>
    </w:p>
    <w:sectPr w:rsidR="0033146D" w:rsidRPr="005C1520" w:rsidSect="00C74E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22C"/>
    <w:rsid w:val="00066648"/>
    <w:rsid w:val="00093280"/>
    <w:rsid w:val="000A626E"/>
    <w:rsid w:val="00174FA0"/>
    <w:rsid w:val="00194FB5"/>
    <w:rsid w:val="0025103E"/>
    <w:rsid w:val="00322C36"/>
    <w:rsid w:val="0033146D"/>
    <w:rsid w:val="00485632"/>
    <w:rsid w:val="004C77ED"/>
    <w:rsid w:val="00550AAD"/>
    <w:rsid w:val="005C1520"/>
    <w:rsid w:val="00606EF3"/>
    <w:rsid w:val="006A0538"/>
    <w:rsid w:val="00803AC5"/>
    <w:rsid w:val="00805150"/>
    <w:rsid w:val="0088722C"/>
    <w:rsid w:val="00936755"/>
    <w:rsid w:val="00947B1F"/>
    <w:rsid w:val="00956B19"/>
    <w:rsid w:val="00970CA0"/>
    <w:rsid w:val="00A119BD"/>
    <w:rsid w:val="00A2532B"/>
    <w:rsid w:val="00AA21C8"/>
    <w:rsid w:val="00B939DD"/>
    <w:rsid w:val="00C46023"/>
    <w:rsid w:val="00C74E65"/>
    <w:rsid w:val="00F02B5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5766D"/>
  <w15:chartTrackingRefBased/>
  <w15:docId w15:val="{7A452A3D-459C-4160-AC56-78E87B828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103E"/>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2510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25103E"/>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5103E"/>
    <w:rPr>
      <w:rFonts w:ascii="Segoe UI" w:hAnsi="Segoe UI" w:cs="Segoe UI"/>
      <w:sz w:val="18"/>
      <w:szCs w:val="18"/>
    </w:rPr>
  </w:style>
  <w:style w:type="character" w:styleId="Lienhypertexte">
    <w:name w:val="Hyperlink"/>
    <w:basedOn w:val="Policepardfaut"/>
    <w:uiPriority w:val="99"/>
    <w:unhideWhenUsed/>
    <w:rsid w:val="00936755"/>
    <w:rPr>
      <w:color w:val="0563C1" w:themeColor="hyperlink"/>
      <w:u w:val="single"/>
    </w:rPr>
  </w:style>
  <w:style w:type="character" w:customStyle="1" w:styleId="UnresolvedMention">
    <w:name w:val="Unresolved Mention"/>
    <w:basedOn w:val="Policepardfaut"/>
    <w:uiPriority w:val="99"/>
    <w:semiHidden/>
    <w:unhideWhenUsed/>
    <w:rsid w:val="009367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284824">
      <w:bodyDiv w:val="1"/>
      <w:marLeft w:val="0"/>
      <w:marRight w:val="0"/>
      <w:marTop w:val="0"/>
      <w:marBottom w:val="0"/>
      <w:divBdr>
        <w:top w:val="none" w:sz="0" w:space="0" w:color="auto"/>
        <w:left w:val="none" w:sz="0" w:space="0" w:color="auto"/>
        <w:bottom w:val="none" w:sz="0" w:space="0" w:color="auto"/>
        <w:right w:val="none" w:sz="0" w:space="0" w:color="auto"/>
      </w:divBdr>
    </w:div>
    <w:div w:id="76442863">
      <w:bodyDiv w:val="1"/>
      <w:marLeft w:val="0"/>
      <w:marRight w:val="0"/>
      <w:marTop w:val="0"/>
      <w:marBottom w:val="0"/>
      <w:divBdr>
        <w:top w:val="none" w:sz="0" w:space="0" w:color="auto"/>
        <w:left w:val="none" w:sz="0" w:space="0" w:color="auto"/>
        <w:bottom w:val="none" w:sz="0" w:space="0" w:color="auto"/>
        <w:right w:val="none" w:sz="0" w:space="0" w:color="auto"/>
      </w:divBdr>
    </w:div>
    <w:div w:id="152306908">
      <w:bodyDiv w:val="1"/>
      <w:marLeft w:val="0"/>
      <w:marRight w:val="0"/>
      <w:marTop w:val="0"/>
      <w:marBottom w:val="0"/>
      <w:divBdr>
        <w:top w:val="none" w:sz="0" w:space="0" w:color="auto"/>
        <w:left w:val="none" w:sz="0" w:space="0" w:color="auto"/>
        <w:bottom w:val="none" w:sz="0" w:space="0" w:color="auto"/>
        <w:right w:val="none" w:sz="0" w:space="0" w:color="auto"/>
      </w:divBdr>
    </w:div>
    <w:div w:id="372578890">
      <w:bodyDiv w:val="1"/>
      <w:marLeft w:val="0"/>
      <w:marRight w:val="0"/>
      <w:marTop w:val="0"/>
      <w:marBottom w:val="0"/>
      <w:divBdr>
        <w:top w:val="none" w:sz="0" w:space="0" w:color="auto"/>
        <w:left w:val="none" w:sz="0" w:space="0" w:color="auto"/>
        <w:bottom w:val="none" w:sz="0" w:space="0" w:color="auto"/>
        <w:right w:val="none" w:sz="0" w:space="0" w:color="auto"/>
      </w:divBdr>
    </w:div>
    <w:div w:id="373775820">
      <w:bodyDiv w:val="1"/>
      <w:marLeft w:val="0"/>
      <w:marRight w:val="0"/>
      <w:marTop w:val="0"/>
      <w:marBottom w:val="0"/>
      <w:divBdr>
        <w:top w:val="none" w:sz="0" w:space="0" w:color="auto"/>
        <w:left w:val="none" w:sz="0" w:space="0" w:color="auto"/>
        <w:bottom w:val="none" w:sz="0" w:space="0" w:color="auto"/>
        <w:right w:val="none" w:sz="0" w:space="0" w:color="auto"/>
      </w:divBdr>
    </w:div>
    <w:div w:id="384840257">
      <w:bodyDiv w:val="1"/>
      <w:marLeft w:val="0"/>
      <w:marRight w:val="0"/>
      <w:marTop w:val="0"/>
      <w:marBottom w:val="0"/>
      <w:divBdr>
        <w:top w:val="none" w:sz="0" w:space="0" w:color="auto"/>
        <w:left w:val="none" w:sz="0" w:space="0" w:color="auto"/>
        <w:bottom w:val="none" w:sz="0" w:space="0" w:color="auto"/>
        <w:right w:val="none" w:sz="0" w:space="0" w:color="auto"/>
      </w:divBdr>
    </w:div>
    <w:div w:id="608392598">
      <w:bodyDiv w:val="1"/>
      <w:marLeft w:val="0"/>
      <w:marRight w:val="0"/>
      <w:marTop w:val="0"/>
      <w:marBottom w:val="0"/>
      <w:divBdr>
        <w:top w:val="none" w:sz="0" w:space="0" w:color="auto"/>
        <w:left w:val="none" w:sz="0" w:space="0" w:color="auto"/>
        <w:bottom w:val="none" w:sz="0" w:space="0" w:color="auto"/>
        <w:right w:val="none" w:sz="0" w:space="0" w:color="auto"/>
      </w:divBdr>
    </w:div>
    <w:div w:id="658850162">
      <w:bodyDiv w:val="1"/>
      <w:marLeft w:val="0"/>
      <w:marRight w:val="0"/>
      <w:marTop w:val="0"/>
      <w:marBottom w:val="0"/>
      <w:divBdr>
        <w:top w:val="none" w:sz="0" w:space="0" w:color="auto"/>
        <w:left w:val="none" w:sz="0" w:space="0" w:color="auto"/>
        <w:bottom w:val="none" w:sz="0" w:space="0" w:color="auto"/>
        <w:right w:val="none" w:sz="0" w:space="0" w:color="auto"/>
      </w:divBdr>
    </w:div>
    <w:div w:id="796023050">
      <w:bodyDiv w:val="1"/>
      <w:marLeft w:val="0"/>
      <w:marRight w:val="0"/>
      <w:marTop w:val="0"/>
      <w:marBottom w:val="0"/>
      <w:divBdr>
        <w:top w:val="none" w:sz="0" w:space="0" w:color="auto"/>
        <w:left w:val="none" w:sz="0" w:space="0" w:color="auto"/>
        <w:bottom w:val="none" w:sz="0" w:space="0" w:color="auto"/>
        <w:right w:val="none" w:sz="0" w:space="0" w:color="auto"/>
      </w:divBdr>
    </w:div>
    <w:div w:id="1070469770">
      <w:bodyDiv w:val="1"/>
      <w:marLeft w:val="0"/>
      <w:marRight w:val="0"/>
      <w:marTop w:val="0"/>
      <w:marBottom w:val="0"/>
      <w:divBdr>
        <w:top w:val="none" w:sz="0" w:space="0" w:color="auto"/>
        <w:left w:val="none" w:sz="0" w:space="0" w:color="auto"/>
        <w:bottom w:val="none" w:sz="0" w:space="0" w:color="auto"/>
        <w:right w:val="none" w:sz="0" w:space="0" w:color="auto"/>
      </w:divBdr>
    </w:div>
    <w:div w:id="1121799776">
      <w:bodyDiv w:val="1"/>
      <w:marLeft w:val="0"/>
      <w:marRight w:val="0"/>
      <w:marTop w:val="0"/>
      <w:marBottom w:val="0"/>
      <w:divBdr>
        <w:top w:val="none" w:sz="0" w:space="0" w:color="auto"/>
        <w:left w:val="none" w:sz="0" w:space="0" w:color="auto"/>
        <w:bottom w:val="none" w:sz="0" w:space="0" w:color="auto"/>
        <w:right w:val="none" w:sz="0" w:space="0" w:color="auto"/>
      </w:divBdr>
    </w:div>
    <w:div w:id="1126973988">
      <w:bodyDiv w:val="1"/>
      <w:marLeft w:val="0"/>
      <w:marRight w:val="0"/>
      <w:marTop w:val="0"/>
      <w:marBottom w:val="0"/>
      <w:divBdr>
        <w:top w:val="none" w:sz="0" w:space="0" w:color="auto"/>
        <w:left w:val="none" w:sz="0" w:space="0" w:color="auto"/>
        <w:bottom w:val="none" w:sz="0" w:space="0" w:color="auto"/>
        <w:right w:val="none" w:sz="0" w:space="0" w:color="auto"/>
      </w:divBdr>
    </w:div>
    <w:div w:id="1136071054">
      <w:bodyDiv w:val="1"/>
      <w:marLeft w:val="0"/>
      <w:marRight w:val="0"/>
      <w:marTop w:val="0"/>
      <w:marBottom w:val="0"/>
      <w:divBdr>
        <w:top w:val="none" w:sz="0" w:space="0" w:color="auto"/>
        <w:left w:val="none" w:sz="0" w:space="0" w:color="auto"/>
        <w:bottom w:val="none" w:sz="0" w:space="0" w:color="auto"/>
        <w:right w:val="none" w:sz="0" w:space="0" w:color="auto"/>
      </w:divBdr>
    </w:div>
    <w:div w:id="1277559593">
      <w:bodyDiv w:val="1"/>
      <w:marLeft w:val="0"/>
      <w:marRight w:val="0"/>
      <w:marTop w:val="0"/>
      <w:marBottom w:val="0"/>
      <w:divBdr>
        <w:top w:val="none" w:sz="0" w:space="0" w:color="auto"/>
        <w:left w:val="none" w:sz="0" w:space="0" w:color="auto"/>
        <w:bottom w:val="none" w:sz="0" w:space="0" w:color="auto"/>
        <w:right w:val="none" w:sz="0" w:space="0" w:color="auto"/>
      </w:divBdr>
    </w:div>
    <w:div w:id="1298562555">
      <w:bodyDiv w:val="1"/>
      <w:marLeft w:val="0"/>
      <w:marRight w:val="0"/>
      <w:marTop w:val="0"/>
      <w:marBottom w:val="0"/>
      <w:divBdr>
        <w:top w:val="none" w:sz="0" w:space="0" w:color="auto"/>
        <w:left w:val="none" w:sz="0" w:space="0" w:color="auto"/>
        <w:bottom w:val="none" w:sz="0" w:space="0" w:color="auto"/>
        <w:right w:val="none" w:sz="0" w:space="0" w:color="auto"/>
      </w:divBdr>
    </w:div>
    <w:div w:id="1309819425">
      <w:bodyDiv w:val="1"/>
      <w:marLeft w:val="0"/>
      <w:marRight w:val="0"/>
      <w:marTop w:val="0"/>
      <w:marBottom w:val="0"/>
      <w:divBdr>
        <w:top w:val="none" w:sz="0" w:space="0" w:color="auto"/>
        <w:left w:val="none" w:sz="0" w:space="0" w:color="auto"/>
        <w:bottom w:val="none" w:sz="0" w:space="0" w:color="auto"/>
        <w:right w:val="none" w:sz="0" w:space="0" w:color="auto"/>
      </w:divBdr>
    </w:div>
    <w:div w:id="1566799794">
      <w:bodyDiv w:val="1"/>
      <w:marLeft w:val="0"/>
      <w:marRight w:val="0"/>
      <w:marTop w:val="0"/>
      <w:marBottom w:val="0"/>
      <w:divBdr>
        <w:top w:val="none" w:sz="0" w:space="0" w:color="auto"/>
        <w:left w:val="none" w:sz="0" w:space="0" w:color="auto"/>
        <w:bottom w:val="none" w:sz="0" w:space="0" w:color="auto"/>
        <w:right w:val="none" w:sz="0" w:space="0" w:color="auto"/>
      </w:divBdr>
    </w:div>
    <w:div w:id="1569613946">
      <w:bodyDiv w:val="1"/>
      <w:marLeft w:val="0"/>
      <w:marRight w:val="0"/>
      <w:marTop w:val="0"/>
      <w:marBottom w:val="0"/>
      <w:divBdr>
        <w:top w:val="none" w:sz="0" w:space="0" w:color="auto"/>
        <w:left w:val="none" w:sz="0" w:space="0" w:color="auto"/>
        <w:bottom w:val="none" w:sz="0" w:space="0" w:color="auto"/>
        <w:right w:val="none" w:sz="0" w:space="0" w:color="auto"/>
      </w:divBdr>
    </w:div>
    <w:div w:id="1736586328">
      <w:bodyDiv w:val="1"/>
      <w:marLeft w:val="0"/>
      <w:marRight w:val="0"/>
      <w:marTop w:val="0"/>
      <w:marBottom w:val="0"/>
      <w:divBdr>
        <w:top w:val="none" w:sz="0" w:space="0" w:color="auto"/>
        <w:left w:val="none" w:sz="0" w:space="0" w:color="auto"/>
        <w:bottom w:val="none" w:sz="0" w:space="0" w:color="auto"/>
        <w:right w:val="none" w:sz="0" w:space="0" w:color="auto"/>
      </w:divBdr>
    </w:div>
    <w:div w:id="1846743680">
      <w:bodyDiv w:val="1"/>
      <w:marLeft w:val="0"/>
      <w:marRight w:val="0"/>
      <w:marTop w:val="0"/>
      <w:marBottom w:val="0"/>
      <w:divBdr>
        <w:top w:val="none" w:sz="0" w:space="0" w:color="auto"/>
        <w:left w:val="none" w:sz="0" w:space="0" w:color="auto"/>
        <w:bottom w:val="none" w:sz="0" w:space="0" w:color="auto"/>
        <w:right w:val="none" w:sz="0" w:space="0" w:color="auto"/>
      </w:divBdr>
    </w:div>
    <w:div w:id="2055041898">
      <w:bodyDiv w:val="1"/>
      <w:marLeft w:val="0"/>
      <w:marRight w:val="0"/>
      <w:marTop w:val="0"/>
      <w:marBottom w:val="0"/>
      <w:divBdr>
        <w:top w:val="none" w:sz="0" w:space="0" w:color="auto"/>
        <w:left w:val="none" w:sz="0" w:space="0" w:color="auto"/>
        <w:bottom w:val="none" w:sz="0" w:space="0" w:color="auto"/>
        <w:right w:val="none" w:sz="0" w:space="0" w:color="auto"/>
      </w:divBdr>
    </w:div>
    <w:div w:id="2145851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hyperlink" Target="mailto:eric.houdeau@inrae.fr" TargetMode="External"/><Relationship Id="rId15" Type="http://schemas.openxmlformats.org/officeDocument/2006/relationships/image" Target="media/image10.png"/><Relationship Id="rId23" Type="http://schemas.openxmlformats.org/officeDocument/2006/relationships/image" Target="media/image18.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98D352-EF5B-4309-B586-0E14A31FF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22</Pages>
  <Words>1587</Words>
  <Characters>8734</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Lauris Evariste</dc:creator>
  <cp:keywords/>
  <dc:description/>
  <cp:lastModifiedBy>Bruno Lamas</cp:lastModifiedBy>
  <cp:revision>21</cp:revision>
  <dcterms:created xsi:type="dcterms:W3CDTF">2022-01-20T14:56:00Z</dcterms:created>
  <dcterms:modified xsi:type="dcterms:W3CDTF">2022-02-17T10:11:00Z</dcterms:modified>
</cp:coreProperties>
</file>