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AFE87B" w14:textId="703CC5D8" w:rsidR="00D63748" w:rsidRDefault="0099417B" w:rsidP="00D63748">
      <w:pPr>
        <w:spacing w:line="480" w:lineRule="auto"/>
        <w:jc w:val="both"/>
        <w:rPr>
          <w:b/>
          <w:bCs/>
          <w:sz w:val="28"/>
          <w:szCs w:val="28"/>
          <w:lang w:val="en-US"/>
        </w:rPr>
      </w:pPr>
      <w:r w:rsidRPr="0099417B">
        <w:rPr>
          <w:b/>
          <w:bCs/>
          <w:i/>
          <w:iCs/>
          <w:sz w:val="28"/>
          <w:szCs w:val="28"/>
          <w:lang w:val="en-US"/>
        </w:rPr>
        <w:t>MYC</w:t>
      </w:r>
      <w:r w:rsidRPr="0099417B">
        <w:rPr>
          <w:b/>
          <w:bCs/>
          <w:sz w:val="28"/>
          <w:szCs w:val="28"/>
          <w:lang w:val="en-US"/>
        </w:rPr>
        <w:t xml:space="preserve"> amplification at diagnosis drives therapy-induced hypermutation of recurrent glioma</w:t>
      </w:r>
    </w:p>
    <w:p w14:paraId="0C767268" w14:textId="77777777" w:rsidR="00D63748" w:rsidRPr="00DB5E83" w:rsidRDefault="00D63748" w:rsidP="00D63748">
      <w:pPr>
        <w:spacing w:line="480" w:lineRule="auto"/>
        <w:jc w:val="both"/>
        <w:rPr>
          <w:b/>
          <w:bCs/>
          <w:sz w:val="28"/>
          <w:szCs w:val="28"/>
          <w:lang w:val="en-US"/>
        </w:rPr>
      </w:pPr>
    </w:p>
    <w:p w14:paraId="370FAA57" w14:textId="7EAC79BC" w:rsidR="00D63748" w:rsidRDefault="00D63748" w:rsidP="00D63748">
      <w:pPr>
        <w:spacing w:line="480" w:lineRule="auto"/>
        <w:jc w:val="both"/>
      </w:pPr>
      <w:proofErr w:type="spellStart"/>
      <w:r w:rsidRPr="007D66B5">
        <w:t>Quanhua</w:t>
      </w:r>
      <w:proofErr w:type="spellEnd"/>
      <w:r w:rsidRPr="007D66B5">
        <w:t xml:space="preserve"> Mu, </w:t>
      </w:r>
      <w:proofErr w:type="spellStart"/>
      <w:r w:rsidRPr="007D66B5">
        <w:rPr>
          <w:lang w:val="en-US"/>
        </w:rPr>
        <w:t>Ruichao</w:t>
      </w:r>
      <w:proofErr w:type="spellEnd"/>
      <w:r w:rsidRPr="007D66B5">
        <w:rPr>
          <w:lang w:val="en-US"/>
        </w:rPr>
        <w:t xml:space="preserve"> Chai, Hanjie Liu</w:t>
      </w:r>
      <w:r w:rsidRPr="007D66B5">
        <w:t xml:space="preserve">, </w:t>
      </w:r>
      <w:proofErr w:type="spellStart"/>
      <w:r w:rsidRPr="007D66B5">
        <w:t>Yingxi</w:t>
      </w:r>
      <w:proofErr w:type="spellEnd"/>
      <w:r w:rsidRPr="007D66B5">
        <w:t xml:space="preserve"> Yang, </w:t>
      </w:r>
      <w:r w:rsidRPr="007D66B5">
        <w:rPr>
          <w:lang w:val="en-US"/>
        </w:rPr>
        <w:t xml:space="preserve">Zheng Zhao, </w:t>
      </w:r>
      <w:r w:rsidRPr="007D66B5">
        <w:t>Ming Hong Lui</w:t>
      </w:r>
      <w:r w:rsidRPr="007D66B5">
        <w:rPr>
          <w:lang w:val="en-US"/>
        </w:rPr>
        <w:t xml:space="preserve">, </w:t>
      </w:r>
      <w:proofErr w:type="spellStart"/>
      <w:r w:rsidRPr="007D66B5">
        <w:t>Zhaoshi</w:t>
      </w:r>
      <w:proofErr w:type="spellEnd"/>
      <w:r w:rsidRPr="007D66B5">
        <w:t xml:space="preserve"> Bao</w:t>
      </w:r>
      <w:r w:rsidRPr="007D66B5">
        <w:rPr>
          <w:lang w:val="en-US"/>
        </w:rPr>
        <w:t>,</w:t>
      </w:r>
      <w:r w:rsidRPr="007D66B5">
        <w:t xml:space="preserve"> Dong Song, </w:t>
      </w:r>
      <w:proofErr w:type="spellStart"/>
      <w:r w:rsidRPr="007D66B5">
        <w:t>Biaobin</w:t>
      </w:r>
      <w:proofErr w:type="spellEnd"/>
      <w:r w:rsidRPr="007D66B5">
        <w:t xml:space="preserve"> Jiang,</w:t>
      </w:r>
      <w:r>
        <w:t xml:space="preserve"> </w:t>
      </w:r>
      <w:r w:rsidRPr="00CD6254">
        <w:t xml:space="preserve">Jason K. Sa, </w:t>
      </w:r>
      <w:proofErr w:type="spellStart"/>
      <w:r w:rsidRPr="00CD6254">
        <w:t>Hee</w:t>
      </w:r>
      <w:proofErr w:type="spellEnd"/>
      <w:r w:rsidRPr="00CD6254">
        <w:t xml:space="preserve"> </w:t>
      </w:r>
      <w:proofErr w:type="spellStart"/>
      <w:r w:rsidRPr="00CD6254">
        <w:t>Jin</w:t>
      </w:r>
      <w:proofErr w:type="spellEnd"/>
      <w:r w:rsidRPr="00CD6254">
        <w:t xml:space="preserve"> Cho</w:t>
      </w:r>
      <w:r>
        <w:t>,</w:t>
      </w:r>
      <w:r w:rsidRPr="007D66B5">
        <w:rPr>
          <w:lang w:val="en-US"/>
        </w:rPr>
        <w:t xml:space="preserve"> </w:t>
      </w:r>
      <w:proofErr w:type="spellStart"/>
      <w:r>
        <w:rPr>
          <w:lang w:val="en-US"/>
        </w:rPr>
        <w:t>Yuzhou</w:t>
      </w:r>
      <w:proofErr w:type="spellEnd"/>
      <w:r>
        <w:rPr>
          <w:lang w:val="en-US"/>
        </w:rPr>
        <w:t xml:space="preserve"> Chang, </w:t>
      </w:r>
      <w:r w:rsidRPr="008E40C7">
        <w:rPr>
          <w:lang w:val="en-US"/>
        </w:rPr>
        <w:t>Kaitlin H</w:t>
      </w:r>
      <w:r>
        <w:rPr>
          <w:lang w:val="en-US"/>
        </w:rPr>
        <w:t xml:space="preserve">ao </w:t>
      </w:r>
      <w:r w:rsidRPr="008E40C7">
        <w:rPr>
          <w:lang w:val="en-US"/>
        </w:rPr>
        <w:t>Y</w:t>
      </w:r>
      <w:r>
        <w:rPr>
          <w:lang w:val="en-US"/>
        </w:rPr>
        <w:t>i</w:t>
      </w:r>
      <w:r w:rsidRPr="008E40C7">
        <w:rPr>
          <w:lang w:val="en-US"/>
        </w:rPr>
        <w:t xml:space="preserve"> Chan</w:t>
      </w:r>
      <w:r>
        <w:rPr>
          <w:lang w:val="en-US"/>
        </w:rPr>
        <w:t xml:space="preserve">, </w:t>
      </w:r>
      <w:r w:rsidRPr="008E40C7">
        <w:rPr>
          <w:lang w:val="en-US"/>
        </w:rPr>
        <w:t>Danson</w:t>
      </w:r>
      <w:r>
        <w:rPr>
          <w:lang w:val="en-US"/>
        </w:rPr>
        <w:t xml:space="preserve"> </w:t>
      </w:r>
      <w:proofErr w:type="spellStart"/>
      <w:r w:rsidRPr="008E40C7">
        <w:rPr>
          <w:lang w:val="en-US"/>
        </w:rPr>
        <w:t>Shek</w:t>
      </w:r>
      <w:proofErr w:type="spellEnd"/>
      <w:r w:rsidRPr="008E40C7">
        <w:rPr>
          <w:lang w:val="en-US"/>
        </w:rPr>
        <w:t xml:space="preserve"> Chun </w:t>
      </w:r>
      <w:proofErr w:type="spellStart"/>
      <w:r>
        <w:rPr>
          <w:lang w:val="en-US"/>
        </w:rPr>
        <w:t>Loi</w:t>
      </w:r>
      <w:proofErr w:type="spellEnd"/>
      <w:r>
        <w:rPr>
          <w:lang w:val="en-US"/>
        </w:rPr>
        <w:t xml:space="preserve">, </w:t>
      </w:r>
      <w:r w:rsidRPr="008E40C7">
        <w:rPr>
          <w:lang w:val="en-US"/>
        </w:rPr>
        <w:t>Sindy Sing Ting Tam</w:t>
      </w:r>
      <w:r>
        <w:rPr>
          <w:lang w:val="en-US"/>
        </w:rPr>
        <w:t>,</w:t>
      </w:r>
      <w:r w:rsidRPr="008E40C7">
        <w:rPr>
          <w:lang w:val="en-US"/>
        </w:rPr>
        <w:t xml:space="preserve"> </w:t>
      </w:r>
      <w:r w:rsidRPr="00540F9A">
        <w:rPr>
          <w:lang w:val="en-US"/>
        </w:rPr>
        <w:t>Aden Ka Yin Chan</w:t>
      </w:r>
      <w:r>
        <w:rPr>
          <w:lang w:val="en-US"/>
        </w:rPr>
        <w:t xml:space="preserve">, </w:t>
      </w:r>
      <w:r w:rsidRPr="007D66B5">
        <w:rPr>
          <w:lang w:val="en-US"/>
        </w:rPr>
        <w:t>Angela</w:t>
      </w:r>
      <w:r>
        <w:rPr>
          <w:lang w:val="en-US"/>
        </w:rPr>
        <w:t xml:space="preserve"> </w:t>
      </w:r>
      <w:proofErr w:type="spellStart"/>
      <w:r>
        <w:rPr>
          <w:lang w:val="en-US"/>
        </w:rPr>
        <w:t>Ruohao</w:t>
      </w:r>
      <w:proofErr w:type="spellEnd"/>
      <w:r w:rsidRPr="007D66B5">
        <w:rPr>
          <w:rFonts w:hint="eastAsia"/>
          <w:lang w:val="en-US"/>
        </w:rPr>
        <w:t xml:space="preserve"> </w:t>
      </w:r>
      <w:r w:rsidRPr="007D66B5">
        <w:rPr>
          <w:lang w:val="en-US"/>
        </w:rPr>
        <w:t xml:space="preserve">Wu, </w:t>
      </w:r>
      <w:r w:rsidRPr="00540F9A">
        <w:rPr>
          <w:lang w:val="en-US"/>
        </w:rPr>
        <w:t>Wai Sa</w:t>
      </w:r>
      <w:r>
        <w:rPr>
          <w:lang w:val="en-US"/>
        </w:rPr>
        <w:t>ng</w:t>
      </w:r>
      <w:r w:rsidRPr="00540F9A">
        <w:rPr>
          <w:lang w:val="en-US"/>
        </w:rPr>
        <w:t xml:space="preserve"> Poon</w:t>
      </w:r>
      <w:r>
        <w:rPr>
          <w:lang w:val="en-US"/>
        </w:rPr>
        <w:t>, Ho Keung Ng,</w:t>
      </w:r>
      <w:r w:rsidRPr="007D66B5">
        <w:rPr>
          <w:lang w:val="en-US"/>
        </w:rPr>
        <w:t xml:space="preserve"> </w:t>
      </w:r>
      <w:r w:rsidRPr="00540F9A">
        <w:rPr>
          <w:lang w:val="en-US"/>
        </w:rPr>
        <w:t xml:space="preserve">Danny </w:t>
      </w:r>
      <w:r>
        <w:rPr>
          <w:lang w:val="en-US"/>
        </w:rPr>
        <w:t xml:space="preserve">Tat Ming </w:t>
      </w:r>
      <w:r w:rsidRPr="00540F9A">
        <w:rPr>
          <w:lang w:val="en-US"/>
        </w:rPr>
        <w:t>Chan,</w:t>
      </w:r>
      <w:r>
        <w:rPr>
          <w:lang w:val="en-US"/>
        </w:rPr>
        <w:t xml:space="preserve"> </w:t>
      </w:r>
      <w:r>
        <w:t xml:space="preserve">Antonio </w:t>
      </w:r>
      <w:proofErr w:type="spellStart"/>
      <w:r>
        <w:t>Iavarone</w:t>
      </w:r>
      <w:proofErr w:type="spellEnd"/>
      <w:r>
        <w:t xml:space="preserve">, </w:t>
      </w:r>
      <w:r w:rsidRPr="007D66B5">
        <w:t>Do-Hyun Nam</w:t>
      </w:r>
      <w:r>
        <w:t xml:space="preserve">, </w:t>
      </w:r>
      <w:r w:rsidRPr="007D66B5">
        <w:t>Tao Jiang, Jiguang Wan</w:t>
      </w:r>
      <w:r>
        <w:t>g</w:t>
      </w:r>
    </w:p>
    <w:p w14:paraId="39C717C2" w14:textId="25E74E10" w:rsidR="00BE3048" w:rsidRDefault="00BE3048" w:rsidP="00D63748">
      <w:pPr>
        <w:spacing w:line="480" w:lineRule="auto"/>
        <w:jc w:val="both"/>
      </w:pPr>
    </w:p>
    <w:p w14:paraId="35AA7476" w14:textId="77777777" w:rsidR="00BE3048" w:rsidRPr="00DB5E83" w:rsidRDefault="00BE3048" w:rsidP="00D63748">
      <w:pPr>
        <w:spacing w:line="480" w:lineRule="auto"/>
        <w:jc w:val="both"/>
        <w:rPr>
          <w:vertAlign w:val="superscript"/>
          <w:lang w:val="en-US"/>
        </w:rPr>
      </w:pPr>
    </w:p>
    <w:p w14:paraId="1D98C39D" w14:textId="5D823595" w:rsidR="00EB4B3A" w:rsidRDefault="00EB4B3A" w:rsidP="00EB4B3A">
      <w:pPr>
        <w:spacing w:line="480" w:lineRule="auto"/>
        <w:rPr>
          <w:b/>
          <w:bCs/>
          <w:lang w:val="en-US"/>
        </w:rPr>
      </w:pPr>
      <w:r>
        <w:rPr>
          <w:b/>
          <w:bCs/>
          <w:lang w:val="en-US"/>
        </w:rPr>
        <w:t>Supplementary Information:</w:t>
      </w:r>
    </w:p>
    <w:p w14:paraId="7B562965" w14:textId="66DDED44" w:rsidR="00EB4B3A" w:rsidRDefault="00EB4B3A" w:rsidP="00EB4B3A">
      <w:pPr>
        <w:spacing w:line="480" w:lineRule="auto"/>
        <w:rPr>
          <w:lang w:val="en-US"/>
        </w:rPr>
      </w:pPr>
      <w:r>
        <w:rPr>
          <w:lang w:val="en-US"/>
        </w:rPr>
        <w:t>Extended Data Figures 1-7</w:t>
      </w:r>
    </w:p>
    <w:p w14:paraId="396ABF85" w14:textId="1EC8DA23" w:rsidR="00EB4B3A" w:rsidRDefault="00EB4B3A" w:rsidP="00EB4B3A">
      <w:pPr>
        <w:spacing w:line="480" w:lineRule="auto"/>
        <w:rPr>
          <w:lang w:val="en-US"/>
        </w:rPr>
      </w:pPr>
      <w:r>
        <w:rPr>
          <w:lang w:val="en-US"/>
        </w:rPr>
        <w:t>Extended Data Tables 3</w:t>
      </w:r>
    </w:p>
    <w:p w14:paraId="6F2E0DDA" w14:textId="54D662F9" w:rsidR="00EB4B3A" w:rsidRPr="00EB4B3A" w:rsidRDefault="00EB4B3A" w:rsidP="00EB4B3A">
      <w:pPr>
        <w:spacing w:line="480" w:lineRule="auto"/>
        <w:rPr>
          <w:lang w:val="en-US"/>
        </w:rPr>
      </w:pPr>
      <w:r>
        <w:rPr>
          <w:lang w:val="en-US"/>
        </w:rPr>
        <w:t>Extended Data Table 1 and 2 are provided as separate Excel files</w:t>
      </w:r>
    </w:p>
    <w:p w14:paraId="2692AACA" w14:textId="24160A48" w:rsidR="00EB4B3A" w:rsidRPr="00EB4B3A" w:rsidRDefault="00EB4B3A" w:rsidP="00EB4B3A">
      <w:pPr>
        <w:spacing w:line="480" w:lineRule="auto"/>
        <w:jc w:val="both"/>
        <w:rPr>
          <w:lang w:val="en-US"/>
        </w:rPr>
      </w:pPr>
      <w:r w:rsidRPr="00EB4B3A">
        <w:rPr>
          <w:lang w:val="en-US"/>
        </w:rPr>
        <w:t>Details for the missing value imputation and modeling</w:t>
      </w:r>
    </w:p>
    <w:p w14:paraId="022761CB" w14:textId="77777777" w:rsidR="00EB4B3A" w:rsidRDefault="00EB4B3A">
      <w:pPr>
        <w:rPr>
          <w:b/>
          <w:bCs/>
          <w:lang w:val="en-US"/>
        </w:rPr>
      </w:pPr>
      <w:r>
        <w:rPr>
          <w:b/>
          <w:bCs/>
          <w:lang w:val="en-US"/>
        </w:rPr>
        <w:br w:type="page"/>
      </w:r>
    </w:p>
    <w:p w14:paraId="2AE0A651" w14:textId="77777777" w:rsidR="000F72A3" w:rsidRDefault="000F72A3" w:rsidP="00D63748">
      <w:pPr>
        <w:spacing w:line="480" w:lineRule="auto"/>
        <w:jc w:val="both"/>
        <w:rPr>
          <w:b/>
          <w:bCs/>
          <w:lang w:val="en-US"/>
        </w:rPr>
      </w:pPr>
      <w:r>
        <w:rPr>
          <w:b/>
          <w:bCs/>
          <w:noProof/>
          <w:lang w:val="en-US"/>
        </w:rPr>
        <w:lastRenderedPageBreak/>
        <w:drawing>
          <wp:inline distT="0" distB="0" distL="0" distR="0" wp14:anchorId="5862006E" wp14:editId="4BDF699B">
            <wp:extent cx="5697220" cy="5029200"/>
            <wp:effectExtent l="0" t="0" r="508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4" cstate="print">
                      <a:extLst>
                        <a:ext uri="{28A0092B-C50C-407E-A947-70E740481C1C}">
                          <a14:useLocalDpi xmlns:a14="http://schemas.microsoft.com/office/drawing/2010/main" val="0"/>
                        </a:ext>
                      </a:extLst>
                    </a:blip>
                    <a:srcRect b="38889"/>
                    <a:stretch/>
                  </pic:blipFill>
                  <pic:spPr bwMode="auto">
                    <a:xfrm>
                      <a:off x="0" y="0"/>
                      <a:ext cx="5697220" cy="5029200"/>
                    </a:xfrm>
                    <a:prstGeom prst="rect">
                      <a:avLst/>
                    </a:prstGeom>
                    <a:ln>
                      <a:noFill/>
                    </a:ln>
                    <a:extLst>
                      <a:ext uri="{53640926-AAD7-44D8-BBD7-CCE9431645EC}">
                        <a14:shadowObscured xmlns:a14="http://schemas.microsoft.com/office/drawing/2010/main"/>
                      </a:ext>
                    </a:extLst>
                  </pic:spPr>
                </pic:pic>
              </a:graphicData>
            </a:graphic>
          </wp:inline>
        </w:drawing>
      </w:r>
    </w:p>
    <w:p w14:paraId="21C55255" w14:textId="1CA68201" w:rsidR="000F72A3" w:rsidRPr="00E71ADA" w:rsidRDefault="000F72A3" w:rsidP="000F72A3">
      <w:pPr>
        <w:spacing w:line="480" w:lineRule="auto"/>
        <w:jc w:val="both"/>
        <w:rPr>
          <w:b/>
          <w:bCs/>
          <w:lang w:val="en-US"/>
        </w:rPr>
      </w:pPr>
      <w:r w:rsidRPr="00E31A2A">
        <w:rPr>
          <w:b/>
          <w:bCs/>
          <w:lang w:val="en-US"/>
        </w:rPr>
        <w:t>Figure S1.</w:t>
      </w:r>
      <w:r w:rsidRPr="00E31A2A">
        <w:rPr>
          <w:lang w:val="en-US"/>
        </w:rPr>
        <w:t xml:space="preserve"> </w:t>
      </w:r>
      <w:r w:rsidRPr="00E31A2A">
        <w:t>Further characterization of the longitudinal mutational landscap</w:t>
      </w:r>
      <w:r>
        <w:t>e.</w:t>
      </w:r>
      <w:r w:rsidR="00E71ADA">
        <w:rPr>
          <w:b/>
          <w:bCs/>
          <w:lang w:val="en-US"/>
        </w:rPr>
        <w:t xml:space="preserve"> </w:t>
      </w:r>
      <w:r w:rsidRPr="00E31A2A">
        <w:rPr>
          <w:b/>
          <w:bCs/>
        </w:rPr>
        <w:t>(</w:t>
      </w:r>
      <w:r>
        <w:rPr>
          <w:b/>
          <w:bCs/>
        </w:rPr>
        <w:t>a</w:t>
      </w:r>
      <w:r w:rsidRPr="00E31A2A">
        <w:rPr>
          <w:b/>
          <w:bCs/>
        </w:rPr>
        <w:t xml:space="preserve">) </w:t>
      </w:r>
      <w:r w:rsidRPr="004B18F9">
        <w:rPr>
          <w:lang w:val="en-US"/>
        </w:rPr>
        <w:t>Sources of the patients and samples. The newly collected samples are from Beijing Tiantan Hospital in China</w:t>
      </w:r>
      <w:r>
        <w:rPr>
          <w:lang w:val="en-US"/>
        </w:rPr>
        <w:t xml:space="preserve"> (CGGA)</w:t>
      </w:r>
      <w:r w:rsidRPr="004B18F9">
        <w:rPr>
          <w:lang w:val="en-US"/>
        </w:rPr>
        <w:t xml:space="preserve">, Samsung Medical Center </w:t>
      </w:r>
      <w:r>
        <w:rPr>
          <w:lang w:val="en-US"/>
        </w:rPr>
        <w:t xml:space="preserve">(SMC) </w:t>
      </w:r>
      <w:r w:rsidRPr="004B18F9">
        <w:rPr>
          <w:lang w:val="en-US"/>
        </w:rPr>
        <w:t>in Seoul, Korea, and Prince Whales Hospital of Chinese University of Hong Kong</w:t>
      </w:r>
      <w:r>
        <w:rPr>
          <w:lang w:val="en-US"/>
        </w:rPr>
        <w:t xml:space="preserve"> (CUHK)</w:t>
      </w:r>
      <w:r w:rsidRPr="004B18F9">
        <w:rPr>
          <w:lang w:val="en-US"/>
        </w:rPr>
        <w:t xml:space="preserve">. The others are from published data sources. </w:t>
      </w:r>
      <w:r>
        <w:rPr>
          <w:lang w:val="en-US"/>
        </w:rPr>
        <w:t xml:space="preserve">TCGA: The Cancer Genome Atlas; GLASS: Glioma Longitudinal Analysis; MSKCC: </w:t>
      </w:r>
      <w:r w:rsidRPr="002316F0">
        <w:rPr>
          <w:lang w:val="en-US"/>
        </w:rPr>
        <w:t>Memorial Sloan Kettering</w:t>
      </w:r>
      <w:r>
        <w:rPr>
          <w:lang w:val="en-US"/>
        </w:rPr>
        <w:t xml:space="preserve"> Cancer Center; </w:t>
      </w:r>
      <w:r>
        <w:rPr>
          <w:bCs/>
          <w:color w:val="000000" w:themeColor="text1"/>
          <w:lang w:val="en-US"/>
        </w:rPr>
        <w:t>MD Anderson: MD Anderson Cancer Center;</w:t>
      </w:r>
      <w:r>
        <w:rPr>
          <w:lang w:val="en-US"/>
        </w:rPr>
        <w:t xml:space="preserve"> UCSF: University of California at San Francisco; INCB: </w:t>
      </w:r>
      <w:r w:rsidRPr="002316F0">
        <w:rPr>
          <w:lang w:val="en-US"/>
        </w:rPr>
        <w:t xml:space="preserve">the </w:t>
      </w:r>
      <w:proofErr w:type="spellStart"/>
      <w:r w:rsidRPr="002316F0">
        <w:rPr>
          <w:lang w:val="en-US"/>
        </w:rPr>
        <w:t>Istituto</w:t>
      </w:r>
      <w:proofErr w:type="spellEnd"/>
      <w:r w:rsidRPr="002316F0">
        <w:rPr>
          <w:lang w:val="en-US"/>
        </w:rPr>
        <w:t xml:space="preserve"> </w:t>
      </w:r>
      <w:proofErr w:type="spellStart"/>
      <w:r w:rsidRPr="002316F0">
        <w:rPr>
          <w:lang w:val="en-US"/>
        </w:rPr>
        <w:t>Neurologico</w:t>
      </w:r>
      <w:proofErr w:type="spellEnd"/>
      <w:r w:rsidRPr="002316F0">
        <w:rPr>
          <w:lang w:val="en-US"/>
        </w:rPr>
        <w:t xml:space="preserve"> C. </w:t>
      </w:r>
      <w:proofErr w:type="spellStart"/>
      <w:r w:rsidRPr="002316F0">
        <w:rPr>
          <w:lang w:val="en-US"/>
        </w:rPr>
        <w:t>Besta</w:t>
      </w:r>
      <w:proofErr w:type="spellEnd"/>
      <w:r>
        <w:rPr>
          <w:lang w:val="en-US"/>
        </w:rPr>
        <w:t xml:space="preserve">. </w:t>
      </w:r>
      <w:r w:rsidRPr="004B18F9">
        <w:rPr>
          <w:b/>
          <w:bCs/>
          <w:lang w:val="en-US"/>
        </w:rPr>
        <w:t>(</w:t>
      </w:r>
      <w:r>
        <w:rPr>
          <w:b/>
          <w:bCs/>
          <w:lang w:val="en-US"/>
        </w:rPr>
        <w:t>b</w:t>
      </w:r>
      <w:r w:rsidRPr="004B18F9">
        <w:rPr>
          <w:b/>
          <w:bCs/>
          <w:lang w:val="en-US"/>
        </w:rPr>
        <w:t xml:space="preserve">) </w:t>
      </w:r>
      <w:r>
        <w:rPr>
          <w:lang w:val="en-US"/>
        </w:rPr>
        <w:t xml:space="preserve">Summary of </w:t>
      </w:r>
      <w:r w:rsidRPr="004B18F9">
        <w:rPr>
          <w:lang w:val="en-US"/>
        </w:rPr>
        <w:t xml:space="preserve">DNA and RNA sequencing data. DNA was sequenced using whole genome sequencing (WGS), whole exome sequencing (WES) or targeted panel sequencing. </w:t>
      </w:r>
      <w:r>
        <w:rPr>
          <w:b/>
          <w:bCs/>
          <w:lang w:val="en-US"/>
        </w:rPr>
        <w:t xml:space="preserve">(c) </w:t>
      </w:r>
      <w:r w:rsidRPr="00E31A2A">
        <w:t xml:space="preserve">Calibration of the mutation and copy </w:t>
      </w:r>
      <w:r w:rsidRPr="00E31A2A">
        <w:lastRenderedPageBreak/>
        <w:t xml:space="preserve">number alteration calling results. The analysis results of 27 glioma samples from The Cancer Genome Atlas (TCGA) using our pipeline is compared to </w:t>
      </w:r>
      <w:r>
        <w:t>the published results by</w:t>
      </w:r>
      <w:r w:rsidRPr="00E31A2A">
        <w:t xml:space="preserve"> TCGA. </w:t>
      </w:r>
      <w:r w:rsidRPr="00E31A2A">
        <w:rPr>
          <w:b/>
          <w:bCs/>
        </w:rPr>
        <w:t>(</w:t>
      </w:r>
      <w:r>
        <w:rPr>
          <w:b/>
          <w:bCs/>
        </w:rPr>
        <w:t>d</w:t>
      </w:r>
      <w:r w:rsidRPr="00E31A2A">
        <w:rPr>
          <w:b/>
          <w:bCs/>
        </w:rPr>
        <w:t>)</w:t>
      </w:r>
      <w:r w:rsidRPr="00E31A2A">
        <w:t xml:space="preserve"> Alteration frequencies of driver genes in our cohort and alterations frequencies in the TCGA cohort. The results are shown by three subtypes of glioma. </w:t>
      </w:r>
      <w:r w:rsidRPr="00E31A2A">
        <w:rPr>
          <w:b/>
          <w:bCs/>
        </w:rPr>
        <w:t>(</w:t>
      </w:r>
      <w:r>
        <w:rPr>
          <w:b/>
          <w:bCs/>
          <w:lang w:val="en-US"/>
        </w:rPr>
        <w:t xml:space="preserve">e) </w:t>
      </w:r>
      <w:r>
        <w:rPr>
          <w:lang w:val="en-US"/>
        </w:rPr>
        <w:t>Mutation burden in initial and recurrent tumors of IDHmut-codel, IDHmut-noncodel and IDHwt gliomas</w:t>
      </w:r>
      <w:r>
        <w:t xml:space="preserve">. The </w:t>
      </w:r>
      <w:r>
        <w:rPr>
          <w:i/>
          <w:iCs/>
        </w:rPr>
        <w:t>P</w:t>
      </w:r>
      <w:r>
        <w:t xml:space="preserve"> values were calculated by Wilcoxon’s rank-sum test.</w:t>
      </w:r>
    </w:p>
    <w:p w14:paraId="0425AB77" w14:textId="77777777" w:rsidR="000F72A3" w:rsidRDefault="000F72A3">
      <w:r>
        <w:br w:type="page"/>
      </w:r>
    </w:p>
    <w:p w14:paraId="24091FA6" w14:textId="76F56473" w:rsidR="000F72A3" w:rsidRPr="00E31A2A" w:rsidRDefault="000F72A3" w:rsidP="000F72A3">
      <w:pPr>
        <w:spacing w:line="480" w:lineRule="auto"/>
        <w:jc w:val="both"/>
        <w:rPr>
          <w:lang w:val="en-US"/>
        </w:rPr>
      </w:pPr>
      <w:r>
        <w:rPr>
          <w:noProof/>
          <w:lang w:val="en-US"/>
        </w:rPr>
        <w:lastRenderedPageBreak/>
        <w:drawing>
          <wp:inline distT="0" distB="0" distL="0" distR="0" wp14:anchorId="24D9C542" wp14:editId="1D213C2F">
            <wp:extent cx="5697220" cy="4676931"/>
            <wp:effectExtent l="0" t="0" r="508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rotWithShape="1">
                    <a:blip r:embed="rId5" cstate="print">
                      <a:extLst>
                        <a:ext uri="{28A0092B-C50C-407E-A947-70E740481C1C}">
                          <a14:useLocalDpi xmlns:a14="http://schemas.microsoft.com/office/drawing/2010/main" val="0"/>
                        </a:ext>
                      </a:extLst>
                    </a:blip>
                    <a:srcRect b="43170"/>
                    <a:stretch/>
                  </pic:blipFill>
                  <pic:spPr bwMode="auto">
                    <a:xfrm>
                      <a:off x="0" y="0"/>
                      <a:ext cx="5697220" cy="4676931"/>
                    </a:xfrm>
                    <a:prstGeom prst="rect">
                      <a:avLst/>
                    </a:prstGeom>
                    <a:ln>
                      <a:noFill/>
                    </a:ln>
                    <a:extLst>
                      <a:ext uri="{53640926-AAD7-44D8-BBD7-CCE9431645EC}">
                        <a14:shadowObscured xmlns:a14="http://schemas.microsoft.com/office/drawing/2010/main"/>
                      </a:ext>
                    </a:extLst>
                  </pic:spPr>
                </pic:pic>
              </a:graphicData>
            </a:graphic>
          </wp:inline>
        </w:drawing>
      </w:r>
      <w:r w:rsidRPr="000F72A3">
        <w:rPr>
          <w:b/>
          <w:bCs/>
          <w:lang w:val="en-US"/>
        </w:rPr>
        <w:t xml:space="preserve"> </w:t>
      </w:r>
      <w:r w:rsidRPr="00E31A2A">
        <w:rPr>
          <w:b/>
          <w:bCs/>
          <w:lang w:val="en-US"/>
        </w:rPr>
        <w:t>Figure S2.</w:t>
      </w:r>
      <w:r>
        <w:rPr>
          <w:lang w:val="en-US"/>
        </w:rPr>
        <w:t xml:space="preserve"> </w:t>
      </w:r>
      <w:r w:rsidRPr="00E31A2A">
        <w:rPr>
          <w:lang w:val="en-US"/>
        </w:rPr>
        <w:t xml:space="preserve">Additional characterization of glioma evolution </w:t>
      </w:r>
      <w:r>
        <w:rPr>
          <w:lang w:val="en-US"/>
        </w:rPr>
        <w:t>dynamics.</w:t>
      </w:r>
      <w:r w:rsidR="00E71ADA">
        <w:rPr>
          <w:lang w:val="en-US"/>
        </w:rPr>
        <w:t xml:space="preserve"> </w:t>
      </w:r>
      <w:r w:rsidRPr="00E31A2A">
        <w:rPr>
          <w:b/>
          <w:bCs/>
          <w:lang w:val="en-US"/>
        </w:rPr>
        <w:t>(</w:t>
      </w:r>
      <w:r>
        <w:rPr>
          <w:b/>
          <w:bCs/>
          <w:lang w:val="en-US"/>
        </w:rPr>
        <w:t>a-c</w:t>
      </w:r>
      <w:r w:rsidRPr="00E31A2A">
        <w:rPr>
          <w:b/>
          <w:bCs/>
          <w:lang w:val="en-US"/>
        </w:rPr>
        <w:t>)</w:t>
      </w:r>
      <w:r w:rsidRPr="00E31A2A">
        <w:rPr>
          <w:lang w:val="en-US"/>
        </w:rPr>
        <w:t xml:space="preserve"> </w:t>
      </w:r>
      <w:r w:rsidRPr="00E31A2A">
        <w:t>Ternary plot of mutation frequency in driver genes</w:t>
      </w:r>
      <w:r>
        <w:t xml:space="preserve"> in IDHwt (a), IDHmut-noncodel (b) and IDHmut-codel gliomas (c)</w:t>
      </w:r>
      <w:r w:rsidRPr="00E31A2A">
        <w:t xml:space="preserve">, comparing mutations that are private to initial (left, magenta), private to recurrent (right, dark blue) and shared (top, orange). The </w:t>
      </w:r>
      <w:proofErr w:type="spellStart"/>
      <w:r w:rsidRPr="00E31A2A">
        <w:t>color</w:t>
      </w:r>
      <w:proofErr w:type="spellEnd"/>
      <w:r w:rsidRPr="00E31A2A">
        <w:t xml:space="preserve"> of each node indicates relative frequency of the mutation to be private to initial</w:t>
      </w:r>
      <w:r>
        <w:t>,</w:t>
      </w:r>
      <w:r w:rsidRPr="00E31A2A">
        <w:t xml:space="preserve"> shared, or private to recurrent, whereas the node size represents the </w:t>
      </w:r>
      <w:r>
        <w:t>alteration frequency</w:t>
      </w:r>
      <w:r w:rsidRPr="00E31A2A">
        <w:t xml:space="preserve"> </w:t>
      </w:r>
      <w:r>
        <w:t>in each subtype of glioma</w:t>
      </w:r>
      <w:r w:rsidRPr="00E31A2A">
        <w:t>.</w:t>
      </w:r>
      <w:r w:rsidRPr="004B18F9">
        <w:rPr>
          <w:b/>
          <w:bCs/>
          <w:lang w:val="en-US"/>
        </w:rPr>
        <w:t xml:space="preserve"> (</w:t>
      </w:r>
      <w:r>
        <w:rPr>
          <w:b/>
          <w:bCs/>
          <w:lang w:val="en-US"/>
        </w:rPr>
        <w:t>d-f</w:t>
      </w:r>
      <w:r w:rsidRPr="004B18F9">
        <w:rPr>
          <w:b/>
          <w:bCs/>
          <w:lang w:val="en-US"/>
        </w:rPr>
        <w:t>)</w:t>
      </w:r>
      <w:r>
        <w:rPr>
          <w:b/>
          <w:bCs/>
          <w:lang w:val="en-US"/>
        </w:rPr>
        <w:t xml:space="preserve"> </w:t>
      </w:r>
      <w:r w:rsidRPr="004B18F9">
        <w:rPr>
          <w:lang w:val="en-US"/>
        </w:rPr>
        <w:t xml:space="preserve">Tumor evolution directed graph (TEDG) showing the </w:t>
      </w:r>
      <w:r>
        <w:rPr>
          <w:lang w:val="en-US"/>
        </w:rPr>
        <w:t xml:space="preserve">inferred </w:t>
      </w:r>
      <w:r w:rsidRPr="004B18F9">
        <w:rPr>
          <w:lang w:val="en-US"/>
        </w:rPr>
        <w:t>order of mutations in IDH-wildtype glioma (</w:t>
      </w:r>
      <w:r>
        <w:rPr>
          <w:lang w:val="en-US"/>
        </w:rPr>
        <w:t>d</w:t>
      </w:r>
      <w:r w:rsidRPr="004B18F9">
        <w:rPr>
          <w:lang w:val="en-US"/>
        </w:rPr>
        <w:t>), IDH-mutant-non-codel glioma (</w:t>
      </w:r>
      <w:r>
        <w:rPr>
          <w:lang w:val="en-US"/>
        </w:rPr>
        <w:t>e</w:t>
      </w:r>
      <w:r w:rsidRPr="004B18F9">
        <w:rPr>
          <w:lang w:val="en-US"/>
        </w:rPr>
        <w:t>) and IDH-mutant-codel glioma (</w:t>
      </w:r>
      <w:r>
        <w:rPr>
          <w:lang w:val="en-US"/>
        </w:rPr>
        <w:t>f</w:t>
      </w:r>
      <w:r w:rsidRPr="004B18F9">
        <w:rPr>
          <w:lang w:val="en-US"/>
        </w:rPr>
        <w:t xml:space="preserve">). The color of the nodes reflects the evolutionary order, while the size indicates the alterations frequency in each subtype. The width of the edges reflects </w:t>
      </w:r>
      <w:r w:rsidRPr="004B18F9">
        <w:rPr>
          <w:lang w:val="en-US"/>
        </w:rPr>
        <w:lastRenderedPageBreak/>
        <w:t xml:space="preserve">the number of cases supporting that order. </w:t>
      </w:r>
      <w:r w:rsidRPr="00513F84">
        <w:rPr>
          <w:b/>
          <w:bCs/>
          <w:lang w:val="en-US"/>
        </w:rPr>
        <w:t>(</w:t>
      </w:r>
      <w:r>
        <w:rPr>
          <w:b/>
          <w:bCs/>
          <w:lang w:val="en-US"/>
        </w:rPr>
        <w:t>g-h</w:t>
      </w:r>
      <w:r w:rsidRPr="00513F84">
        <w:rPr>
          <w:b/>
          <w:bCs/>
          <w:lang w:val="en-US"/>
        </w:rPr>
        <w:t>)</w:t>
      </w:r>
      <w:r>
        <w:rPr>
          <w:lang w:val="en-US"/>
        </w:rPr>
        <w:t xml:space="preserve"> </w:t>
      </w:r>
      <w:r w:rsidRPr="004B18F9">
        <w:rPr>
          <w:lang w:val="en-US"/>
        </w:rPr>
        <w:t xml:space="preserve">Sankey plot showing the changes of </w:t>
      </w:r>
      <w:r>
        <w:rPr>
          <w:lang w:val="en-US"/>
        </w:rPr>
        <w:t xml:space="preserve">pathological </w:t>
      </w:r>
      <w:r w:rsidRPr="004B18F9">
        <w:rPr>
          <w:lang w:val="en-US"/>
        </w:rPr>
        <w:t xml:space="preserve">grade </w:t>
      </w:r>
      <w:r>
        <w:rPr>
          <w:lang w:val="en-US"/>
        </w:rPr>
        <w:t xml:space="preserve">(g) </w:t>
      </w:r>
      <w:r w:rsidRPr="004B18F9">
        <w:rPr>
          <w:lang w:val="en-US"/>
        </w:rPr>
        <w:t xml:space="preserve">and hypermutations status </w:t>
      </w:r>
      <w:r>
        <w:rPr>
          <w:lang w:val="en-US"/>
        </w:rPr>
        <w:t xml:space="preserve">(h) </w:t>
      </w:r>
      <w:r w:rsidRPr="004B18F9">
        <w:rPr>
          <w:lang w:val="en-US"/>
        </w:rPr>
        <w:t xml:space="preserve">during </w:t>
      </w:r>
      <w:r>
        <w:rPr>
          <w:lang w:val="en-US"/>
        </w:rPr>
        <w:t xml:space="preserve">glioma </w:t>
      </w:r>
      <w:r w:rsidRPr="004B18F9">
        <w:rPr>
          <w:lang w:val="en-US"/>
        </w:rPr>
        <w:t>evolution.</w:t>
      </w:r>
    </w:p>
    <w:p w14:paraId="0ECCED3E" w14:textId="750450FE" w:rsidR="00F76EA2" w:rsidRPr="00DB369F" w:rsidRDefault="000F72A3" w:rsidP="00F76EA2">
      <w:pPr>
        <w:spacing w:line="480" w:lineRule="auto"/>
        <w:jc w:val="both"/>
        <w:rPr>
          <w:lang w:val="en-US"/>
        </w:rPr>
      </w:pPr>
      <w:r>
        <w:rPr>
          <w:noProof/>
          <w:lang w:val="en-US"/>
        </w:rPr>
        <w:drawing>
          <wp:inline distT="0" distB="0" distL="0" distR="0" wp14:anchorId="67CF7187" wp14:editId="688CCF40">
            <wp:extent cx="5697220" cy="3800007"/>
            <wp:effectExtent l="0" t="0" r="5080" b="0"/>
            <wp:docPr id="3"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pic:nvPicPr>
                  <pic:blipFill rotWithShape="1">
                    <a:blip r:embed="rId6" cstate="print">
                      <a:extLst>
                        <a:ext uri="{28A0092B-C50C-407E-A947-70E740481C1C}">
                          <a14:useLocalDpi xmlns:a14="http://schemas.microsoft.com/office/drawing/2010/main" val="0"/>
                        </a:ext>
                      </a:extLst>
                    </a:blip>
                    <a:srcRect b="53825"/>
                    <a:stretch/>
                  </pic:blipFill>
                  <pic:spPr bwMode="auto">
                    <a:xfrm>
                      <a:off x="0" y="0"/>
                      <a:ext cx="5697220" cy="3800007"/>
                    </a:xfrm>
                    <a:prstGeom prst="rect">
                      <a:avLst/>
                    </a:prstGeom>
                    <a:ln>
                      <a:noFill/>
                    </a:ln>
                    <a:extLst>
                      <a:ext uri="{53640926-AAD7-44D8-BBD7-CCE9431645EC}">
                        <a14:shadowObscured xmlns:a14="http://schemas.microsoft.com/office/drawing/2010/main"/>
                      </a:ext>
                    </a:extLst>
                  </pic:spPr>
                </pic:pic>
              </a:graphicData>
            </a:graphic>
          </wp:inline>
        </w:drawing>
      </w:r>
      <w:r w:rsidR="00F76EA2" w:rsidRPr="00F76EA2">
        <w:rPr>
          <w:b/>
          <w:bCs/>
          <w:lang w:val="en-US"/>
        </w:rPr>
        <w:t xml:space="preserve"> </w:t>
      </w:r>
      <w:r w:rsidR="00F76EA2" w:rsidRPr="00E31A2A">
        <w:rPr>
          <w:b/>
          <w:bCs/>
          <w:lang w:val="en-US"/>
        </w:rPr>
        <w:t>Figure S3.</w:t>
      </w:r>
      <w:r w:rsidR="00F76EA2">
        <w:rPr>
          <w:lang w:val="en-US"/>
        </w:rPr>
        <w:t xml:space="preserve"> </w:t>
      </w:r>
      <w:r w:rsidR="00F76EA2" w:rsidRPr="00F1474F">
        <w:rPr>
          <w:lang w:val="en-US"/>
        </w:rPr>
        <w:t>Grade progression and survival</w:t>
      </w:r>
      <w:r w:rsidR="00F76EA2">
        <w:rPr>
          <w:lang w:val="en-US"/>
        </w:rPr>
        <w:t xml:space="preserve">. </w:t>
      </w:r>
      <w:r w:rsidR="00F76EA2" w:rsidRPr="00E31A2A">
        <w:rPr>
          <w:b/>
          <w:bCs/>
          <w:lang w:val="en-US"/>
        </w:rPr>
        <w:t>(</w:t>
      </w:r>
      <w:r w:rsidR="00F76EA2">
        <w:rPr>
          <w:b/>
          <w:bCs/>
          <w:lang w:val="en-US"/>
        </w:rPr>
        <w:t>a</w:t>
      </w:r>
      <w:r w:rsidR="00F76EA2" w:rsidRPr="00E31A2A">
        <w:rPr>
          <w:b/>
          <w:bCs/>
          <w:lang w:val="en-US"/>
        </w:rPr>
        <w:t>)</w:t>
      </w:r>
      <w:r w:rsidR="00F76EA2" w:rsidRPr="00E31A2A">
        <w:rPr>
          <w:lang w:val="en-US"/>
        </w:rPr>
        <w:t xml:space="preserve"> Overall survival of three subtypes of LGGs from TCGA, stratified by whether they were predicted to progress to GBM at recurrence. </w:t>
      </w:r>
      <w:r w:rsidR="00F76EA2" w:rsidRPr="00E31A2A">
        <w:rPr>
          <w:b/>
          <w:bCs/>
          <w:lang w:val="en-US"/>
        </w:rPr>
        <w:t>(</w:t>
      </w:r>
      <w:r w:rsidR="00F76EA2">
        <w:rPr>
          <w:b/>
          <w:bCs/>
          <w:lang w:val="en-US"/>
        </w:rPr>
        <w:t>b</w:t>
      </w:r>
      <w:r w:rsidR="00F76EA2" w:rsidRPr="00E31A2A">
        <w:rPr>
          <w:b/>
          <w:bCs/>
          <w:lang w:val="en-US"/>
        </w:rPr>
        <w:t xml:space="preserve">) </w:t>
      </w:r>
      <w:r w:rsidR="00F76EA2" w:rsidRPr="00E31A2A">
        <w:rPr>
          <w:lang w:val="en-US"/>
        </w:rPr>
        <w:t>Progression-free survival of three subtypes of LGGs from TCGA, stratified by whether they were predicted to progress to GBM at recurrence.</w:t>
      </w:r>
      <w:r w:rsidR="00F76EA2">
        <w:rPr>
          <w:lang w:val="en-US"/>
        </w:rPr>
        <w:t xml:space="preserve"> The </w:t>
      </w:r>
      <w:r w:rsidR="00F76EA2">
        <w:rPr>
          <w:i/>
          <w:iCs/>
          <w:lang w:val="en-US"/>
        </w:rPr>
        <w:t>P</w:t>
      </w:r>
      <w:r w:rsidR="00F76EA2">
        <w:rPr>
          <w:lang w:val="en-US"/>
        </w:rPr>
        <w:t xml:space="preserve"> values were calculated by log-rank test.</w:t>
      </w:r>
    </w:p>
    <w:p w14:paraId="073A200F" w14:textId="1D5AFFC4" w:rsidR="00F76EA2" w:rsidRPr="0030765C" w:rsidRDefault="000F72A3" w:rsidP="00F76EA2">
      <w:pPr>
        <w:spacing w:line="480" w:lineRule="auto"/>
        <w:jc w:val="both"/>
        <w:rPr>
          <w:b/>
          <w:bCs/>
          <w:lang w:val="en-US"/>
        </w:rPr>
      </w:pPr>
      <w:r>
        <w:rPr>
          <w:noProof/>
          <w:lang w:val="en-US"/>
        </w:rPr>
        <w:lastRenderedPageBreak/>
        <w:drawing>
          <wp:inline distT="0" distB="0" distL="0" distR="0" wp14:anchorId="0C60CC50" wp14:editId="3DB69B7E">
            <wp:extent cx="5697220" cy="5868649"/>
            <wp:effectExtent l="0" t="0" r="508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rotWithShape="1">
                    <a:blip r:embed="rId7" cstate="print">
                      <a:extLst>
                        <a:ext uri="{28A0092B-C50C-407E-A947-70E740481C1C}">
                          <a14:useLocalDpi xmlns:a14="http://schemas.microsoft.com/office/drawing/2010/main" val="0"/>
                        </a:ext>
                      </a:extLst>
                    </a:blip>
                    <a:srcRect b="28689"/>
                    <a:stretch/>
                  </pic:blipFill>
                  <pic:spPr bwMode="auto">
                    <a:xfrm>
                      <a:off x="0" y="0"/>
                      <a:ext cx="5697220" cy="5868649"/>
                    </a:xfrm>
                    <a:prstGeom prst="rect">
                      <a:avLst/>
                    </a:prstGeom>
                    <a:ln>
                      <a:noFill/>
                    </a:ln>
                    <a:extLst>
                      <a:ext uri="{53640926-AAD7-44D8-BBD7-CCE9431645EC}">
                        <a14:shadowObscured xmlns:a14="http://schemas.microsoft.com/office/drawing/2010/main"/>
                      </a:ext>
                    </a:extLst>
                  </pic:spPr>
                </pic:pic>
              </a:graphicData>
            </a:graphic>
          </wp:inline>
        </w:drawing>
      </w:r>
      <w:r w:rsidR="00F76EA2" w:rsidRPr="00F76EA2">
        <w:rPr>
          <w:b/>
          <w:bCs/>
          <w:lang w:val="en-US"/>
        </w:rPr>
        <w:t xml:space="preserve"> </w:t>
      </w:r>
      <w:r w:rsidR="00BB5BFE">
        <w:rPr>
          <w:b/>
          <w:bCs/>
          <w:lang w:val="en-US"/>
        </w:rPr>
        <w:t xml:space="preserve">Extended Data Fig. </w:t>
      </w:r>
      <w:r w:rsidR="00F76EA2">
        <w:rPr>
          <w:b/>
          <w:bCs/>
          <w:lang w:val="en-US"/>
        </w:rPr>
        <w:t xml:space="preserve">4 </w:t>
      </w:r>
      <w:r w:rsidR="00F76EA2" w:rsidRPr="0030765C">
        <w:rPr>
          <w:lang w:val="en-US"/>
        </w:rPr>
        <w:t>Genomic and transcriptomic characterization of TMZ-associated hypermutation.</w:t>
      </w:r>
      <w:r w:rsidR="00F76EA2">
        <w:rPr>
          <w:b/>
          <w:bCs/>
          <w:lang w:val="en-US"/>
        </w:rPr>
        <w:t xml:space="preserve"> </w:t>
      </w:r>
      <w:r w:rsidR="00F76EA2" w:rsidRPr="0030765C">
        <w:rPr>
          <w:b/>
          <w:bCs/>
          <w:lang w:val="en-US"/>
        </w:rPr>
        <w:t>(</w:t>
      </w:r>
      <w:r w:rsidR="00F76EA2">
        <w:rPr>
          <w:b/>
          <w:bCs/>
          <w:lang w:val="en-US"/>
        </w:rPr>
        <w:t>a</w:t>
      </w:r>
      <w:r w:rsidR="00F76EA2" w:rsidRPr="0030765C">
        <w:rPr>
          <w:b/>
          <w:bCs/>
          <w:lang w:val="en-US"/>
        </w:rPr>
        <w:t>)</w:t>
      </w:r>
      <w:r w:rsidR="00F76EA2">
        <w:rPr>
          <w:lang w:val="en-US"/>
        </w:rPr>
        <w:t xml:space="preserve"> </w:t>
      </w:r>
      <w:r w:rsidR="00F76EA2" w:rsidRPr="00292115">
        <w:rPr>
          <w:lang w:val="en-US"/>
        </w:rPr>
        <w:t xml:space="preserve">Mutation load and hypermutation score of glioma samples in this cohort. The samples </w:t>
      </w:r>
      <w:r w:rsidR="00F76EA2">
        <w:rPr>
          <w:lang w:val="en-US"/>
        </w:rPr>
        <w:t>whose</w:t>
      </w:r>
      <w:r w:rsidR="00F76EA2" w:rsidRPr="00292115">
        <w:rPr>
          <w:lang w:val="en-US"/>
        </w:rPr>
        <w:t xml:space="preserve"> mutation load &gt;10 mutations/Mb and hypermutation score &gt;1 </w:t>
      </w:r>
      <w:proofErr w:type="gramStart"/>
      <w:r w:rsidR="00F76EA2" w:rsidRPr="00292115">
        <w:rPr>
          <w:lang w:val="en-US"/>
        </w:rPr>
        <w:t>w</w:t>
      </w:r>
      <w:r w:rsidR="00F76EA2">
        <w:rPr>
          <w:lang w:val="en-US"/>
        </w:rPr>
        <w:t>ere</w:t>
      </w:r>
      <w:proofErr w:type="gramEnd"/>
      <w:r w:rsidR="00F76EA2" w:rsidRPr="00292115">
        <w:rPr>
          <w:lang w:val="en-US"/>
        </w:rPr>
        <w:t xml:space="preserve"> classified as hypermutators (HM, in orange color), while the others were classified as non-hypermutators (NHM, in grey color). The shape of the points corresponds to the sequencing protocol. </w:t>
      </w:r>
      <w:r w:rsidR="00F76EA2" w:rsidRPr="00292115">
        <w:rPr>
          <w:b/>
          <w:bCs/>
          <w:lang w:val="en-US"/>
        </w:rPr>
        <w:t>(</w:t>
      </w:r>
      <w:r w:rsidR="00F76EA2">
        <w:rPr>
          <w:b/>
          <w:bCs/>
          <w:lang w:val="en-US"/>
        </w:rPr>
        <w:t>b</w:t>
      </w:r>
      <w:r w:rsidR="00F76EA2" w:rsidRPr="00292115">
        <w:rPr>
          <w:b/>
          <w:bCs/>
          <w:lang w:val="en-US"/>
        </w:rPr>
        <w:t xml:space="preserve">) </w:t>
      </w:r>
      <w:r w:rsidR="00F76EA2" w:rsidRPr="00B9473D">
        <w:rPr>
          <w:lang w:val="en-US"/>
        </w:rPr>
        <w:t xml:space="preserve">Sankey plot showing the breakdown of HM status by alkylator treatment history and grade at recurrence. </w:t>
      </w:r>
      <w:r w:rsidR="00F76EA2" w:rsidRPr="00B9473D">
        <w:rPr>
          <w:lang w:val="en-US"/>
        </w:rPr>
        <w:lastRenderedPageBreak/>
        <w:t xml:space="preserve">The band width reflects the number of patients, while the band color indicates HM status. </w:t>
      </w:r>
      <w:r w:rsidR="00F76EA2" w:rsidRPr="00B9473D">
        <w:rPr>
          <w:b/>
          <w:bCs/>
          <w:lang w:val="en-US"/>
        </w:rPr>
        <w:t>(</w:t>
      </w:r>
      <w:r w:rsidR="00F76EA2">
        <w:rPr>
          <w:b/>
          <w:bCs/>
          <w:lang w:val="en-US"/>
        </w:rPr>
        <w:t>c</w:t>
      </w:r>
      <w:r w:rsidR="00F76EA2" w:rsidRPr="00B9473D">
        <w:rPr>
          <w:b/>
          <w:bCs/>
          <w:lang w:val="en-US"/>
        </w:rPr>
        <w:t>)</w:t>
      </w:r>
      <w:r w:rsidR="00F76EA2" w:rsidRPr="00B9473D">
        <w:rPr>
          <w:lang w:val="en-US"/>
        </w:rPr>
        <w:t xml:space="preserve"> </w:t>
      </w:r>
      <w:r w:rsidR="00F76EA2" w:rsidRPr="00F1474F">
        <w:rPr>
          <w:lang w:val="en-US"/>
        </w:rPr>
        <w:t xml:space="preserve">Overall survival of three </w:t>
      </w:r>
      <w:r w:rsidR="00F76EA2">
        <w:rPr>
          <w:lang w:val="en-US"/>
        </w:rPr>
        <w:t>molecular sub</w:t>
      </w:r>
      <w:r w:rsidR="00F76EA2" w:rsidRPr="00F1474F">
        <w:rPr>
          <w:lang w:val="en-US"/>
        </w:rPr>
        <w:t>types</w:t>
      </w:r>
      <w:r w:rsidR="00F76EA2">
        <w:rPr>
          <w:lang w:val="en-US"/>
        </w:rPr>
        <w:t xml:space="preserve"> </w:t>
      </w:r>
      <w:r w:rsidR="00F76EA2" w:rsidRPr="00F1474F">
        <w:rPr>
          <w:lang w:val="en-US"/>
        </w:rPr>
        <w:t xml:space="preserve">of recurrent gliomas, stratified by hypermutation status at recurrence. </w:t>
      </w:r>
      <w:r w:rsidR="00F76EA2">
        <w:rPr>
          <w:lang w:val="en-US"/>
        </w:rPr>
        <w:t xml:space="preserve">The </w:t>
      </w:r>
      <w:r w:rsidR="00F76EA2">
        <w:rPr>
          <w:i/>
          <w:iCs/>
          <w:lang w:val="en-US"/>
        </w:rPr>
        <w:t xml:space="preserve">P </w:t>
      </w:r>
      <w:r w:rsidR="00F76EA2">
        <w:rPr>
          <w:lang w:val="en-US"/>
        </w:rPr>
        <w:t xml:space="preserve">values were calculated by log-rank test. </w:t>
      </w:r>
      <w:r w:rsidR="00F76EA2" w:rsidRPr="0030765C">
        <w:rPr>
          <w:b/>
          <w:bCs/>
          <w:lang w:val="en-US"/>
        </w:rPr>
        <w:t>(</w:t>
      </w:r>
      <w:r w:rsidR="00F76EA2">
        <w:rPr>
          <w:b/>
          <w:bCs/>
          <w:lang w:val="en-US"/>
        </w:rPr>
        <w:t>d</w:t>
      </w:r>
      <w:r w:rsidR="00F76EA2" w:rsidRPr="0030765C">
        <w:rPr>
          <w:b/>
          <w:bCs/>
          <w:lang w:val="en-US"/>
        </w:rPr>
        <w:t>)</w:t>
      </w:r>
      <w:r w:rsidR="00F76EA2">
        <w:rPr>
          <w:lang w:val="en-US"/>
        </w:rPr>
        <w:t xml:space="preserve"> </w:t>
      </w:r>
      <w:r w:rsidR="00F76EA2" w:rsidRPr="00292115">
        <w:rPr>
          <w:lang w:val="en-US"/>
        </w:rPr>
        <w:t>Landscape of mismatch repair genes in the HM samples.</w:t>
      </w:r>
      <w:r w:rsidR="00F76EA2">
        <w:rPr>
          <w:lang w:val="en-US"/>
        </w:rPr>
        <w:t xml:space="preserve"> </w:t>
      </w:r>
      <w:r w:rsidR="00F76EA2" w:rsidRPr="00292115">
        <w:rPr>
          <w:b/>
          <w:bCs/>
          <w:lang w:val="en-US"/>
        </w:rPr>
        <w:t>(</w:t>
      </w:r>
      <w:r w:rsidR="00F76EA2">
        <w:rPr>
          <w:b/>
          <w:bCs/>
          <w:lang w:val="en-US"/>
        </w:rPr>
        <w:t>e</w:t>
      </w:r>
      <w:r w:rsidR="00F76EA2" w:rsidRPr="00292115">
        <w:rPr>
          <w:b/>
          <w:bCs/>
          <w:lang w:val="en-US"/>
        </w:rPr>
        <w:t>)</w:t>
      </w:r>
      <w:r w:rsidR="00F76EA2">
        <w:rPr>
          <w:lang w:val="en-US"/>
        </w:rPr>
        <w:t xml:space="preserve"> Differential gene expression analysis comparing hypermutated (HM, n = 24) and non-hypermutated (NHM, n = 155) TMZ-treated gliomas</w:t>
      </w:r>
      <w:r w:rsidR="00F76EA2" w:rsidRPr="00365A5A">
        <w:rPr>
          <w:lang w:val="en-US"/>
        </w:rPr>
        <w:t>.</w:t>
      </w:r>
      <w:r w:rsidR="00F76EA2" w:rsidRPr="00292115">
        <w:rPr>
          <w:lang w:val="en-US"/>
        </w:rPr>
        <w:t xml:space="preserve"> </w:t>
      </w:r>
      <w:r w:rsidR="00F76EA2" w:rsidRPr="00292115">
        <w:rPr>
          <w:b/>
          <w:bCs/>
          <w:lang w:val="en-US"/>
        </w:rPr>
        <w:t>(</w:t>
      </w:r>
      <w:r w:rsidR="00F76EA2">
        <w:rPr>
          <w:b/>
          <w:bCs/>
          <w:lang w:val="en-US"/>
        </w:rPr>
        <w:t>f</w:t>
      </w:r>
      <w:r w:rsidR="00F76EA2" w:rsidRPr="00292115">
        <w:rPr>
          <w:b/>
          <w:bCs/>
          <w:lang w:val="en-US"/>
        </w:rPr>
        <w:t>)</w:t>
      </w:r>
      <w:r w:rsidR="00F76EA2" w:rsidRPr="00292115">
        <w:rPr>
          <w:lang w:val="en-US"/>
        </w:rPr>
        <w:t xml:space="preserve"> Significantly up- and down-regulated pathways in the HM</w:t>
      </w:r>
      <w:r w:rsidR="00F76EA2">
        <w:rPr>
          <w:lang w:val="en-US"/>
        </w:rPr>
        <w:t xml:space="preserve"> samples</w:t>
      </w:r>
      <w:r w:rsidR="00F76EA2" w:rsidRPr="00292115">
        <w:rPr>
          <w:lang w:val="en-US"/>
        </w:rPr>
        <w:t xml:space="preserve"> revealed by gene set enrichment analysis (GSEA). The </w:t>
      </w:r>
      <w:r w:rsidR="00F76EA2" w:rsidRPr="00292115">
        <w:rPr>
          <w:i/>
          <w:iCs/>
          <w:lang w:val="en-US"/>
        </w:rPr>
        <w:t>P</w:t>
      </w:r>
      <w:r w:rsidR="00F76EA2" w:rsidRPr="00292115">
        <w:rPr>
          <w:lang w:val="en-US"/>
        </w:rPr>
        <w:t xml:space="preserve"> values were calculated by the GSEA software.</w:t>
      </w:r>
    </w:p>
    <w:p w14:paraId="638E4B28" w14:textId="3319E982" w:rsidR="00F76EA2" w:rsidRPr="00E71ADA" w:rsidRDefault="000F72A3" w:rsidP="00F76EA2">
      <w:pPr>
        <w:spacing w:line="480" w:lineRule="auto"/>
        <w:jc w:val="both"/>
        <w:rPr>
          <w:b/>
          <w:bCs/>
          <w:lang w:val="en-US"/>
        </w:rPr>
      </w:pPr>
      <w:r>
        <w:rPr>
          <w:noProof/>
          <w:lang w:val="en-US"/>
        </w:rPr>
        <w:lastRenderedPageBreak/>
        <w:drawing>
          <wp:inline distT="0" distB="0" distL="0" distR="0" wp14:anchorId="1F981678" wp14:editId="444EC3DA">
            <wp:extent cx="5697220" cy="6985416"/>
            <wp:effectExtent l="0" t="0" r="508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rotWithShape="1">
                    <a:blip r:embed="rId8" cstate="print">
                      <a:extLst>
                        <a:ext uri="{28A0092B-C50C-407E-A947-70E740481C1C}">
                          <a14:useLocalDpi xmlns:a14="http://schemas.microsoft.com/office/drawing/2010/main" val="0"/>
                        </a:ext>
                      </a:extLst>
                    </a:blip>
                    <a:srcRect b="15119"/>
                    <a:stretch/>
                  </pic:blipFill>
                  <pic:spPr bwMode="auto">
                    <a:xfrm>
                      <a:off x="0" y="0"/>
                      <a:ext cx="5697220" cy="6985416"/>
                    </a:xfrm>
                    <a:prstGeom prst="rect">
                      <a:avLst/>
                    </a:prstGeom>
                    <a:ln>
                      <a:noFill/>
                    </a:ln>
                    <a:extLst>
                      <a:ext uri="{53640926-AAD7-44D8-BBD7-CCE9431645EC}">
                        <a14:shadowObscured xmlns:a14="http://schemas.microsoft.com/office/drawing/2010/main"/>
                      </a:ext>
                    </a:extLst>
                  </pic:spPr>
                </pic:pic>
              </a:graphicData>
            </a:graphic>
          </wp:inline>
        </w:drawing>
      </w:r>
      <w:r w:rsidR="00F76EA2" w:rsidRPr="00F76EA2">
        <w:rPr>
          <w:b/>
          <w:bCs/>
          <w:lang w:val="en-US"/>
        </w:rPr>
        <w:t xml:space="preserve"> </w:t>
      </w:r>
      <w:r w:rsidR="00BB5BFE">
        <w:rPr>
          <w:b/>
          <w:bCs/>
          <w:lang w:val="en-US"/>
        </w:rPr>
        <w:t xml:space="preserve">Extended Data Fig. </w:t>
      </w:r>
      <w:r w:rsidR="00F76EA2" w:rsidRPr="005B12B0">
        <w:rPr>
          <w:b/>
          <w:bCs/>
          <w:lang w:val="en-US"/>
        </w:rPr>
        <w:t>5</w:t>
      </w:r>
      <w:r w:rsidR="00F76EA2" w:rsidRPr="005B12B0">
        <w:rPr>
          <w:lang w:val="en-US"/>
        </w:rPr>
        <w:t xml:space="preserve"> </w:t>
      </w:r>
      <w:r w:rsidR="00F76EA2" w:rsidRPr="005B12B0">
        <w:t>Genomic and transcriptomic features predicting hypermutation at recurrenc</w:t>
      </w:r>
      <w:r w:rsidR="00F76EA2">
        <w:t>e.</w:t>
      </w:r>
      <w:r w:rsidR="00E71ADA">
        <w:rPr>
          <w:b/>
          <w:bCs/>
          <w:lang w:val="en-US"/>
        </w:rPr>
        <w:t xml:space="preserve"> </w:t>
      </w:r>
      <w:r w:rsidR="00F76EA2" w:rsidRPr="005B12B0">
        <w:rPr>
          <w:b/>
          <w:bCs/>
        </w:rPr>
        <w:t>(</w:t>
      </w:r>
      <w:r w:rsidR="00F76EA2">
        <w:rPr>
          <w:b/>
          <w:bCs/>
        </w:rPr>
        <w:t>a</w:t>
      </w:r>
      <w:r w:rsidR="00F76EA2" w:rsidRPr="005B12B0">
        <w:rPr>
          <w:b/>
          <w:bCs/>
        </w:rPr>
        <w:t xml:space="preserve">) </w:t>
      </w:r>
      <w:r w:rsidR="00F76EA2" w:rsidRPr="00F1474F">
        <w:t xml:space="preserve">Differential gene expression analysis comparing initial glioma of HM </w:t>
      </w:r>
      <w:r w:rsidR="00F76EA2">
        <w:t xml:space="preserve">(pre-HM, n = 21) </w:t>
      </w:r>
      <w:r w:rsidR="00F76EA2" w:rsidRPr="00F1474F">
        <w:t>and initial glioma</w:t>
      </w:r>
      <w:r w:rsidR="00F76EA2">
        <w:t xml:space="preserve"> of N</w:t>
      </w:r>
      <w:r w:rsidR="00F76EA2" w:rsidRPr="00F1474F">
        <w:t>HM</w:t>
      </w:r>
      <w:r w:rsidR="00F76EA2">
        <w:t xml:space="preserve"> (pre-NHM, n = 143)</w:t>
      </w:r>
      <w:r w:rsidR="00F76EA2" w:rsidRPr="00F1474F">
        <w:t xml:space="preserve">. </w:t>
      </w:r>
      <w:r w:rsidR="00F76EA2" w:rsidRPr="00F1474F">
        <w:rPr>
          <w:b/>
          <w:bCs/>
        </w:rPr>
        <w:t>(</w:t>
      </w:r>
      <w:r w:rsidR="00F76EA2">
        <w:rPr>
          <w:b/>
          <w:bCs/>
        </w:rPr>
        <w:t>b</w:t>
      </w:r>
      <w:r w:rsidR="00F76EA2" w:rsidRPr="00F1474F">
        <w:rPr>
          <w:b/>
          <w:bCs/>
        </w:rPr>
        <w:t>)</w:t>
      </w:r>
      <w:r w:rsidR="00F76EA2" w:rsidRPr="00F1474F">
        <w:t xml:space="preserve"> </w:t>
      </w:r>
      <w:r w:rsidR="00F76EA2">
        <w:t xml:space="preserve">Significantly up- and down-regulated </w:t>
      </w:r>
      <w:r w:rsidR="00F76EA2">
        <w:lastRenderedPageBreak/>
        <w:t xml:space="preserve">pathways in </w:t>
      </w:r>
      <w:r w:rsidR="00F76EA2" w:rsidRPr="00F1474F">
        <w:t>initial glioma of HM</w:t>
      </w:r>
      <w:r w:rsidR="00F76EA2">
        <w:t xml:space="preserve"> as analysed by </w:t>
      </w:r>
      <w:r w:rsidR="00F76EA2">
        <w:rPr>
          <w:rFonts w:hint="eastAsia"/>
        </w:rPr>
        <w:t>GSEA</w:t>
      </w:r>
      <w:r w:rsidR="00F76EA2" w:rsidRPr="00F1474F">
        <w:t xml:space="preserve">. </w:t>
      </w:r>
      <w:r w:rsidR="00F76EA2">
        <w:rPr>
          <w:b/>
          <w:bCs/>
        </w:rPr>
        <w:t xml:space="preserve">(c) </w:t>
      </w:r>
      <w:r w:rsidR="00F76EA2">
        <w:rPr>
          <w:i/>
          <w:iCs/>
        </w:rPr>
        <w:t>MKI67</w:t>
      </w:r>
      <w:r w:rsidR="00F76EA2">
        <w:t xml:space="preserve"> expression in pre-HM and pre-NHM gliomas. The </w:t>
      </w:r>
      <w:r w:rsidR="00F76EA2">
        <w:rPr>
          <w:i/>
          <w:iCs/>
        </w:rPr>
        <w:t>P</w:t>
      </w:r>
      <w:r w:rsidR="00F76EA2">
        <w:t xml:space="preserve"> value was calculated by Wilcoxon’s rank-sum test. </w:t>
      </w:r>
      <w:r w:rsidR="00F76EA2">
        <w:rPr>
          <w:b/>
          <w:bCs/>
        </w:rPr>
        <w:t xml:space="preserve">(d) </w:t>
      </w:r>
      <w:r w:rsidR="00F76EA2" w:rsidRPr="00F74DB6">
        <w:t>Immunohistochemistry</w:t>
      </w:r>
      <w:r w:rsidR="00F76EA2">
        <w:t xml:space="preserve"> s</w:t>
      </w:r>
      <w:r w:rsidR="00F76EA2" w:rsidRPr="00F74DB6">
        <w:rPr>
          <w:rFonts w:hint="eastAsia"/>
        </w:rPr>
        <w:t>t</w:t>
      </w:r>
      <w:r w:rsidR="00F76EA2" w:rsidRPr="00F74DB6">
        <w:t>aining</w:t>
      </w:r>
      <w:r w:rsidR="00F76EA2">
        <w:t xml:space="preserve"> of Ki-67 in initial gliomas and their hypermutation status at recurrence.</w:t>
      </w:r>
      <w:r w:rsidR="00F76EA2" w:rsidRPr="005B12B0">
        <w:t xml:space="preserve"> </w:t>
      </w:r>
      <w:r w:rsidR="00F76EA2">
        <w:t xml:space="preserve">The </w:t>
      </w:r>
      <w:r w:rsidR="00F76EA2">
        <w:rPr>
          <w:i/>
          <w:iCs/>
        </w:rPr>
        <w:t>P</w:t>
      </w:r>
      <w:r w:rsidR="00F76EA2">
        <w:t xml:space="preserve"> value was calculated by Fisher’s exact test. </w:t>
      </w:r>
      <w:r w:rsidR="00F76EA2">
        <w:rPr>
          <w:b/>
          <w:bCs/>
        </w:rPr>
        <w:t xml:space="preserve">(e) </w:t>
      </w:r>
      <w:r w:rsidR="00F76EA2" w:rsidRPr="005B12B0">
        <w:t>Percentage of</w:t>
      </w:r>
      <w:r w:rsidR="00F76EA2">
        <w:rPr>
          <w:b/>
          <w:bCs/>
        </w:rPr>
        <w:t xml:space="preserve"> </w:t>
      </w:r>
      <w:r w:rsidR="00F76EA2">
        <w:t xml:space="preserve">HM and NHM in TMZ-treated gliomas with </w:t>
      </w:r>
      <w:r w:rsidR="00F76EA2">
        <w:rPr>
          <w:rFonts w:hint="eastAsia"/>
        </w:rPr>
        <w:t>methylated</w:t>
      </w:r>
      <w:r w:rsidR="00F76EA2">
        <w:rPr>
          <w:lang w:val="en-US"/>
        </w:rPr>
        <w:t xml:space="preserve"> or unmethylated MGMT promoter. M: methylated; UM: unmethylated. </w:t>
      </w:r>
      <w:r w:rsidR="00F76EA2" w:rsidRPr="00F1474F">
        <w:rPr>
          <w:rFonts w:hint="eastAsia"/>
          <w:b/>
          <w:bCs/>
        </w:rPr>
        <w:t>(</w:t>
      </w:r>
      <w:r w:rsidR="00F76EA2">
        <w:rPr>
          <w:b/>
          <w:bCs/>
        </w:rPr>
        <w:t>f</w:t>
      </w:r>
      <w:r w:rsidR="00F76EA2" w:rsidRPr="00F1474F">
        <w:rPr>
          <w:b/>
          <w:bCs/>
        </w:rPr>
        <w:t>)</w:t>
      </w:r>
      <w:r w:rsidR="00F76EA2">
        <w:t xml:space="preserve"> </w:t>
      </w:r>
      <w:r w:rsidR="00F76EA2">
        <w:rPr>
          <w:lang w:val="en-US"/>
        </w:rPr>
        <w:t xml:space="preserve">Design of the TMZ-inducing experiment. </w:t>
      </w:r>
      <w:r w:rsidR="00F76EA2" w:rsidRPr="00E6105F">
        <w:rPr>
          <w:lang w:val="en-US"/>
        </w:rPr>
        <w:t>Glioma cell lines</w:t>
      </w:r>
      <w:r w:rsidR="00F76EA2">
        <w:rPr>
          <w:lang w:val="en-US"/>
        </w:rPr>
        <w:t xml:space="preserve"> with and without </w:t>
      </w:r>
      <w:r w:rsidR="00F76EA2" w:rsidRPr="006B5CDF">
        <w:rPr>
          <w:i/>
          <w:iCs/>
          <w:lang w:val="en-US"/>
        </w:rPr>
        <w:t xml:space="preserve">MYC </w:t>
      </w:r>
      <w:r w:rsidR="00F76EA2">
        <w:rPr>
          <w:lang w:val="en-US"/>
        </w:rPr>
        <w:t xml:space="preserve">gain </w:t>
      </w:r>
      <w:r w:rsidR="00F76EA2" w:rsidRPr="00E6105F">
        <w:rPr>
          <w:lang w:val="en-US"/>
        </w:rPr>
        <w:t>were passaged in escalating dose of TMZ until becoming resistant</w:t>
      </w:r>
      <w:r w:rsidR="00F76EA2" w:rsidRPr="00E53129">
        <w:rPr>
          <w:lang w:val="en-US"/>
        </w:rPr>
        <w:t>. The resistant cells were sequenced to check hypermutat</w:t>
      </w:r>
      <w:r w:rsidR="00F76EA2">
        <w:rPr>
          <w:lang w:val="en-US"/>
        </w:rPr>
        <w:t>ion status</w:t>
      </w:r>
      <w:r w:rsidR="00F76EA2" w:rsidRPr="00E53129">
        <w:rPr>
          <w:lang w:val="en-US"/>
        </w:rPr>
        <w:t xml:space="preserve">. </w:t>
      </w:r>
      <w:r w:rsidR="00F76EA2" w:rsidRPr="00140EF4">
        <w:rPr>
          <w:b/>
          <w:bCs/>
          <w:lang w:val="en-US"/>
        </w:rPr>
        <w:t>(</w:t>
      </w:r>
      <w:r w:rsidR="00F76EA2">
        <w:rPr>
          <w:b/>
          <w:bCs/>
          <w:lang w:val="en-US"/>
        </w:rPr>
        <w:t>g</w:t>
      </w:r>
      <w:r w:rsidR="00F76EA2" w:rsidRPr="00140EF4">
        <w:rPr>
          <w:b/>
          <w:bCs/>
          <w:lang w:val="en-US"/>
        </w:rPr>
        <w:t>)</w:t>
      </w:r>
      <w:r w:rsidR="00F76EA2" w:rsidRPr="00E53129">
        <w:rPr>
          <w:lang w:val="en-US"/>
        </w:rPr>
        <w:t xml:space="preserve"> </w:t>
      </w:r>
      <w:r w:rsidR="00F76EA2">
        <w:t>Copy number of MYC in U87 and U251 cell lines.</w:t>
      </w:r>
      <w:r w:rsidR="00F76EA2" w:rsidRPr="00E53129">
        <w:rPr>
          <w:lang w:val="en-US"/>
        </w:rPr>
        <w:t xml:space="preserve"> </w:t>
      </w:r>
      <w:r w:rsidR="00F76EA2" w:rsidRPr="00140EF4">
        <w:rPr>
          <w:b/>
          <w:bCs/>
          <w:lang w:val="en-US"/>
        </w:rPr>
        <w:t>(</w:t>
      </w:r>
      <w:r w:rsidR="00F76EA2">
        <w:rPr>
          <w:b/>
          <w:bCs/>
          <w:lang w:val="en-US"/>
        </w:rPr>
        <w:t>h</w:t>
      </w:r>
      <w:r w:rsidR="00F76EA2" w:rsidRPr="00140EF4">
        <w:rPr>
          <w:b/>
          <w:bCs/>
          <w:lang w:val="en-US"/>
        </w:rPr>
        <w:t>)</w:t>
      </w:r>
      <w:r w:rsidR="00F76EA2" w:rsidRPr="00E53129">
        <w:rPr>
          <w:lang w:val="en-US"/>
        </w:rPr>
        <w:t xml:space="preserve"> </w:t>
      </w:r>
      <w:r w:rsidR="00F76EA2">
        <w:rPr>
          <w:lang w:val="en-US"/>
        </w:rPr>
        <w:t>TMZ d</w:t>
      </w:r>
      <w:r w:rsidR="00F76EA2" w:rsidRPr="00E53129">
        <w:rPr>
          <w:lang w:val="en-US"/>
        </w:rPr>
        <w:t>ose-response curves of U87, U251</w:t>
      </w:r>
      <w:r w:rsidR="00F76EA2">
        <w:rPr>
          <w:lang w:val="en-US"/>
        </w:rPr>
        <w:t xml:space="preserve">, </w:t>
      </w:r>
      <w:r w:rsidR="00F76EA2" w:rsidRPr="00E53129">
        <w:rPr>
          <w:lang w:val="en-US"/>
        </w:rPr>
        <w:t>and their TMZ-resistant (TR) counterparts.</w:t>
      </w:r>
      <w:r w:rsidR="00F76EA2">
        <w:t xml:space="preserve"> </w:t>
      </w:r>
      <w:r w:rsidR="00F76EA2" w:rsidRPr="00140EF4">
        <w:rPr>
          <w:b/>
          <w:bCs/>
          <w:lang w:val="en-US"/>
        </w:rPr>
        <w:t>(</w:t>
      </w:r>
      <w:proofErr w:type="spellStart"/>
      <w:r w:rsidR="00F76EA2">
        <w:rPr>
          <w:b/>
          <w:bCs/>
          <w:lang w:val="en-US"/>
        </w:rPr>
        <w:t>i</w:t>
      </w:r>
      <w:proofErr w:type="spellEnd"/>
      <w:r w:rsidR="00F76EA2" w:rsidRPr="00140EF4">
        <w:rPr>
          <w:b/>
          <w:bCs/>
          <w:lang w:val="en-US"/>
        </w:rPr>
        <w:t>)</w:t>
      </w:r>
      <w:r w:rsidR="00F76EA2" w:rsidRPr="00951051">
        <w:rPr>
          <w:lang w:val="en-US"/>
        </w:rPr>
        <w:t xml:space="preserve"> </w:t>
      </w:r>
      <w:r w:rsidR="00F76EA2" w:rsidRPr="009F64A1">
        <w:rPr>
          <w:i/>
          <w:iCs/>
          <w:lang w:val="en-US"/>
        </w:rPr>
        <w:t xml:space="preserve">MYC </w:t>
      </w:r>
      <w:r w:rsidR="00F76EA2" w:rsidRPr="00951051">
        <w:rPr>
          <w:lang w:val="en-US"/>
        </w:rPr>
        <w:t>copy number</w:t>
      </w:r>
      <w:r w:rsidR="00F76EA2">
        <w:rPr>
          <w:lang w:val="en-US"/>
        </w:rPr>
        <w:t xml:space="preserve">, </w:t>
      </w:r>
      <w:r w:rsidR="00F76EA2" w:rsidRPr="009F64A1">
        <w:rPr>
          <w:i/>
          <w:iCs/>
          <w:lang w:val="en-US"/>
        </w:rPr>
        <w:t>MYC</w:t>
      </w:r>
      <w:r w:rsidR="00F76EA2" w:rsidRPr="00951051">
        <w:rPr>
          <w:lang w:val="en-US"/>
        </w:rPr>
        <w:t xml:space="preserve"> expression</w:t>
      </w:r>
      <w:r w:rsidR="00F76EA2">
        <w:rPr>
          <w:lang w:val="en-US"/>
        </w:rPr>
        <w:t xml:space="preserve">, and </w:t>
      </w:r>
      <w:r w:rsidR="00F76EA2" w:rsidRPr="009F64A1">
        <w:rPr>
          <w:i/>
          <w:iCs/>
          <w:lang w:val="en-US"/>
        </w:rPr>
        <w:t>MGMT</w:t>
      </w:r>
      <w:r w:rsidR="00F76EA2" w:rsidRPr="00951051">
        <w:rPr>
          <w:lang w:val="en-US"/>
        </w:rPr>
        <w:t xml:space="preserve"> expression in the three cell lines before and after TMZ induction, and the number of gained mutations in the TMZ-resistant cells. C-T/G-A mutations are colored in red while other mutations are colored in dark blue.</w:t>
      </w:r>
      <w:r w:rsidR="00F76EA2">
        <w:rPr>
          <w:lang w:val="en-US"/>
        </w:rPr>
        <w:t xml:space="preserve"> Hypermutation is marked with a star and the mismatch repair pathway mutations were labeled. </w:t>
      </w:r>
      <w:r w:rsidR="00F76EA2" w:rsidRPr="00D27D74">
        <w:rPr>
          <w:b/>
          <w:bCs/>
        </w:rPr>
        <w:t>(</w:t>
      </w:r>
      <w:r w:rsidR="00F76EA2">
        <w:rPr>
          <w:b/>
          <w:bCs/>
        </w:rPr>
        <w:t>j</w:t>
      </w:r>
      <w:r w:rsidR="00F76EA2" w:rsidRPr="00D27D74">
        <w:rPr>
          <w:b/>
          <w:bCs/>
        </w:rPr>
        <w:t>)</w:t>
      </w:r>
      <w:r w:rsidR="00F76EA2" w:rsidRPr="00D27D74">
        <w:t xml:space="preserve"> </w:t>
      </w:r>
      <w:r w:rsidR="00F76EA2" w:rsidRPr="00D27D74">
        <w:rPr>
          <w:lang w:val="en-US"/>
        </w:rPr>
        <w:t xml:space="preserve">PCR and Sanger validation of MSH6 T1219I </w:t>
      </w:r>
      <w:r w:rsidR="00F76EA2" w:rsidRPr="00D27D74">
        <w:rPr>
          <w:rFonts w:hint="eastAsia"/>
          <w:lang w:val="en-US"/>
        </w:rPr>
        <w:t>mutation</w:t>
      </w:r>
      <w:r w:rsidR="00F76EA2" w:rsidRPr="00D27D74">
        <w:rPr>
          <w:lang w:val="en-US"/>
        </w:rPr>
        <w:t xml:space="preserve"> in U87TR.</w:t>
      </w:r>
    </w:p>
    <w:p w14:paraId="41415E64" w14:textId="7F971D90" w:rsidR="00F76EA2" w:rsidRPr="00534CA1" w:rsidRDefault="000F72A3" w:rsidP="00F76EA2">
      <w:pPr>
        <w:spacing w:line="480" w:lineRule="auto"/>
        <w:jc w:val="both"/>
        <w:rPr>
          <w:b/>
          <w:bCs/>
          <w:lang w:val="en-US"/>
        </w:rPr>
      </w:pPr>
      <w:r>
        <w:rPr>
          <w:noProof/>
          <w:lang w:val="en-US"/>
        </w:rPr>
        <w:lastRenderedPageBreak/>
        <w:drawing>
          <wp:inline distT="0" distB="0" distL="0" distR="0" wp14:anchorId="7EB85A8B" wp14:editId="3C4A1789">
            <wp:extent cx="5697220" cy="2990538"/>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9" cstate="print">
                      <a:extLst>
                        <a:ext uri="{28A0092B-C50C-407E-A947-70E740481C1C}">
                          <a14:useLocalDpi xmlns:a14="http://schemas.microsoft.com/office/drawing/2010/main" val="0"/>
                        </a:ext>
                      </a:extLst>
                    </a:blip>
                    <a:srcRect b="63661"/>
                    <a:stretch/>
                  </pic:blipFill>
                  <pic:spPr bwMode="auto">
                    <a:xfrm>
                      <a:off x="0" y="0"/>
                      <a:ext cx="5697220" cy="2990538"/>
                    </a:xfrm>
                    <a:prstGeom prst="rect">
                      <a:avLst/>
                    </a:prstGeom>
                    <a:ln>
                      <a:noFill/>
                    </a:ln>
                    <a:extLst>
                      <a:ext uri="{53640926-AAD7-44D8-BBD7-CCE9431645EC}">
                        <a14:shadowObscured xmlns:a14="http://schemas.microsoft.com/office/drawing/2010/main"/>
                      </a:ext>
                    </a:extLst>
                  </pic:spPr>
                </pic:pic>
              </a:graphicData>
            </a:graphic>
          </wp:inline>
        </w:drawing>
      </w:r>
      <w:r w:rsidR="00F76EA2" w:rsidRPr="00F76EA2">
        <w:rPr>
          <w:b/>
          <w:bCs/>
          <w:lang w:val="en-US"/>
        </w:rPr>
        <w:t xml:space="preserve"> </w:t>
      </w:r>
      <w:r w:rsidR="00BB5BFE">
        <w:rPr>
          <w:b/>
          <w:bCs/>
          <w:lang w:val="en-US"/>
        </w:rPr>
        <w:t xml:space="preserve">Extended Data Fig. </w:t>
      </w:r>
      <w:r w:rsidR="00F76EA2">
        <w:rPr>
          <w:b/>
          <w:bCs/>
          <w:lang w:val="en-US"/>
        </w:rPr>
        <w:t>6</w:t>
      </w:r>
      <w:r w:rsidR="00F76EA2" w:rsidRPr="005B12B0">
        <w:rPr>
          <w:lang w:val="en-US"/>
        </w:rPr>
        <w:t xml:space="preserve"> </w:t>
      </w:r>
      <w:r w:rsidR="00F76EA2">
        <w:t>Additional analysis of mutation density.</w:t>
      </w:r>
      <w:r w:rsidR="00BB5BFE">
        <w:rPr>
          <w:b/>
          <w:bCs/>
          <w:lang w:val="en-US"/>
        </w:rPr>
        <w:t xml:space="preserve"> </w:t>
      </w:r>
      <w:r w:rsidR="00F76EA2" w:rsidRPr="00F1474F">
        <w:rPr>
          <w:b/>
          <w:bCs/>
        </w:rPr>
        <w:t>(</w:t>
      </w:r>
      <w:r w:rsidR="00F76EA2">
        <w:rPr>
          <w:b/>
          <w:bCs/>
        </w:rPr>
        <w:t>a-b</w:t>
      </w:r>
      <w:r w:rsidR="00F76EA2" w:rsidRPr="00F1474F">
        <w:rPr>
          <w:b/>
          <w:bCs/>
        </w:rPr>
        <w:t>)</w:t>
      </w:r>
      <w:r w:rsidR="00F76EA2" w:rsidRPr="00F1474F">
        <w:rPr>
          <w:b/>
          <w:bCs/>
          <w:lang w:val="en-US"/>
        </w:rPr>
        <w:t xml:space="preserve"> </w:t>
      </w:r>
      <w:r w:rsidR="00F76EA2">
        <w:rPr>
          <w:lang w:val="en-US"/>
        </w:rPr>
        <w:t xml:space="preserve">Expression of </w:t>
      </w:r>
      <w:r w:rsidR="00F76EA2">
        <w:rPr>
          <w:i/>
          <w:iCs/>
          <w:lang w:val="en-US"/>
        </w:rPr>
        <w:t>MYC</w:t>
      </w:r>
      <w:r w:rsidR="00F76EA2">
        <w:rPr>
          <w:lang w:val="en-US"/>
        </w:rPr>
        <w:t xml:space="preserve"> (a) and MYC targets (b) in gliomas with and </w:t>
      </w:r>
      <w:r w:rsidR="00F76EA2">
        <w:rPr>
          <w:i/>
          <w:iCs/>
          <w:lang w:val="en-US"/>
        </w:rPr>
        <w:t xml:space="preserve">MYC </w:t>
      </w:r>
      <w:r w:rsidR="00F76EA2">
        <w:rPr>
          <w:lang w:val="en-US"/>
        </w:rPr>
        <w:t xml:space="preserve">gain. The </w:t>
      </w:r>
      <w:r w:rsidR="00F76EA2" w:rsidRPr="00751630">
        <w:rPr>
          <w:i/>
          <w:iCs/>
          <w:lang w:val="en-US"/>
        </w:rPr>
        <w:t>P</w:t>
      </w:r>
      <w:r w:rsidR="00F76EA2">
        <w:rPr>
          <w:lang w:val="en-US"/>
        </w:rPr>
        <w:t xml:space="preserve"> value was calculated by Wilcoxon’s rank-sum test. </w:t>
      </w:r>
      <w:r w:rsidR="00F76EA2" w:rsidRPr="00550A53">
        <w:rPr>
          <w:b/>
          <w:bCs/>
          <w:lang w:val="en-US"/>
        </w:rPr>
        <w:t>(</w:t>
      </w:r>
      <w:r w:rsidR="00F76EA2">
        <w:rPr>
          <w:b/>
          <w:bCs/>
          <w:lang w:val="en-US"/>
        </w:rPr>
        <w:t>c</w:t>
      </w:r>
      <w:r w:rsidR="00F76EA2" w:rsidRPr="00550A53">
        <w:rPr>
          <w:b/>
          <w:bCs/>
          <w:lang w:val="en-US"/>
        </w:rPr>
        <w:t>)</w:t>
      </w:r>
      <w:r w:rsidR="00F76EA2">
        <w:rPr>
          <w:lang w:val="en-US"/>
        </w:rPr>
        <w:t xml:space="preserve"> A replicate of the w</w:t>
      </w:r>
      <w:r w:rsidR="00F76EA2" w:rsidRPr="00F1474F">
        <w:rPr>
          <w:lang w:val="en-US"/>
        </w:rPr>
        <w:t xml:space="preserve">estern blot showing </w:t>
      </w:r>
      <w:r w:rsidR="00F76EA2">
        <w:rPr>
          <w:lang w:val="en-US"/>
        </w:rPr>
        <w:t xml:space="preserve">c-MYC, p-c-MYC, </w:t>
      </w:r>
      <w:r w:rsidR="00F76EA2" w:rsidRPr="00F1474F">
        <w:rPr>
          <w:lang w:val="en-US"/>
        </w:rPr>
        <w:t>CDK6, MSH6, MSH2, and MLH1</w:t>
      </w:r>
      <w:r w:rsidR="00F76EA2">
        <w:rPr>
          <w:lang w:val="en-US"/>
        </w:rPr>
        <w:t xml:space="preserve"> </w:t>
      </w:r>
      <w:r w:rsidR="00F76EA2" w:rsidRPr="00F1474F">
        <w:rPr>
          <w:lang w:val="en-US"/>
        </w:rPr>
        <w:t xml:space="preserve">in U87 cell lines with </w:t>
      </w:r>
      <w:r w:rsidR="00F76EA2">
        <w:rPr>
          <w:lang w:val="en-US"/>
        </w:rPr>
        <w:t xml:space="preserve">empty </w:t>
      </w:r>
      <w:r w:rsidR="00F76EA2" w:rsidRPr="00F1474F">
        <w:rPr>
          <w:lang w:val="en-US"/>
        </w:rPr>
        <w:t>vector or MYC overexpression</w:t>
      </w:r>
      <w:r w:rsidR="00F76EA2">
        <w:rPr>
          <w:lang w:val="en-US"/>
        </w:rPr>
        <w:t xml:space="preserve"> (MYC OE)</w:t>
      </w:r>
      <w:r w:rsidR="00F76EA2" w:rsidRPr="00F1474F">
        <w:rPr>
          <w:lang w:val="en-US"/>
        </w:rPr>
        <w:t xml:space="preserve">. </w:t>
      </w:r>
    </w:p>
    <w:p w14:paraId="3DB8E6AA" w14:textId="71B728B6" w:rsidR="000F72A3" w:rsidRPr="00BB5BFE" w:rsidRDefault="000F72A3" w:rsidP="00F76EA2">
      <w:pPr>
        <w:spacing w:line="480" w:lineRule="auto"/>
        <w:jc w:val="both"/>
        <w:rPr>
          <w:b/>
          <w:bCs/>
          <w:lang w:val="en-US"/>
        </w:rPr>
      </w:pPr>
      <w:r>
        <w:rPr>
          <w:noProof/>
          <w:lang w:val="en-US"/>
        </w:rPr>
        <w:lastRenderedPageBreak/>
        <w:drawing>
          <wp:inline distT="0" distB="0" distL="0" distR="0" wp14:anchorId="7E6BABC1" wp14:editId="0FB70A3E">
            <wp:extent cx="5697220" cy="7629993"/>
            <wp:effectExtent l="0" t="0" r="5080" b="3175"/>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rotWithShape="1">
                    <a:blip r:embed="rId10" cstate="print">
                      <a:extLst>
                        <a:ext uri="{28A0092B-C50C-407E-A947-70E740481C1C}">
                          <a14:useLocalDpi xmlns:a14="http://schemas.microsoft.com/office/drawing/2010/main" val="0"/>
                        </a:ext>
                      </a:extLst>
                    </a:blip>
                    <a:srcRect b="7286"/>
                    <a:stretch/>
                  </pic:blipFill>
                  <pic:spPr bwMode="auto">
                    <a:xfrm>
                      <a:off x="0" y="0"/>
                      <a:ext cx="5697220" cy="7629993"/>
                    </a:xfrm>
                    <a:prstGeom prst="rect">
                      <a:avLst/>
                    </a:prstGeom>
                    <a:ln>
                      <a:noFill/>
                    </a:ln>
                    <a:extLst>
                      <a:ext uri="{53640926-AAD7-44D8-BBD7-CCE9431645EC}">
                        <a14:shadowObscured xmlns:a14="http://schemas.microsoft.com/office/drawing/2010/main"/>
                      </a:ext>
                    </a:extLst>
                  </pic:spPr>
                </pic:pic>
              </a:graphicData>
            </a:graphic>
          </wp:inline>
        </w:drawing>
      </w:r>
      <w:r w:rsidR="00F76EA2" w:rsidRPr="00F76EA2">
        <w:rPr>
          <w:b/>
          <w:bCs/>
          <w:lang w:val="en-US"/>
        </w:rPr>
        <w:t xml:space="preserve"> </w:t>
      </w:r>
      <w:r w:rsidR="00BB5BFE">
        <w:rPr>
          <w:b/>
          <w:bCs/>
          <w:lang w:val="en-US"/>
        </w:rPr>
        <w:t xml:space="preserve">Extended Data Fig. </w:t>
      </w:r>
      <w:r w:rsidR="00F76EA2">
        <w:rPr>
          <w:b/>
          <w:bCs/>
          <w:lang w:val="en-US"/>
        </w:rPr>
        <w:t xml:space="preserve">7 </w:t>
      </w:r>
      <w:r w:rsidR="00F76EA2" w:rsidRPr="00BB5BFE">
        <w:rPr>
          <w:lang w:val="en-US"/>
        </w:rPr>
        <w:t xml:space="preserve">Imputing missing features supports more information for HM and Grade </w:t>
      </w:r>
      <w:r w:rsidR="00F76EA2" w:rsidRPr="00BB5BFE">
        <w:rPr>
          <w:lang w:val="en-US"/>
        </w:rPr>
        <w:lastRenderedPageBreak/>
        <w:t>targets</w:t>
      </w:r>
      <w:r w:rsidR="00BB5BFE">
        <w:rPr>
          <w:lang w:val="en-US"/>
        </w:rPr>
        <w:t>.</w:t>
      </w:r>
      <w:r w:rsidR="00BB5BFE">
        <w:rPr>
          <w:b/>
          <w:bCs/>
          <w:lang w:val="en-US"/>
        </w:rPr>
        <w:t xml:space="preserve"> </w:t>
      </w:r>
      <w:r w:rsidR="00F76EA2" w:rsidRPr="00671AD9">
        <w:rPr>
          <w:b/>
          <w:bCs/>
          <w:lang w:val="en-US"/>
        </w:rPr>
        <w:t>(</w:t>
      </w:r>
      <w:r w:rsidR="00BB5BFE">
        <w:rPr>
          <w:b/>
          <w:bCs/>
          <w:lang w:val="en-US"/>
        </w:rPr>
        <w:t>a</w:t>
      </w:r>
      <w:r w:rsidR="00F76EA2" w:rsidRPr="00671AD9">
        <w:rPr>
          <w:b/>
          <w:bCs/>
          <w:lang w:val="en-US"/>
        </w:rPr>
        <w:t>)</w:t>
      </w:r>
      <w:r w:rsidR="00F76EA2">
        <w:rPr>
          <w:lang w:val="en-US"/>
        </w:rPr>
        <w:t xml:space="preserve"> </w:t>
      </w:r>
      <w:r w:rsidR="00F76EA2" w:rsidRPr="006A4189">
        <w:rPr>
          <w:lang w:val="en-US"/>
        </w:rPr>
        <w:t xml:space="preserve">Proposed </w:t>
      </w:r>
      <w:r w:rsidR="00F76EA2">
        <w:rPr>
          <w:lang w:val="en-US"/>
        </w:rPr>
        <w:t>f</w:t>
      </w:r>
      <w:r w:rsidR="00F76EA2" w:rsidRPr="006A4189">
        <w:rPr>
          <w:lang w:val="en-US"/>
        </w:rPr>
        <w:t xml:space="preserve">ramework of iteratively sequential ensemble machine (ISEM). Missing values are marked as grey on the matrix. Raw data derived from clinical details, mutations and copy number alterations is initially transformed to an integrated matrix in step 1. In step 2, features are rearranged in ascending order according to the missing counts, followed by the completed matrix imputed as mean value for each feature in step 3. The matrix is divided into training and test dataset whose labels are corresponding to the targeted variable and the rest variables are features in step 4. Then the data is delivered to automated ensemble machine for training a bagging model in step 5, together with step 4 repeated </w:t>
      </w:r>
      <m:oMath>
        <m:r>
          <w:rPr>
            <w:rFonts w:ascii="Cambria Math" w:hAnsi="Cambria Math"/>
            <w:lang w:val="en-US"/>
          </w:rPr>
          <m:t>p</m:t>
        </m:r>
      </m:oMath>
      <w:r w:rsidR="00F76EA2" w:rsidRPr="006A4189">
        <w:rPr>
          <w:lang w:val="en-US"/>
        </w:rPr>
        <w:t xml:space="preserve"> (the size of feature space)</w:t>
      </w:r>
      <w:r w:rsidR="00F76EA2" w:rsidRPr="006A4189">
        <w:rPr>
          <w:rFonts w:hint="eastAsia"/>
          <w:lang w:val="en-US"/>
        </w:rPr>
        <w:t xml:space="preserve"> times</w:t>
      </w:r>
      <w:r w:rsidR="00F76EA2" w:rsidRPr="006A4189">
        <w:rPr>
          <w:lang w:val="en-US"/>
        </w:rPr>
        <w:t xml:space="preserve">. After the imputation matrix is acquired, the distance of two adjacent matrices is recorded in step 6 and a new round of iterations from step 4 to step 6 is triggered until convergence. Finally, the latest matrix is ranked by confidence potential (see Methods) and CELLO (Cancer </w:t>
      </w:r>
      <w:proofErr w:type="spellStart"/>
      <w:r w:rsidR="00F76EA2" w:rsidRPr="006A4189">
        <w:rPr>
          <w:lang w:val="en-US"/>
        </w:rPr>
        <w:t>EvoLution</w:t>
      </w:r>
      <w:proofErr w:type="spellEnd"/>
      <w:r w:rsidR="00F76EA2" w:rsidRPr="006A4189">
        <w:rPr>
          <w:lang w:val="en-US"/>
        </w:rPr>
        <w:t xml:space="preserve"> from </w:t>
      </w:r>
      <w:proofErr w:type="spellStart"/>
      <w:r w:rsidR="00F76EA2" w:rsidRPr="006A4189">
        <w:rPr>
          <w:lang w:val="en-US"/>
        </w:rPr>
        <w:t>LOngitudinal</w:t>
      </w:r>
      <w:proofErr w:type="spellEnd"/>
      <w:r w:rsidR="00F76EA2" w:rsidRPr="006A4189">
        <w:rPr>
          <w:lang w:val="en-US"/>
        </w:rPr>
        <w:t xml:space="preserve"> sequencing) is specifically designed to lower the barriers of imputation and prediction for HM and Grade in step 7. (SVM, RF, ADB, KNN and LGB refers to Support Vector Machine, Random Forest, AdaBoost, K-Nearest Neighbor, as well as Light Gradient Boosting Machine</w:t>
      </w:r>
      <w:r w:rsidR="00F76EA2">
        <w:rPr>
          <w:lang w:val="en-US"/>
        </w:rPr>
        <w:t xml:space="preserve">, </w:t>
      </w:r>
      <w:r w:rsidR="00F76EA2" w:rsidRPr="006A4189">
        <w:rPr>
          <w:lang w:val="en-US"/>
        </w:rPr>
        <w:t>respectively</w:t>
      </w:r>
      <w:r w:rsidR="00F76EA2">
        <w:rPr>
          <w:lang w:val="en-US"/>
        </w:rPr>
        <w:t>)</w:t>
      </w:r>
      <w:r w:rsidR="00F76EA2" w:rsidRPr="00566874">
        <w:rPr>
          <w:lang w:val="en-US"/>
        </w:rPr>
        <w:t xml:space="preserve">. </w:t>
      </w:r>
      <w:r w:rsidR="00F76EA2" w:rsidRPr="00671AD9">
        <w:rPr>
          <w:b/>
          <w:bCs/>
          <w:lang w:val="en-US"/>
        </w:rPr>
        <w:t>(</w:t>
      </w:r>
      <w:r w:rsidR="00BB5BFE">
        <w:rPr>
          <w:b/>
          <w:bCs/>
          <w:lang w:val="en-US"/>
        </w:rPr>
        <w:t>b</w:t>
      </w:r>
      <w:r w:rsidR="00F76EA2" w:rsidRPr="00671AD9">
        <w:rPr>
          <w:b/>
          <w:bCs/>
          <w:lang w:val="en-US"/>
        </w:rPr>
        <w:t xml:space="preserve">) </w:t>
      </w:r>
      <w:r w:rsidR="00F76EA2" w:rsidRPr="006A4189">
        <w:rPr>
          <w:lang w:val="en-US"/>
        </w:rPr>
        <w:t>Comparisons of performance for categorical features between ISEM with other published imputation methods</w:t>
      </w:r>
      <w:r w:rsidR="00F76EA2" w:rsidRPr="00566874">
        <w:rPr>
          <w:lang w:val="en-US"/>
        </w:rPr>
        <w:t xml:space="preserve">. </w:t>
      </w:r>
      <w:r w:rsidR="00F76EA2" w:rsidRPr="00671AD9">
        <w:rPr>
          <w:b/>
          <w:bCs/>
          <w:lang w:val="en-US"/>
        </w:rPr>
        <w:t>(</w:t>
      </w:r>
      <w:r w:rsidR="00BB5BFE">
        <w:rPr>
          <w:b/>
          <w:bCs/>
          <w:lang w:val="en-US"/>
        </w:rPr>
        <w:t>c</w:t>
      </w:r>
      <w:r w:rsidR="00F76EA2" w:rsidRPr="00671AD9">
        <w:rPr>
          <w:b/>
          <w:bCs/>
          <w:lang w:val="en-US"/>
        </w:rPr>
        <w:t xml:space="preserve">) </w:t>
      </w:r>
      <w:r w:rsidR="00F76EA2" w:rsidRPr="006A4189">
        <w:rPr>
          <w:lang w:val="en-US"/>
        </w:rPr>
        <w:t xml:space="preserve">ROC curve of predicting </w:t>
      </w:r>
      <w:r w:rsidR="00F76EA2" w:rsidRPr="006A4189">
        <w:rPr>
          <w:iCs/>
          <w:lang w:val="en-US"/>
        </w:rPr>
        <w:t>HM</w:t>
      </w:r>
      <w:r w:rsidR="00F76EA2" w:rsidRPr="006A4189">
        <w:rPr>
          <w:lang w:val="en-US"/>
        </w:rPr>
        <w:t xml:space="preserve"> before imputation (mean imputation, red) and after </w:t>
      </w:r>
      <w:r w:rsidR="00F76EA2" w:rsidRPr="006A4189">
        <w:rPr>
          <w:iCs/>
          <w:lang w:val="en-US"/>
        </w:rPr>
        <w:t>imputation (ISEM imputation, blue)</w:t>
      </w:r>
      <w:r w:rsidR="00F76EA2" w:rsidRPr="00566874">
        <w:rPr>
          <w:lang w:val="en-US"/>
        </w:rPr>
        <w:t xml:space="preserve">. </w:t>
      </w:r>
      <w:r w:rsidR="00F76EA2" w:rsidRPr="00671AD9">
        <w:rPr>
          <w:b/>
          <w:bCs/>
          <w:lang w:val="en-US"/>
        </w:rPr>
        <w:t>(</w:t>
      </w:r>
      <w:r w:rsidR="00BB5BFE">
        <w:rPr>
          <w:b/>
          <w:bCs/>
          <w:lang w:val="en-US"/>
        </w:rPr>
        <w:t>d</w:t>
      </w:r>
      <w:r w:rsidR="00F76EA2" w:rsidRPr="00671AD9">
        <w:rPr>
          <w:b/>
          <w:bCs/>
          <w:lang w:val="en-US"/>
        </w:rPr>
        <w:t xml:space="preserve">) </w:t>
      </w:r>
      <w:r w:rsidR="00F76EA2" w:rsidRPr="006A4189">
        <w:rPr>
          <w:iCs/>
          <w:lang w:val="en-US"/>
        </w:rPr>
        <w:t>ROC curve of predicting Grade before imputation (mean imputation, red) and after imputation (ISEM imputation, blue)</w:t>
      </w:r>
      <w:r w:rsidR="00F76EA2">
        <w:rPr>
          <w:iCs/>
          <w:lang w:val="en-US"/>
        </w:rPr>
        <w:t>.</w:t>
      </w:r>
      <w:r w:rsidR="00F76EA2">
        <w:rPr>
          <w:lang w:val="en-US"/>
        </w:rPr>
        <w:t xml:space="preserve">  </w:t>
      </w:r>
      <w:r w:rsidR="00F76EA2" w:rsidRPr="00566874">
        <w:rPr>
          <w:b/>
          <w:bCs/>
          <w:lang w:val="en-US"/>
        </w:rPr>
        <w:t>(</w:t>
      </w:r>
      <w:r w:rsidR="00BB5BFE">
        <w:rPr>
          <w:b/>
          <w:bCs/>
          <w:lang w:val="en-US"/>
        </w:rPr>
        <w:t>e</w:t>
      </w:r>
      <w:r w:rsidR="00F76EA2" w:rsidRPr="00566874">
        <w:rPr>
          <w:b/>
          <w:bCs/>
          <w:lang w:val="en-US"/>
        </w:rPr>
        <w:t>)</w:t>
      </w:r>
      <w:r w:rsidR="00F76EA2">
        <w:rPr>
          <w:lang w:val="en-US"/>
        </w:rPr>
        <w:t xml:space="preserve"> </w:t>
      </w:r>
      <w:r w:rsidR="00F76EA2" w:rsidRPr="00283E0D">
        <w:rPr>
          <w:lang w:val="en-US"/>
        </w:rPr>
        <w:t>Ranking of feature importance for HM based on SHAP</w:t>
      </w:r>
      <w:r w:rsidR="00F76EA2">
        <w:rPr>
          <w:lang w:val="en-US"/>
        </w:rPr>
        <w:t xml:space="preserve"> scores</w:t>
      </w:r>
      <w:r w:rsidR="00F76EA2" w:rsidRPr="00566874">
        <w:rPr>
          <w:lang w:val="en-US"/>
        </w:rPr>
        <w:t xml:space="preserve">. </w:t>
      </w:r>
      <w:r w:rsidR="00F76EA2" w:rsidRPr="00566874">
        <w:rPr>
          <w:b/>
          <w:bCs/>
          <w:lang w:val="en-US"/>
        </w:rPr>
        <w:t>(</w:t>
      </w:r>
      <w:r w:rsidR="00BB5BFE">
        <w:rPr>
          <w:b/>
          <w:bCs/>
          <w:lang w:val="en-US"/>
        </w:rPr>
        <w:t>f</w:t>
      </w:r>
      <w:r w:rsidR="00F76EA2" w:rsidRPr="00566874">
        <w:rPr>
          <w:b/>
          <w:bCs/>
          <w:lang w:val="en-US"/>
        </w:rPr>
        <w:t>)</w:t>
      </w:r>
      <w:r w:rsidR="00F76EA2">
        <w:rPr>
          <w:lang w:val="en-US"/>
        </w:rPr>
        <w:t xml:space="preserve"> </w:t>
      </w:r>
      <w:r w:rsidR="00F76EA2" w:rsidRPr="00283E0D">
        <w:rPr>
          <w:lang w:val="en-US"/>
        </w:rPr>
        <w:t>Ranking of feature importance for Grade based on SHAP</w:t>
      </w:r>
      <w:r w:rsidR="00F76EA2">
        <w:rPr>
          <w:lang w:val="en-US"/>
        </w:rPr>
        <w:t xml:space="preserve"> scores</w:t>
      </w:r>
      <w:r w:rsidR="00F76EA2" w:rsidRPr="00566874">
        <w:rPr>
          <w:lang w:val="en-US"/>
        </w:rPr>
        <w:t>.</w:t>
      </w:r>
    </w:p>
    <w:p w14:paraId="3C704454" w14:textId="77777777" w:rsidR="000F72A3" w:rsidRDefault="000F72A3">
      <w:pPr>
        <w:rPr>
          <w:b/>
          <w:bCs/>
          <w:lang w:val="en-US"/>
        </w:rPr>
      </w:pPr>
      <w:r>
        <w:rPr>
          <w:b/>
          <w:bCs/>
          <w:lang w:val="en-US"/>
        </w:rPr>
        <w:br w:type="page"/>
      </w:r>
    </w:p>
    <w:p w14:paraId="12189767" w14:textId="31353781" w:rsidR="00864037" w:rsidRDefault="00864037" w:rsidP="00D63748">
      <w:pPr>
        <w:spacing w:line="480" w:lineRule="auto"/>
        <w:jc w:val="both"/>
        <w:rPr>
          <w:b/>
          <w:bCs/>
          <w:lang w:val="en-US"/>
        </w:rPr>
      </w:pPr>
      <w:r>
        <w:rPr>
          <w:b/>
          <w:bCs/>
          <w:lang w:val="en-US"/>
        </w:rPr>
        <w:lastRenderedPageBreak/>
        <w:t>Extended Data Table S3</w:t>
      </w:r>
    </w:p>
    <w:tbl>
      <w:tblPr>
        <w:tblStyle w:val="TableGrid"/>
        <w:tblW w:w="0" w:type="auto"/>
        <w:tblLook w:val="04A0" w:firstRow="1" w:lastRow="0" w:firstColumn="1" w:lastColumn="0" w:noHBand="0" w:noVBand="1"/>
      </w:tblPr>
      <w:tblGrid>
        <w:gridCol w:w="1356"/>
        <w:gridCol w:w="3200"/>
        <w:gridCol w:w="4794"/>
      </w:tblGrid>
      <w:tr w:rsidR="00864037" w:rsidRPr="00864037" w14:paraId="6ACF0FFC" w14:textId="77777777" w:rsidTr="00864037">
        <w:trPr>
          <w:trHeight w:val="320"/>
        </w:trPr>
        <w:tc>
          <w:tcPr>
            <w:tcW w:w="1760" w:type="dxa"/>
            <w:noWrap/>
            <w:hideMark/>
          </w:tcPr>
          <w:p w14:paraId="098E5875" w14:textId="77777777" w:rsidR="00864037" w:rsidRPr="00864037" w:rsidRDefault="00864037" w:rsidP="00864037">
            <w:pPr>
              <w:jc w:val="both"/>
              <w:rPr>
                <w:b/>
                <w:bCs/>
                <w:lang/>
              </w:rPr>
            </w:pPr>
            <w:r w:rsidRPr="00864037">
              <w:rPr>
                <w:b/>
                <w:bCs/>
              </w:rPr>
              <w:t>Target</w:t>
            </w:r>
          </w:p>
        </w:tc>
        <w:tc>
          <w:tcPr>
            <w:tcW w:w="4260" w:type="dxa"/>
            <w:noWrap/>
            <w:hideMark/>
          </w:tcPr>
          <w:p w14:paraId="34E43EEC" w14:textId="77777777" w:rsidR="00864037" w:rsidRPr="00864037" w:rsidRDefault="00864037" w:rsidP="00864037">
            <w:pPr>
              <w:jc w:val="both"/>
              <w:rPr>
                <w:b/>
                <w:bCs/>
              </w:rPr>
            </w:pPr>
            <w:r w:rsidRPr="00864037">
              <w:rPr>
                <w:b/>
                <w:bCs/>
              </w:rPr>
              <w:t>ID</w:t>
            </w:r>
          </w:p>
        </w:tc>
        <w:tc>
          <w:tcPr>
            <w:tcW w:w="6420" w:type="dxa"/>
            <w:noWrap/>
            <w:hideMark/>
          </w:tcPr>
          <w:p w14:paraId="334EA2FA" w14:textId="77777777" w:rsidR="00864037" w:rsidRPr="00864037" w:rsidRDefault="00864037" w:rsidP="00864037">
            <w:pPr>
              <w:jc w:val="both"/>
              <w:rPr>
                <w:b/>
                <w:bCs/>
              </w:rPr>
            </w:pPr>
            <w:r w:rsidRPr="00864037">
              <w:rPr>
                <w:b/>
                <w:bCs/>
              </w:rPr>
              <w:t>Link</w:t>
            </w:r>
          </w:p>
        </w:tc>
      </w:tr>
      <w:tr w:rsidR="00864037" w:rsidRPr="00864037" w14:paraId="5421763D" w14:textId="77777777" w:rsidTr="00864037">
        <w:trPr>
          <w:trHeight w:val="320"/>
        </w:trPr>
        <w:tc>
          <w:tcPr>
            <w:tcW w:w="1760" w:type="dxa"/>
            <w:noWrap/>
            <w:hideMark/>
          </w:tcPr>
          <w:p w14:paraId="24A5151C" w14:textId="77777777" w:rsidR="00864037" w:rsidRPr="00864037" w:rsidRDefault="00864037" w:rsidP="00864037">
            <w:pPr>
              <w:jc w:val="both"/>
              <w:rPr>
                <w:sz w:val="20"/>
                <w:szCs w:val="20"/>
              </w:rPr>
            </w:pPr>
            <w:r w:rsidRPr="00864037">
              <w:rPr>
                <w:sz w:val="20"/>
                <w:szCs w:val="20"/>
              </w:rPr>
              <w:t>c-Myc</w:t>
            </w:r>
          </w:p>
        </w:tc>
        <w:tc>
          <w:tcPr>
            <w:tcW w:w="4260" w:type="dxa"/>
            <w:noWrap/>
            <w:hideMark/>
          </w:tcPr>
          <w:p w14:paraId="6C278FA3" w14:textId="77777777" w:rsidR="00864037" w:rsidRPr="00864037" w:rsidRDefault="00864037" w:rsidP="00864037">
            <w:pPr>
              <w:jc w:val="both"/>
              <w:rPr>
                <w:sz w:val="20"/>
                <w:szCs w:val="20"/>
              </w:rPr>
            </w:pPr>
            <w:r w:rsidRPr="00864037">
              <w:rPr>
                <w:sz w:val="20"/>
                <w:szCs w:val="20"/>
              </w:rPr>
              <w:t>U87.MYC.SRX129069.05.bed</w:t>
            </w:r>
          </w:p>
        </w:tc>
        <w:tc>
          <w:tcPr>
            <w:tcW w:w="6420" w:type="dxa"/>
            <w:noWrap/>
            <w:hideMark/>
          </w:tcPr>
          <w:p w14:paraId="44BE5075" w14:textId="77777777" w:rsidR="00864037" w:rsidRPr="00864037" w:rsidRDefault="00864037" w:rsidP="00864037">
            <w:pPr>
              <w:jc w:val="both"/>
              <w:rPr>
                <w:sz w:val="20"/>
                <w:szCs w:val="20"/>
              </w:rPr>
            </w:pPr>
            <w:r w:rsidRPr="00864037">
              <w:rPr>
                <w:sz w:val="20"/>
                <w:szCs w:val="20"/>
              </w:rPr>
              <w:t>https://chip-atlas.org/view?id=SRX129069</w:t>
            </w:r>
          </w:p>
        </w:tc>
      </w:tr>
      <w:tr w:rsidR="00864037" w:rsidRPr="00864037" w14:paraId="544FCFBA" w14:textId="77777777" w:rsidTr="00864037">
        <w:trPr>
          <w:trHeight w:val="320"/>
        </w:trPr>
        <w:tc>
          <w:tcPr>
            <w:tcW w:w="1760" w:type="dxa"/>
            <w:noWrap/>
            <w:hideMark/>
          </w:tcPr>
          <w:p w14:paraId="22C1E4EB" w14:textId="77777777" w:rsidR="00864037" w:rsidRPr="00864037" w:rsidRDefault="00864037" w:rsidP="00864037">
            <w:pPr>
              <w:jc w:val="both"/>
              <w:rPr>
                <w:sz w:val="20"/>
                <w:szCs w:val="20"/>
              </w:rPr>
            </w:pPr>
            <w:r w:rsidRPr="00864037">
              <w:rPr>
                <w:sz w:val="20"/>
                <w:szCs w:val="20"/>
              </w:rPr>
              <w:t>H3K9me3</w:t>
            </w:r>
          </w:p>
        </w:tc>
        <w:tc>
          <w:tcPr>
            <w:tcW w:w="4260" w:type="dxa"/>
            <w:noWrap/>
            <w:hideMark/>
          </w:tcPr>
          <w:p w14:paraId="0377CE49" w14:textId="77777777" w:rsidR="00864037" w:rsidRPr="00864037" w:rsidRDefault="00864037" w:rsidP="00864037">
            <w:pPr>
              <w:jc w:val="both"/>
              <w:rPr>
                <w:sz w:val="20"/>
                <w:szCs w:val="20"/>
              </w:rPr>
            </w:pPr>
            <w:r w:rsidRPr="00864037">
              <w:rPr>
                <w:sz w:val="20"/>
                <w:szCs w:val="20"/>
              </w:rPr>
              <w:t>U87.H3K9me3.SRX1989885.05.bed</w:t>
            </w:r>
          </w:p>
        </w:tc>
        <w:tc>
          <w:tcPr>
            <w:tcW w:w="6420" w:type="dxa"/>
            <w:noWrap/>
            <w:hideMark/>
          </w:tcPr>
          <w:p w14:paraId="263181DD" w14:textId="77777777" w:rsidR="00864037" w:rsidRPr="00864037" w:rsidRDefault="00864037" w:rsidP="00864037">
            <w:pPr>
              <w:jc w:val="both"/>
              <w:rPr>
                <w:sz w:val="20"/>
                <w:szCs w:val="20"/>
              </w:rPr>
            </w:pPr>
            <w:r w:rsidRPr="00864037">
              <w:rPr>
                <w:sz w:val="20"/>
                <w:szCs w:val="20"/>
              </w:rPr>
              <w:t>https://chip-atlas.org/view?id=SRX1989885</w:t>
            </w:r>
          </w:p>
        </w:tc>
      </w:tr>
      <w:tr w:rsidR="00864037" w:rsidRPr="00864037" w14:paraId="6B049B41" w14:textId="77777777" w:rsidTr="00864037">
        <w:trPr>
          <w:trHeight w:val="320"/>
        </w:trPr>
        <w:tc>
          <w:tcPr>
            <w:tcW w:w="1760" w:type="dxa"/>
            <w:noWrap/>
            <w:hideMark/>
          </w:tcPr>
          <w:p w14:paraId="14E1079C" w14:textId="77777777" w:rsidR="00864037" w:rsidRPr="00864037" w:rsidRDefault="00864037" w:rsidP="00864037">
            <w:pPr>
              <w:jc w:val="both"/>
              <w:rPr>
                <w:sz w:val="20"/>
                <w:szCs w:val="20"/>
              </w:rPr>
            </w:pPr>
            <w:r w:rsidRPr="00864037">
              <w:rPr>
                <w:sz w:val="20"/>
                <w:szCs w:val="20"/>
              </w:rPr>
              <w:t>H3K4me3</w:t>
            </w:r>
          </w:p>
        </w:tc>
        <w:tc>
          <w:tcPr>
            <w:tcW w:w="4260" w:type="dxa"/>
            <w:noWrap/>
            <w:hideMark/>
          </w:tcPr>
          <w:p w14:paraId="17EDBAE0" w14:textId="77777777" w:rsidR="00864037" w:rsidRPr="00864037" w:rsidRDefault="00864037" w:rsidP="00864037">
            <w:pPr>
              <w:jc w:val="both"/>
              <w:rPr>
                <w:sz w:val="20"/>
                <w:szCs w:val="20"/>
              </w:rPr>
            </w:pPr>
            <w:r w:rsidRPr="00864037">
              <w:rPr>
                <w:sz w:val="20"/>
                <w:szCs w:val="20"/>
              </w:rPr>
              <w:t>U87.H3K4me3.SRX129079.20.bed</w:t>
            </w:r>
          </w:p>
        </w:tc>
        <w:tc>
          <w:tcPr>
            <w:tcW w:w="6420" w:type="dxa"/>
            <w:noWrap/>
            <w:hideMark/>
          </w:tcPr>
          <w:p w14:paraId="1626D6A1" w14:textId="77777777" w:rsidR="00864037" w:rsidRPr="00864037" w:rsidRDefault="00864037" w:rsidP="00864037">
            <w:pPr>
              <w:jc w:val="both"/>
              <w:rPr>
                <w:sz w:val="20"/>
                <w:szCs w:val="20"/>
              </w:rPr>
            </w:pPr>
            <w:r w:rsidRPr="00864037">
              <w:rPr>
                <w:sz w:val="20"/>
                <w:szCs w:val="20"/>
              </w:rPr>
              <w:t>https://chip-atlas.org/view?id=SRX129079</w:t>
            </w:r>
          </w:p>
        </w:tc>
      </w:tr>
      <w:tr w:rsidR="00864037" w:rsidRPr="00864037" w14:paraId="4A9EFFE3" w14:textId="77777777" w:rsidTr="00864037">
        <w:trPr>
          <w:trHeight w:val="320"/>
        </w:trPr>
        <w:tc>
          <w:tcPr>
            <w:tcW w:w="1760" w:type="dxa"/>
            <w:noWrap/>
            <w:hideMark/>
          </w:tcPr>
          <w:p w14:paraId="2AC4F25E" w14:textId="77777777" w:rsidR="00864037" w:rsidRPr="00864037" w:rsidRDefault="00864037" w:rsidP="00864037">
            <w:pPr>
              <w:jc w:val="both"/>
              <w:rPr>
                <w:sz w:val="20"/>
                <w:szCs w:val="20"/>
              </w:rPr>
            </w:pPr>
            <w:proofErr w:type="spellStart"/>
            <w:r w:rsidRPr="00864037">
              <w:rPr>
                <w:sz w:val="20"/>
                <w:szCs w:val="20"/>
              </w:rPr>
              <w:t>Dnase</w:t>
            </w:r>
            <w:proofErr w:type="spellEnd"/>
          </w:p>
        </w:tc>
        <w:tc>
          <w:tcPr>
            <w:tcW w:w="4260" w:type="dxa"/>
            <w:noWrap/>
            <w:hideMark/>
          </w:tcPr>
          <w:p w14:paraId="6092CD66" w14:textId="77777777" w:rsidR="00864037" w:rsidRPr="00864037" w:rsidRDefault="00864037" w:rsidP="00864037">
            <w:pPr>
              <w:jc w:val="both"/>
              <w:rPr>
                <w:sz w:val="20"/>
                <w:szCs w:val="20"/>
              </w:rPr>
            </w:pPr>
            <w:r w:rsidRPr="00864037">
              <w:rPr>
                <w:sz w:val="20"/>
                <w:szCs w:val="20"/>
              </w:rPr>
              <w:t>U87.DNase.SRX132056.05.bed</w:t>
            </w:r>
          </w:p>
        </w:tc>
        <w:tc>
          <w:tcPr>
            <w:tcW w:w="6420" w:type="dxa"/>
            <w:noWrap/>
            <w:hideMark/>
          </w:tcPr>
          <w:p w14:paraId="7ADEA64E" w14:textId="77777777" w:rsidR="00864037" w:rsidRPr="00864037" w:rsidRDefault="00864037" w:rsidP="00864037">
            <w:pPr>
              <w:jc w:val="both"/>
              <w:rPr>
                <w:sz w:val="20"/>
                <w:szCs w:val="20"/>
              </w:rPr>
            </w:pPr>
            <w:r w:rsidRPr="00864037">
              <w:rPr>
                <w:sz w:val="20"/>
                <w:szCs w:val="20"/>
              </w:rPr>
              <w:t>https://chip-atlas.org/view?id=SRX132056</w:t>
            </w:r>
          </w:p>
        </w:tc>
      </w:tr>
      <w:tr w:rsidR="00864037" w:rsidRPr="00864037" w14:paraId="05671836" w14:textId="77777777" w:rsidTr="00864037">
        <w:trPr>
          <w:trHeight w:val="320"/>
        </w:trPr>
        <w:tc>
          <w:tcPr>
            <w:tcW w:w="1760" w:type="dxa"/>
            <w:noWrap/>
            <w:hideMark/>
          </w:tcPr>
          <w:p w14:paraId="50CB838D" w14:textId="77777777" w:rsidR="00864037" w:rsidRPr="00864037" w:rsidRDefault="00864037" w:rsidP="00864037">
            <w:pPr>
              <w:jc w:val="both"/>
              <w:rPr>
                <w:sz w:val="20"/>
                <w:szCs w:val="20"/>
              </w:rPr>
            </w:pPr>
            <w:r w:rsidRPr="00864037">
              <w:rPr>
                <w:sz w:val="20"/>
                <w:szCs w:val="20"/>
              </w:rPr>
              <w:t>H3K27ac</w:t>
            </w:r>
          </w:p>
        </w:tc>
        <w:tc>
          <w:tcPr>
            <w:tcW w:w="4260" w:type="dxa"/>
            <w:noWrap/>
            <w:hideMark/>
          </w:tcPr>
          <w:p w14:paraId="2A829B21" w14:textId="77777777" w:rsidR="00864037" w:rsidRPr="00864037" w:rsidRDefault="00864037" w:rsidP="00864037">
            <w:pPr>
              <w:jc w:val="both"/>
              <w:rPr>
                <w:sz w:val="20"/>
                <w:szCs w:val="20"/>
              </w:rPr>
            </w:pPr>
            <w:r w:rsidRPr="00864037">
              <w:rPr>
                <w:sz w:val="20"/>
                <w:szCs w:val="20"/>
              </w:rPr>
              <w:t>U87.H3K27ac.SRX129073.05.bed</w:t>
            </w:r>
          </w:p>
        </w:tc>
        <w:tc>
          <w:tcPr>
            <w:tcW w:w="6420" w:type="dxa"/>
            <w:noWrap/>
            <w:hideMark/>
          </w:tcPr>
          <w:p w14:paraId="6F8611D5" w14:textId="77777777" w:rsidR="00864037" w:rsidRPr="00864037" w:rsidRDefault="00864037" w:rsidP="00864037">
            <w:pPr>
              <w:jc w:val="both"/>
              <w:rPr>
                <w:sz w:val="20"/>
                <w:szCs w:val="20"/>
              </w:rPr>
            </w:pPr>
            <w:r w:rsidRPr="00864037">
              <w:rPr>
                <w:sz w:val="20"/>
                <w:szCs w:val="20"/>
              </w:rPr>
              <w:t>https://chip-atlas.org/view?id=SRX129073</w:t>
            </w:r>
          </w:p>
        </w:tc>
      </w:tr>
      <w:tr w:rsidR="00864037" w:rsidRPr="00864037" w14:paraId="3EF7BEE7" w14:textId="77777777" w:rsidTr="00864037">
        <w:trPr>
          <w:trHeight w:val="320"/>
        </w:trPr>
        <w:tc>
          <w:tcPr>
            <w:tcW w:w="1760" w:type="dxa"/>
            <w:noWrap/>
            <w:hideMark/>
          </w:tcPr>
          <w:p w14:paraId="5F187E98" w14:textId="77777777" w:rsidR="00864037" w:rsidRPr="00864037" w:rsidRDefault="00864037" w:rsidP="00864037">
            <w:pPr>
              <w:jc w:val="both"/>
              <w:rPr>
                <w:sz w:val="20"/>
                <w:szCs w:val="20"/>
              </w:rPr>
            </w:pPr>
            <w:r w:rsidRPr="00864037">
              <w:rPr>
                <w:sz w:val="20"/>
                <w:szCs w:val="20"/>
              </w:rPr>
              <w:t>RPII</w:t>
            </w:r>
          </w:p>
        </w:tc>
        <w:tc>
          <w:tcPr>
            <w:tcW w:w="4260" w:type="dxa"/>
            <w:noWrap/>
            <w:hideMark/>
          </w:tcPr>
          <w:p w14:paraId="49BD8926" w14:textId="77777777" w:rsidR="00864037" w:rsidRPr="00864037" w:rsidRDefault="00864037" w:rsidP="00864037">
            <w:pPr>
              <w:jc w:val="both"/>
              <w:rPr>
                <w:sz w:val="20"/>
                <w:szCs w:val="20"/>
              </w:rPr>
            </w:pPr>
            <w:r w:rsidRPr="00864037">
              <w:rPr>
                <w:sz w:val="20"/>
                <w:szCs w:val="20"/>
              </w:rPr>
              <w:t>U87.RPII.SRX100504.20.bed</w:t>
            </w:r>
          </w:p>
        </w:tc>
        <w:tc>
          <w:tcPr>
            <w:tcW w:w="6420" w:type="dxa"/>
            <w:noWrap/>
            <w:hideMark/>
          </w:tcPr>
          <w:p w14:paraId="07436148" w14:textId="77777777" w:rsidR="00864037" w:rsidRPr="00864037" w:rsidRDefault="00864037" w:rsidP="00864037">
            <w:pPr>
              <w:jc w:val="both"/>
              <w:rPr>
                <w:sz w:val="20"/>
                <w:szCs w:val="20"/>
              </w:rPr>
            </w:pPr>
            <w:r w:rsidRPr="00864037">
              <w:rPr>
                <w:sz w:val="20"/>
                <w:szCs w:val="20"/>
              </w:rPr>
              <w:t>https://chip-atlas.org/view?id=SRX100504</w:t>
            </w:r>
          </w:p>
        </w:tc>
      </w:tr>
      <w:tr w:rsidR="00864037" w:rsidRPr="00864037" w14:paraId="03BACEFE" w14:textId="77777777" w:rsidTr="00864037">
        <w:trPr>
          <w:trHeight w:val="320"/>
        </w:trPr>
        <w:tc>
          <w:tcPr>
            <w:tcW w:w="1760" w:type="dxa"/>
            <w:noWrap/>
            <w:hideMark/>
          </w:tcPr>
          <w:p w14:paraId="41638327" w14:textId="77777777" w:rsidR="00864037" w:rsidRPr="00864037" w:rsidRDefault="00864037" w:rsidP="00864037">
            <w:pPr>
              <w:jc w:val="both"/>
              <w:rPr>
                <w:sz w:val="20"/>
                <w:szCs w:val="20"/>
              </w:rPr>
            </w:pPr>
            <w:r w:rsidRPr="00864037">
              <w:rPr>
                <w:sz w:val="20"/>
                <w:szCs w:val="20"/>
              </w:rPr>
              <w:t>glia.H3K36me3</w:t>
            </w:r>
          </w:p>
        </w:tc>
        <w:tc>
          <w:tcPr>
            <w:tcW w:w="4260" w:type="dxa"/>
            <w:noWrap/>
            <w:hideMark/>
          </w:tcPr>
          <w:p w14:paraId="21AB43D7" w14:textId="77777777" w:rsidR="00864037" w:rsidRPr="00864037" w:rsidRDefault="00864037" w:rsidP="00864037">
            <w:pPr>
              <w:jc w:val="both"/>
              <w:rPr>
                <w:sz w:val="20"/>
                <w:szCs w:val="20"/>
              </w:rPr>
            </w:pPr>
            <w:r w:rsidRPr="00864037">
              <w:rPr>
                <w:sz w:val="20"/>
                <w:szCs w:val="20"/>
              </w:rPr>
              <w:t>ENCFF870JRW.bed</w:t>
            </w:r>
          </w:p>
        </w:tc>
        <w:tc>
          <w:tcPr>
            <w:tcW w:w="6420" w:type="dxa"/>
            <w:noWrap/>
            <w:hideMark/>
          </w:tcPr>
          <w:p w14:paraId="42564C52" w14:textId="77777777" w:rsidR="00864037" w:rsidRPr="00864037" w:rsidRDefault="00864037" w:rsidP="00864037">
            <w:pPr>
              <w:jc w:val="both"/>
              <w:rPr>
                <w:sz w:val="20"/>
                <w:szCs w:val="20"/>
              </w:rPr>
            </w:pPr>
            <w:r w:rsidRPr="00864037">
              <w:rPr>
                <w:sz w:val="20"/>
                <w:szCs w:val="20"/>
              </w:rPr>
              <w:t>https://www.encodeproject.org/experiments/ENCSR136NUH/</w:t>
            </w:r>
          </w:p>
        </w:tc>
      </w:tr>
      <w:tr w:rsidR="00864037" w:rsidRPr="00864037" w14:paraId="7A50FEC8" w14:textId="77777777" w:rsidTr="00864037">
        <w:trPr>
          <w:trHeight w:val="320"/>
        </w:trPr>
        <w:tc>
          <w:tcPr>
            <w:tcW w:w="1760" w:type="dxa"/>
            <w:noWrap/>
            <w:hideMark/>
          </w:tcPr>
          <w:p w14:paraId="30A39AA6" w14:textId="77777777" w:rsidR="00864037" w:rsidRPr="00864037" w:rsidRDefault="00864037" w:rsidP="00864037">
            <w:pPr>
              <w:jc w:val="both"/>
              <w:rPr>
                <w:sz w:val="20"/>
                <w:szCs w:val="20"/>
              </w:rPr>
            </w:pPr>
            <w:r w:rsidRPr="00864037">
              <w:rPr>
                <w:sz w:val="20"/>
                <w:szCs w:val="20"/>
              </w:rPr>
              <w:t>MAX</w:t>
            </w:r>
          </w:p>
        </w:tc>
        <w:tc>
          <w:tcPr>
            <w:tcW w:w="4260" w:type="dxa"/>
            <w:noWrap/>
            <w:hideMark/>
          </w:tcPr>
          <w:p w14:paraId="0F70AAE0" w14:textId="77777777" w:rsidR="00864037" w:rsidRPr="00864037" w:rsidRDefault="00864037" w:rsidP="00864037">
            <w:pPr>
              <w:jc w:val="both"/>
              <w:rPr>
                <w:sz w:val="20"/>
                <w:szCs w:val="20"/>
              </w:rPr>
            </w:pPr>
            <w:r w:rsidRPr="00864037">
              <w:rPr>
                <w:sz w:val="20"/>
                <w:szCs w:val="20"/>
              </w:rPr>
              <w:t>U87.MAX.SRX129085.20.bed</w:t>
            </w:r>
          </w:p>
        </w:tc>
        <w:tc>
          <w:tcPr>
            <w:tcW w:w="6420" w:type="dxa"/>
            <w:noWrap/>
            <w:hideMark/>
          </w:tcPr>
          <w:p w14:paraId="7057FB4F" w14:textId="77777777" w:rsidR="00864037" w:rsidRPr="00864037" w:rsidRDefault="00864037" w:rsidP="00864037">
            <w:pPr>
              <w:jc w:val="both"/>
              <w:rPr>
                <w:sz w:val="20"/>
                <w:szCs w:val="20"/>
              </w:rPr>
            </w:pPr>
            <w:r w:rsidRPr="00864037">
              <w:rPr>
                <w:sz w:val="20"/>
                <w:szCs w:val="20"/>
              </w:rPr>
              <w:t>https://chip-atlas.org/view?id=SRX129085</w:t>
            </w:r>
          </w:p>
        </w:tc>
      </w:tr>
    </w:tbl>
    <w:p w14:paraId="77F8614A" w14:textId="77777777" w:rsidR="00864037" w:rsidRDefault="00864037" w:rsidP="00D63748">
      <w:pPr>
        <w:spacing w:line="480" w:lineRule="auto"/>
        <w:jc w:val="both"/>
        <w:rPr>
          <w:b/>
          <w:bCs/>
        </w:rPr>
      </w:pPr>
    </w:p>
    <w:p w14:paraId="781D9340" w14:textId="77777777" w:rsidR="00864037" w:rsidRDefault="00864037">
      <w:pPr>
        <w:rPr>
          <w:b/>
          <w:bCs/>
        </w:rPr>
      </w:pPr>
      <w:r>
        <w:rPr>
          <w:b/>
          <w:bCs/>
        </w:rPr>
        <w:br w:type="page"/>
      </w:r>
    </w:p>
    <w:p w14:paraId="453C35EE" w14:textId="0EB95C7B" w:rsidR="00D63748" w:rsidRPr="002F1DE4" w:rsidRDefault="00D63748" w:rsidP="00D63748">
      <w:pPr>
        <w:spacing w:line="480" w:lineRule="auto"/>
        <w:jc w:val="both"/>
        <w:rPr>
          <w:lang w:val="en-US"/>
        </w:rPr>
      </w:pPr>
      <w:r w:rsidRPr="00D505EF">
        <w:rPr>
          <w:b/>
          <w:bCs/>
          <w:lang w:val="en-US"/>
        </w:rPr>
        <w:lastRenderedPageBreak/>
        <w:t>Missing value imputation and modeling</w:t>
      </w:r>
    </w:p>
    <w:p w14:paraId="31EDC4B4" w14:textId="77777777" w:rsidR="00D63748" w:rsidRPr="00E133EE" w:rsidRDefault="00D63748" w:rsidP="00D63748">
      <w:pPr>
        <w:spacing w:line="480" w:lineRule="auto"/>
        <w:jc w:val="both"/>
        <w:rPr>
          <w:lang w:val="en-US"/>
        </w:rPr>
      </w:pPr>
      <w:r w:rsidRPr="00E133EE">
        <w:rPr>
          <w:b/>
          <w:bCs/>
          <w:lang w:val="en-US"/>
        </w:rPr>
        <w:t>Imputation model with ISEM</w:t>
      </w:r>
      <w:r w:rsidRPr="00E133EE">
        <w:rPr>
          <w:lang w:val="en-US"/>
        </w:rPr>
        <w:t>. ISEM refers to iteratively sequential ensemble machine, which defines a technology that imputes missing values of dataset. In this paper, we combined the clinical and genomic data encompassing up to 50 attributes for one patient, and totally 492 patients were discussed from 13 cohorts. ISEM is a bagging ensemble method in which each imputed value is acquired by voting (for sub-classifiers) or mean (for sub-regressors) of five internal machine learning approaches consisting of Support Vector Machine (SVM), Random Forest (RF), AdaBoost (ADB), K-Nearest Neighbor (KNN), as well as Light Gradient Boosting Machine (LGB). In the algorithm, we firstly calculated the number of missing blanks for each feature, followed by sorting those features according to ascending order. Afterwards, we initiali</w:t>
      </w:r>
      <w:r>
        <w:rPr>
          <w:lang w:val="en-US"/>
        </w:rPr>
        <w:t>z</w:t>
      </w:r>
      <w:r w:rsidRPr="00E133EE">
        <w:rPr>
          <w:lang w:val="en-US"/>
        </w:rPr>
        <w:t>ed missing values with mean for each feature. For each sorted feature, the whole dataset was split into two disjoint parts by the following rule: if the values of the targeted feature were not available in original data, those samples would be partitioned as test data, otherwise as training data. Then each sub-ISEM model was trained by training data where the targeted feature was “label” and others were “features”, and the predicted labels of test data were the imputed values of the target feature. If the label was categorical, the classification methods would be elected, otherwise the regression methods would be selected. After all features were imputed, we achieved a</w:t>
      </w:r>
      <w:r w:rsidRPr="00E133EE">
        <w:rPr>
          <w:rFonts w:hint="eastAsia"/>
          <w:lang w:val="en-US"/>
        </w:rPr>
        <w:t>n</w:t>
      </w:r>
      <w:r w:rsidRPr="00E133EE">
        <w:rPr>
          <w:lang w:val="en-US"/>
        </w:rPr>
        <w:t xml:space="preserve"> integrated imputation in one iteration. In addition, a distance metric named </w:t>
      </w:r>
      <w:r w:rsidRPr="00E133EE">
        <w:rPr>
          <w:i/>
          <w:iCs/>
          <w:lang w:val="en-US"/>
        </w:rPr>
        <w:t>d</w:t>
      </w:r>
      <w:r w:rsidRPr="00E133EE">
        <w:rPr>
          <w:lang w:val="en-US"/>
        </w:rPr>
        <w:t xml:space="preserve"> was constructed to measure the difference between two iterations. When </w:t>
      </w:r>
      <w:r w:rsidRPr="00E133EE">
        <w:rPr>
          <w:i/>
          <w:iCs/>
          <w:lang w:val="en-US"/>
        </w:rPr>
        <w:t>d</w:t>
      </w:r>
      <w:r w:rsidRPr="00E133EE">
        <w:rPr>
          <w:lang w:val="en-US"/>
        </w:rPr>
        <w:t xml:space="preserve"> was convergent or smaller than given threshold </w:t>
      </w:r>
      <w:r w:rsidRPr="00E133EE">
        <w:rPr>
          <w:i/>
          <w:iCs/>
          <w:lang w:val="en-US"/>
        </w:rPr>
        <w:t>e</w:t>
      </w:r>
      <w:r w:rsidRPr="00E133EE">
        <w:rPr>
          <w:lang w:val="en-US"/>
        </w:rPr>
        <w:t xml:space="preserve">, the learning process </w:t>
      </w:r>
      <w:r w:rsidRPr="00E133EE">
        <w:rPr>
          <w:rFonts w:hint="eastAsia"/>
          <w:lang w:val="en-US"/>
        </w:rPr>
        <w:t>wou</w:t>
      </w:r>
      <w:r w:rsidRPr="00E133EE">
        <w:rPr>
          <w:lang w:val="en-US"/>
        </w:rPr>
        <w:t xml:space="preserve">ld be terminated, and the imputation of the last iteration would be the final imputed result. </w:t>
      </w:r>
      <w:r w:rsidRPr="00E133EE">
        <w:rPr>
          <w:rFonts w:hint="eastAsia"/>
          <w:lang w:val="en-US"/>
        </w:rPr>
        <w:t>W</w:t>
      </w:r>
      <w:r w:rsidRPr="00E133EE">
        <w:rPr>
          <w:lang w:val="en-US"/>
        </w:rPr>
        <w:t xml:space="preserve">e calculated the final imputed result by integrating all convergent results of five models.  </w:t>
      </w:r>
    </w:p>
    <w:p w14:paraId="099FEDAF" w14:textId="77777777" w:rsidR="00D63748" w:rsidRPr="00E133EE" w:rsidRDefault="00D63748" w:rsidP="00D63748">
      <w:pPr>
        <w:spacing w:line="480" w:lineRule="auto"/>
        <w:jc w:val="both"/>
        <w:rPr>
          <w:lang w:val="en-US"/>
        </w:rPr>
      </w:pPr>
    </w:p>
    <w:p w14:paraId="576E0034" w14:textId="77777777" w:rsidR="00D63748" w:rsidRPr="00E133EE" w:rsidRDefault="00734264" w:rsidP="00D63748">
      <w:pPr>
        <w:spacing w:line="480" w:lineRule="auto"/>
        <w:jc w:val="both"/>
        <w:rPr>
          <w:lang w:val="en-US"/>
        </w:rPr>
      </w:pPr>
      <m:oMathPara>
        <m:oMath>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A</m:t>
              </m:r>
            </m:sub>
          </m:sSub>
          <m:r>
            <w:rPr>
              <w:rFonts w:ascii="Cambria Math" w:hAnsi="Cambria Math"/>
              <w:lang w:val="en-US"/>
            </w:rPr>
            <m:t>=</m:t>
          </m:r>
          <m:f>
            <m:fPr>
              <m:ctrlPr>
                <w:rPr>
                  <w:rFonts w:ascii="Cambria Math" w:hAnsi="Cambria Math"/>
                  <w:i/>
                  <w:lang w:val="en-US"/>
                </w:rPr>
              </m:ctrlPr>
            </m:fPr>
            <m:num>
              <m:nary>
                <m:naryPr>
                  <m:chr m:val="∑"/>
                  <m:limLoc m:val="subSup"/>
                  <m:supHide m:val="1"/>
                  <m:ctrlPr>
                    <w:rPr>
                      <w:rFonts w:ascii="Cambria Math" w:hAnsi="Cambria Math"/>
                      <w:i/>
                      <w:lang w:val="en-US"/>
                    </w:rPr>
                  </m:ctrlPr>
                </m:naryPr>
                <m:sub>
                  <m:r>
                    <w:rPr>
                      <w:rFonts w:ascii="Cambria Math" w:hAnsi="Cambria Math"/>
                      <w:lang w:val="en-US"/>
                    </w:rPr>
                    <m:t>i∈A</m:t>
                  </m:r>
                </m:sub>
                <m:sup/>
                <m:e>
                  <m:sSup>
                    <m:sSupPr>
                      <m:ctrlPr>
                        <w:rPr>
                          <w:rFonts w:ascii="Cambria Math" w:hAnsi="Cambria Math"/>
                          <w:i/>
                          <w:lang w:val="en-US"/>
                        </w:rPr>
                      </m:ctrlPr>
                    </m:sSupPr>
                    <m:e>
                      <m:d>
                        <m:dPr>
                          <m:ctrlPr>
                            <w:rPr>
                              <w:rFonts w:ascii="Cambria Math" w:hAnsi="Cambria Math"/>
                              <w:i/>
                              <w:lang w:val="en-US"/>
                            </w:rPr>
                          </m:ctrlPr>
                        </m:dPr>
                        <m:e>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new</m:t>
                              </m:r>
                            </m:sub>
                            <m:sup>
                              <m:r>
                                <w:rPr>
                                  <w:rFonts w:ascii="Cambria Math" w:hAnsi="Cambria Math"/>
                                  <w:lang w:val="en-US"/>
                                </w:rPr>
                                <m:t>imp</m:t>
                              </m:r>
                            </m:sup>
                          </m:sSub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old</m:t>
                              </m:r>
                            </m:sub>
                            <m:sup>
                              <m:r>
                                <w:rPr>
                                  <w:rFonts w:ascii="Cambria Math" w:hAnsi="Cambria Math"/>
                                  <w:lang w:val="en-US"/>
                                </w:rPr>
                                <m:t>imp</m:t>
                              </m:r>
                            </m:sup>
                          </m:sSubSup>
                        </m:e>
                      </m:d>
                    </m:e>
                    <m:sup>
                      <m:r>
                        <w:rPr>
                          <w:rFonts w:ascii="Cambria Math" w:hAnsi="Cambria Math"/>
                          <w:lang w:val="en-US"/>
                        </w:rPr>
                        <m:t>2</m:t>
                      </m:r>
                    </m:sup>
                  </m:sSup>
                </m:e>
              </m:nary>
            </m:num>
            <m:den>
              <m:nary>
                <m:naryPr>
                  <m:chr m:val="∑"/>
                  <m:limLoc m:val="subSup"/>
                  <m:supHide m:val="1"/>
                  <m:ctrlPr>
                    <w:rPr>
                      <w:rFonts w:ascii="Cambria Math" w:hAnsi="Cambria Math"/>
                      <w:i/>
                      <w:lang w:val="en-US"/>
                    </w:rPr>
                  </m:ctrlPr>
                </m:naryPr>
                <m:sub>
                  <m:r>
                    <w:rPr>
                      <w:rFonts w:ascii="Cambria Math" w:hAnsi="Cambria Math"/>
                      <w:lang w:val="en-US"/>
                    </w:rPr>
                    <m:t>i∈A</m:t>
                  </m:r>
                </m:sub>
                <m:sup/>
                <m:e>
                  <m:sSup>
                    <m:sSupPr>
                      <m:ctrlPr>
                        <w:rPr>
                          <w:rFonts w:ascii="Cambria Math" w:hAnsi="Cambria Math"/>
                          <w:i/>
                          <w:lang w:val="en-US"/>
                        </w:rPr>
                      </m:ctrlPr>
                    </m:sSupPr>
                    <m:e>
                      <m:d>
                        <m:dPr>
                          <m:ctrlPr>
                            <w:rPr>
                              <w:rFonts w:ascii="Cambria Math" w:hAnsi="Cambria Math"/>
                              <w:i/>
                              <w:lang w:val="en-US"/>
                            </w:rPr>
                          </m:ctrlPr>
                        </m:dPr>
                        <m:e>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new</m:t>
                              </m:r>
                            </m:sub>
                            <m:sup>
                              <m:r>
                                <w:rPr>
                                  <w:rFonts w:ascii="Cambria Math" w:hAnsi="Cambria Math"/>
                                  <w:lang w:val="en-US"/>
                                </w:rPr>
                                <m:t>imp</m:t>
                              </m:r>
                            </m:sup>
                          </m:sSubSup>
                        </m:e>
                      </m:d>
                    </m:e>
                    <m:sup>
                      <m:r>
                        <w:rPr>
                          <w:rFonts w:ascii="Cambria Math" w:hAnsi="Cambria Math"/>
                          <w:lang w:val="en-US"/>
                        </w:rPr>
                        <m:t>2</m:t>
                      </m:r>
                    </m:sup>
                  </m:sSup>
                </m:e>
              </m:nary>
            </m:den>
          </m:f>
        </m:oMath>
      </m:oMathPara>
    </w:p>
    <w:p w14:paraId="320ABC7C" w14:textId="77777777" w:rsidR="00D63748" w:rsidRPr="00E133EE" w:rsidRDefault="00734264" w:rsidP="00D63748">
      <w:pPr>
        <w:spacing w:line="480" w:lineRule="auto"/>
        <w:jc w:val="both"/>
        <w:rPr>
          <w:lang w:val="en-US"/>
        </w:rPr>
      </w:pPr>
      <m:oMathPara>
        <m:oMath>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B</m:t>
              </m:r>
            </m:sub>
          </m:sSub>
          <m:r>
            <w:rPr>
              <w:rFonts w:ascii="Cambria Math" w:hAnsi="Cambria Math"/>
              <w:lang w:val="en-US"/>
            </w:rPr>
            <m:t>=</m:t>
          </m:r>
          <m:f>
            <m:fPr>
              <m:ctrlPr>
                <w:rPr>
                  <w:rFonts w:ascii="Cambria Math" w:hAnsi="Cambria Math"/>
                  <w:i/>
                  <w:lang w:val="en-US"/>
                </w:rPr>
              </m:ctrlPr>
            </m:fPr>
            <m:num>
              <m:nary>
                <m:naryPr>
                  <m:chr m:val="∑"/>
                  <m:limLoc m:val="subSup"/>
                  <m:supHide m:val="1"/>
                  <m:ctrlPr>
                    <w:rPr>
                      <w:rFonts w:ascii="Cambria Math" w:hAnsi="Cambria Math"/>
                      <w:i/>
                      <w:lang w:val="en-US"/>
                    </w:rPr>
                  </m:ctrlPr>
                </m:naryPr>
                <m:sub>
                  <m:r>
                    <w:rPr>
                      <w:rFonts w:ascii="Cambria Math" w:hAnsi="Cambria Math"/>
                      <w:lang w:val="en-US"/>
                    </w:rPr>
                    <m:t>i∈B</m:t>
                  </m:r>
                </m:sub>
                <m:sup/>
                <m:e>
                  <m:r>
                    <w:rPr>
                      <w:rFonts w:ascii="Cambria Math" w:hAnsi="Cambria Math"/>
                      <w:lang w:val="en-US"/>
                    </w:rPr>
                    <m:t>I</m:t>
                  </m:r>
                  <m:d>
                    <m:dPr>
                      <m:ctrlPr>
                        <w:rPr>
                          <w:rFonts w:ascii="Cambria Math" w:hAnsi="Cambria Math"/>
                          <w:i/>
                          <w:lang w:val="en-US"/>
                        </w:rPr>
                      </m:ctrlPr>
                    </m:dPr>
                    <m:e>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new</m:t>
                          </m:r>
                        </m:sub>
                        <m:sup>
                          <m:r>
                            <w:rPr>
                              <w:rFonts w:ascii="Cambria Math" w:hAnsi="Cambria Math"/>
                              <w:lang w:val="en-US"/>
                            </w:rPr>
                            <m:t>imp</m:t>
                          </m:r>
                        </m:sup>
                      </m:sSub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old</m:t>
                          </m:r>
                        </m:sub>
                        <m:sup>
                          <m:r>
                            <w:rPr>
                              <w:rFonts w:ascii="Cambria Math" w:hAnsi="Cambria Math"/>
                              <w:lang w:val="en-US"/>
                            </w:rPr>
                            <m:t>imp</m:t>
                          </m:r>
                        </m:sup>
                      </m:sSubSup>
                    </m:e>
                  </m:d>
                </m:e>
              </m:nary>
            </m:num>
            <m:den>
              <m:r>
                <w:rPr>
                  <w:rFonts w:ascii="Cambria Math" w:hAnsi="Cambria Math"/>
                  <w:lang w:val="en-US"/>
                </w:rPr>
                <m:t>M</m:t>
              </m:r>
            </m:den>
          </m:f>
        </m:oMath>
      </m:oMathPara>
    </w:p>
    <w:p w14:paraId="60EDA29C" w14:textId="77777777" w:rsidR="00D63748" w:rsidRPr="00E133EE" w:rsidRDefault="00D63748" w:rsidP="00D63748">
      <w:pPr>
        <w:spacing w:line="480" w:lineRule="auto"/>
        <w:jc w:val="both"/>
        <w:rPr>
          <w:lang w:val="en-US"/>
        </w:rPr>
      </w:pPr>
      <m:oMathPara>
        <m:oMath>
          <m:r>
            <w:rPr>
              <w:rFonts w:ascii="Cambria Math" w:hAnsi="Cambria Math"/>
              <w:lang w:val="en-US"/>
            </w:rPr>
            <m:t>d=</m:t>
          </m:r>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A</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B</m:t>
              </m:r>
            </m:sub>
          </m:sSub>
        </m:oMath>
      </m:oMathPara>
    </w:p>
    <w:p w14:paraId="1784120B" w14:textId="77777777" w:rsidR="00D63748" w:rsidRDefault="00D63748" w:rsidP="00D63748">
      <w:pPr>
        <w:spacing w:line="480" w:lineRule="auto"/>
        <w:jc w:val="both"/>
        <w:rPr>
          <w:lang w:val="en-US"/>
        </w:rPr>
      </w:pPr>
      <w:r w:rsidRPr="00E133EE">
        <w:rPr>
          <w:lang w:val="en-US"/>
        </w:rPr>
        <w:t xml:space="preserve">where A is the set of continuous features while B is the set of categorical features. </w:t>
      </w:r>
      <m:oMath>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new</m:t>
            </m:r>
          </m:sub>
          <m:sup>
            <m:r>
              <w:rPr>
                <w:rFonts w:ascii="Cambria Math" w:hAnsi="Cambria Math"/>
                <w:lang w:val="en-US"/>
              </w:rPr>
              <m:t>imp</m:t>
            </m:r>
          </m:sup>
        </m:sSubSup>
      </m:oMath>
      <w:r w:rsidRPr="00E133EE">
        <w:rPr>
          <w:lang w:val="en-US"/>
        </w:rPr>
        <w:t xml:space="preserve"> is the imputation matrix of current iteration</w:t>
      </w:r>
      <w:r w:rsidRPr="00E133EE">
        <w:rPr>
          <w:rFonts w:hint="eastAsia"/>
          <w:lang w:val="en-US"/>
        </w:rPr>
        <w:t xml:space="preserve"> </w:t>
      </w:r>
      <w:r w:rsidRPr="00E133EE">
        <w:rPr>
          <w:lang w:val="en-US"/>
        </w:rPr>
        <w:t xml:space="preserve">while </w:t>
      </w:r>
      <m:oMath>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old</m:t>
            </m:r>
          </m:sub>
          <m:sup>
            <m:r>
              <w:rPr>
                <w:rFonts w:ascii="Cambria Math" w:hAnsi="Cambria Math"/>
                <w:lang w:val="en-US"/>
              </w:rPr>
              <m:t>imp</m:t>
            </m:r>
          </m:sup>
        </m:sSubSup>
      </m:oMath>
      <w:r w:rsidRPr="00E133EE">
        <w:rPr>
          <w:lang w:val="en-US"/>
        </w:rPr>
        <w:t xml:space="preserve"> is the imputation matrix of previous </w:t>
      </w:r>
      <w:proofErr w:type="gramStart"/>
      <w:r w:rsidRPr="00E133EE">
        <w:rPr>
          <w:lang w:val="en-US"/>
        </w:rPr>
        <w:t>iteration.</w:t>
      </w:r>
      <w:proofErr w:type="gramEnd"/>
      <w:r w:rsidRPr="00E133EE">
        <w:rPr>
          <w:lang w:val="en-US"/>
        </w:rPr>
        <w:t xml:space="preserve"> </w:t>
      </w:r>
      <m:oMath>
        <m:r>
          <w:rPr>
            <w:rFonts w:ascii="Cambria Math" w:hAnsi="Cambria Math"/>
            <w:lang w:val="en-US"/>
          </w:rPr>
          <m:t>M</m:t>
        </m:r>
      </m:oMath>
      <w:r w:rsidRPr="00E133EE">
        <w:rPr>
          <w:rFonts w:hint="eastAsia"/>
          <w:lang w:val="en-US"/>
        </w:rPr>
        <w:t xml:space="preserve"> </w:t>
      </w:r>
      <w:r w:rsidRPr="00E133EE">
        <w:rPr>
          <w:lang w:val="en-US"/>
        </w:rPr>
        <w:t xml:space="preserve">denotes the counts of all missing values in original data, and </w:t>
      </w:r>
      <m:oMath>
        <m:r>
          <w:rPr>
            <w:rFonts w:ascii="Cambria Math" w:hAnsi="Cambria Math"/>
            <w:lang w:val="en-US"/>
          </w:rPr>
          <m:t>I</m:t>
        </m:r>
        <m:d>
          <m:dPr>
            <m:ctrlPr>
              <w:rPr>
                <w:rFonts w:ascii="Cambria Math" w:hAnsi="Cambria Math"/>
                <w:i/>
                <w:lang w:val="en-US"/>
              </w:rPr>
            </m:ctrlPr>
          </m:dPr>
          <m:e>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new</m:t>
                </m:r>
              </m:sub>
              <m:sup>
                <m:r>
                  <w:rPr>
                    <w:rFonts w:ascii="Cambria Math" w:hAnsi="Cambria Math"/>
                    <w:lang w:val="en-US"/>
                  </w:rPr>
                  <m:t>imp</m:t>
                </m:r>
              </m:sup>
            </m:sSub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X</m:t>
                </m:r>
              </m:e>
              <m:sub>
                <m:r>
                  <w:rPr>
                    <w:rFonts w:ascii="Cambria Math" w:hAnsi="Cambria Math"/>
                    <w:lang w:val="en-US"/>
                  </w:rPr>
                  <m:t>old</m:t>
                </m:r>
              </m:sub>
              <m:sup>
                <m:r>
                  <w:rPr>
                    <w:rFonts w:ascii="Cambria Math" w:hAnsi="Cambria Math"/>
                    <w:lang w:val="en-US"/>
                  </w:rPr>
                  <m:t>imp</m:t>
                </m:r>
              </m:sup>
            </m:sSubSup>
          </m:e>
        </m:d>
      </m:oMath>
      <w:r w:rsidRPr="00E133EE">
        <w:rPr>
          <w:rFonts w:hint="eastAsia"/>
          <w:lang w:val="en-US"/>
        </w:rPr>
        <w:t xml:space="preserve"> </w:t>
      </w:r>
      <w:r w:rsidRPr="00E133EE">
        <w:rPr>
          <w:lang w:val="en-US"/>
        </w:rPr>
        <w:t xml:space="preserve">is the indicator function which represents the counts of different imputed values between two iterations. Therefore, the </w:t>
      </w:r>
      <w:r w:rsidRPr="00E133EE">
        <w:rPr>
          <w:i/>
          <w:iCs/>
          <w:lang w:val="en-US"/>
        </w:rPr>
        <w:t>d</w:t>
      </w:r>
      <w:r w:rsidRPr="00E133EE">
        <w:rPr>
          <w:lang w:val="en-US"/>
        </w:rPr>
        <w:t xml:space="preserve"> is the sum of difference of continuous features and categorial features.</w:t>
      </w:r>
    </w:p>
    <w:p w14:paraId="40B4DB88" w14:textId="77777777" w:rsidR="00D63748" w:rsidRPr="00E133EE" w:rsidRDefault="00D63748" w:rsidP="00D63748">
      <w:pPr>
        <w:spacing w:line="480" w:lineRule="auto"/>
        <w:jc w:val="both"/>
        <w:rPr>
          <w:lang w:val="en-US"/>
        </w:rPr>
      </w:pPr>
    </w:p>
    <w:p w14:paraId="7556B856" w14:textId="77777777" w:rsidR="00D63748" w:rsidRPr="00E133EE" w:rsidRDefault="00D63748" w:rsidP="00D63748">
      <w:pPr>
        <w:spacing w:line="480" w:lineRule="auto"/>
        <w:jc w:val="both"/>
        <w:rPr>
          <w:lang w:val="en-US"/>
        </w:rPr>
      </w:pPr>
      <w:r w:rsidRPr="00E133EE">
        <w:rPr>
          <w:rFonts w:hint="eastAsia"/>
          <w:b/>
          <w:bCs/>
          <w:lang w:val="en-US"/>
        </w:rPr>
        <w:t>C</w:t>
      </w:r>
      <w:r w:rsidRPr="00E133EE">
        <w:rPr>
          <w:b/>
          <w:bCs/>
          <w:lang w:val="en-US"/>
        </w:rPr>
        <w:t>onfidence potential</w:t>
      </w:r>
      <w:r w:rsidRPr="00E133EE">
        <w:rPr>
          <w:lang w:val="en-US"/>
        </w:rPr>
        <w:t>. After</w:t>
      </w:r>
      <w:r w:rsidRPr="00E133EE">
        <w:rPr>
          <w:b/>
          <w:bCs/>
          <w:lang w:val="en-US"/>
        </w:rPr>
        <w:t xml:space="preserve"> </w:t>
      </w:r>
      <w:r w:rsidRPr="00E133EE">
        <w:rPr>
          <w:lang w:val="en-US"/>
        </w:rPr>
        <w:t xml:space="preserve">imputation, each feature obtained the intact information. However, ISEM presented stronger prediction capability for features having fewer missing values, which manifested different imputed values reflected distinct “predicted potential”. To quantify this potential, we defined an innovative confidence potential </w:t>
      </w:r>
      <m:oMath>
        <m:sSub>
          <m:sSubPr>
            <m:ctrlPr>
              <w:rPr>
                <w:rFonts w:ascii="Cambria Math" w:hAnsi="Cambria Math"/>
                <w:i/>
                <w:iCs/>
                <w:lang w:val="en-US"/>
              </w:rPr>
            </m:ctrlPr>
          </m:sSubPr>
          <m:e>
            <m:r>
              <w:rPr>
                <w:rFonts w:ascii="Cambria Math" w:hAnsi="Cambria Math"/>
                <w:lang w:val="en-US"/>
              </w:rPr>
              <m:t>C</m:t>
            </m:r>
          </m:e>
          <m:sub>
            <m:r>
              <w:rPr>
                <w:rFonts w:ascii="Cambria Math" w:hAnsi="Cambria Math"/>
                <w:lang w:val="en-US"/>
              </w:rPr>
              <m:t>i</m:t>
            </m:r>
          </m:sub>
        </m:sSub>
        <m:r>
          <w:rPr>
            <w:rFonts w:ascii="Cambria Math" w:hAnsi="Cambria Math"/>
            <w:lang w:val="en-US"/>
          </w:rPr>
          <m:t xml:space="preserve"> </m:t>
        </m:r>
      </m:oMath>
      <w:r w:rsidRPr="00E133EE">
        <w:rPr>
          <w:lang w:val="en-US"/>
        </w:rPr>
        <w:t>based on the information theory and original data distribution:</w:t>
      </w:r>
    </w:p>
    <w:p w14:paraId="1AEAA378" w14:textId="77777777" w:rsidR="00D63748" w:rsidRPr="00E133EE" w:rsidRDefault="00734264" w:rsidP="00D63748">
      <w:pPr>
        <w:spacing w:line="480" w:lineRule="auto"/>
        <w:jc w:val="both"/>
        <w:rPr>
          <w:lang w:val="en-US"/>
        </w:rPr>
      </w:pPr>
      <m:oMathPara>
        <m:oMath>
          <m:sSub>
            <m:sSubPr>
              <m:ctrlPr>
                <w:rPr>
                  <w:rFonts w:ascii="Cambria Math" w:hAnsi="Cambria Math"/>
                  <w:i/>
                  <w:iCs/>
                  <w:lang w:val="en-US"/>
                </w:rPr>
              </m:ctrlPr>
            </m:sSubPr>
            <m:e>
              <m:r>
                <w:rPr>
                  <w:rFonts w:ascii="Cambria Math" w:hAnsi="Cambria Math"/>
                  <w:lang w:val="en-US"/>
                </w:rPr>
                <m:t>C</m:t>
              </m:r>
            </m:e>
            <m:sub>
              <m:r>
                <w:rPr>
                  <w:rFonts w:ascii="Cambria Math" w:hAnsi="Cambria Math"/>
                  <w:lang w:val="en-US"/>
                </w:rPr>
                <m:t>i</m:t>
              </m:r>
            </m:sub>
          </m:sSub>
          <m:r>
            <w:rPr>
              <w:rFonts w:ascii="Cambria Math" w:hAnsi="Cambria Math"/>
              <w:lang w:val="en-US"/>
            </w:rPr>
            <m:t> =</m:t>
          </m:r>
          <m:f>
            <m:fPr>
              <m:ctrlPr>
                <w:rPr>
                  <w:rFonts w:ascii="Cambria Math" w:hAnsi="Cambria Math"/>
                  <w:i/>
                  <w:iCs/>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iCs/>
                  <w:lang w:val="en-US"/>
                </w:rPr>
              </m:ctrlPr>
            </m:dPr>
            <m:e>
              <m:d>
                <m:dPr>
                  <m:ctrlPr>
                    <w:rPr>
                      <w:rFonts w:ascii="Cambria Math" w:hAnsi="Cambria Math"/>
                      <w:i/>
                      <w:iCs/>
                      <w:lang w:val="en-US"/>
                    </w:rPr>
                  </m:ctrlPr>
                </m:dPr>
                <m:e>
                  <m:r>
                    <w:rPr>
                      <w:rFonts w:ascii="Cambria Math" w:hAnsi="Cambria Math"/>
                      <w:lang w:val="en-US"/>
                    </w:rPr>
                    <m:t>AMI</m:t>
                  </m:r>
                  <m:d>
                    <m:dPr>
                      <m:ctrlPr>
                        <w:rPr>
                          <w:rFonts w:ascii="Cambria Math" w:hAnsi="Cambria Math"/>
                          <w:i/>
                          <w:iCs/>
                          <w:lang w:val="en-US"/>
                        </w:rPr>
                      </m:ctrlPr>
                    </m:dPr>
                    <m:e>
                      <m:sSubSup>
                        <m:sSubSupPr>
                          <m:ctrlPr>
                            <w:rPr>
                              <w:rFonts w:ascii="Cambria Math" w:hAnsi="Cambria Math"/>
                              <w:i/>
                              <w:iCs/>
                              <w:lang w:val="en-US"/>
                            </w:rPr>
                          </m:ctrlPr>
                        </m:sSubSupPr>
                        <m:e>
                          <m:r>
                            <w:rPr>
                              <w:rFonts w:ascii="Cambria Math" w:hAnsi="Cambria Math"/>
                              <w:lang w:val="en-US"/>
                            </w:rPr>
                            <m:t>x</m:t>
                          </m:r>
                        </m:e>
                        <m:sub>
                          <m:r>
                            <w:rPr>
                              <w:rFonts w:ascii="Cambria Math" w:hAnsi="Cambria Math"/>
                              <w:lang w:val="en-US"/>
                            </w:rPr>
                            <m:t>obs </m:t>
                          </m:r>
                        </m:sub>
                        <m:sup>
                          <m:r>
                            <w:rPr>
                              <w:rFonts w:ascii="Cambria Math" w:hAnsi="Cambria Math"/>
                              <w:lang w:val="en-US"/>
                            </w:rPr>
                            <m:t>i</m:t>
                          </m:r>
                        </m:sup>
                      </m:sSubSup>
                      <m:r>
                        <w:rPr>
                          <w:rFonts w:ascii="Cambria Math" w:hAnsi="Cambria Math"/>
                          <w:lang w:val="en-US"/>
                        </w:rPr>
                        <m:t>,</m:t>
                      </m:r>
                      <m:sSubSup>
                        <m:sSubSupPr>
                          <m:ctrlPr>
                            <w:rPr>
                              <w:rFonts w:ascii="Cambria Math" w:hAnsi="Cambria Math"/>
                              <w:i/>
                              <w:iCs/>
                              <w:lang w:val="en-US"/>
                            </w:rPr>
                          </m:ctrlPr>
                        </m:sSubSupPr>
                        <m:e>
                          <m:r>
                            <w:rPr>
                              <w:rFonts w:ascii="Cambria Math" w:hAnsi="Cambria Math"/>
                              <w:lang w:val="en-US"/>
                            </w:rPr>
                            <m:t> x</m:t>
                          </m:r>
                        </m:e>
                        <m:sub>
                          <m:r>
                            <w:rPr>
                              <w:rFonts w:ascii="Cambria Math" w:hAnsi="Cambria Math"/>
                              <w:lang w:val="en-US"/>
                            </w:rPr>
                            <m:t>obs</m:t>
                          </m:r>
                        </m:sub>
                        <m:sup>
                          <m:r>
                            <w:rPr>
                              <w:rFonts w:ascii="Cambria Math" w:hAnsi="Cambria Math"/>
                              <w:lang w:val="en-US"/>
                            </w:rPr>
                            <m:t>j</m:t>
                          </m:r>
                        </m:sup>
                      </m:sSubSup>
                    </m:e>
                  </m:d>
                  <m:r>
                    <w:rPr>
                      <w:rFonts w:ascii="Cambria Math" w:hAnsi="Cambria Math"/>
                      <w:lang w:val="en-US"/>
                    </w:rPr>
                    <m:t>+</m:t>
                  </m:r>
                  <m:f>
                    <m:fPr>
                      <m:ctrlPr>
                        <w:rPr>
                          <w:rFonts w:ascii="Cambria Math" w:hAnsi="Cambria Math"/>
                          <w:i/>
                          <w:iCs/>
                          <w:lang w:val="en-US"/>
                        </w:rPr>
                      </m:ctrlPr>
                    </m:fPr>
                    <m:num>
                      <m:sSub>
                        <m:sSubPr>
                          <m:ctrlPr>
                            <w:rPr>
                              <w:rFonts w:ascii="Cambria Math" w:hAnsi="Cambria Math"/>
                              <w:i/>
                              <w:iCs/>
                              <w:lang w:val="en-US"/>
                            </w:rPr>
                          </m:ctrlPr>
                        </m:sSubPr>
                        <m:e>
                          <m:r>
                            <w:rPr>
                              <w:rFonts w:ascii="Cambria Math" w:hAnsi="Cambria Math"/>
                              <w:lang w:val="en-US"/>
                            </w:rPr>
                            <m:t>NM</m:t>
                          </m:r>
                        </m:e>
                        <m:sub>
                          <m:r>
                            <w:rPr>
                              <w:rFonts w:ascii="Cambria Math" w:hAnsi="Cambria Math"/>
                              <w:lang w:val="en-US"/>
                            </w:rPr>
                            <m:t>i</m:t>
                          </m:r>
                        </m:sub>
                      </m:sSub>
                    </m:num>
                    <m:den>
                      <m:r>
                        <w:rPr>
                          <w:rFonts w:ascii="Cambria Math" w:hAnsi="Cambria Math"/>
                          <w:lang w:val="en-US"/>
                        </w:rPr>
                        <m:t>N</m:t>
                      </m:r>
                    </m:den>
                  </m:f>
                </m:e>
              </m:d>
            </m:e>
          </m:d>
          <m:r>
            <w:rPr>
              <w:rFonts w:ascii="Cambria Math" w:hAnsi="Cambria Math"/>
              <w:lang w:val="en-US"/>
            </w:rPr>
            <m:t>, j=1,2,…,p and j≠i</m:t>
          </m:r>
        </m:oMath>
      </m:oMathPara>
    </w:p>
    <w:p w14:paraId="368DFF8C" w14:textId="77777777" w:rsidR="00D63748" w:rsidRPr="00E133EE" w:rsidRDefault="00D63748" w:rsidP="00D63748">
      <w:pPr>
        <w:spacing w:line="480" w:lineRule="auto"/>
        <w:jc w:val="both"/>
        <w:rPr>
          <w:lang w:val="en-US"/>
        </w:rPr>
      </w:pPr>
      <m:oMathPara>
        <m:oMathParaPr>
          <m:jc m:val="centerGroup"/>
        </m:oMathParaPr>
        <m:oMath>
          <m:r>
            <w:rPr>
              <w:rFonts w:ascii="Cambria Math" w:hAnsi="Cambria Math"/>
              <w:lang w:val="en-US"/>
            </w:rPr>
            <m:t>AMI</m:t>
          </m:r>
          <m:d>
            <m:dPr>
              <m:ctrlPr>
                <w:rPr>
                  <w:rFonts w:ascii="Cambria Math" w:hAnsi="Cambria Math"/>
                  <w:i/>
                  <w:iCs/>
                  <w:lang w:val="en-US"/>
                </w:rPr>
              </m:ctrlPr>
            </m:dPr>
            <m:e>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i</m:t>
                  </m:r>
                </m:sup>
              </m:sSup>
              <m:r>
                <w:rPr>
                  <w:rFonts w:ascii="Cambria Math" w:hAnsi="Cambria Math"/>
                  <w:lang w:val="en-US"/>
                </w:rPr>
                <m:t>,</m:t>
              </m:r>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j</m:t>
                  </m:r>
                </m:sup>
              </m:sSup>
              <m:r>
                <w:rPr>
                  <w:rFonts w:ascii="Cambria Math" w:hAnsi="Cambria Math" w:hint="eastAsia"/>
                  <w:lang w:val="en-US"/>
                </w:rPr>
                <m:t> </m:t>
              </m:r>
            </m:e>
          </m:d>
          <m:r>
            <w:rPr>
              <w:rFonts w:ascii="Cambria Math" w:hAnsi="Cambria Math"/>
              <w:lang w:val="en-US"/>
            </w:rPr>
            <m:t>=</m:t>
          </m:r>
          <m:f>
            <m:fPr>
              <m:ctrlPr>
                <w:rPr>
                  <w:rFonts w:ascii="Cambria Math" w:hAnsi="Cambria Math"/>
                  <w:i/>
                  <w:iCs/>
                  <w:lang w:val="en-US"/>
                </w:rPr>
              </m:ctrlPr>
            </m:fPr>
            <m:num>
              <m:r>
                <w:rPr>
                  <w:rFonts w:ascii="Cambria Math" w:hAnsi="Cambria Math"/>
                  <w:lang w:val="en-US"/>
                </w:rPr>
                <m:t>MI</m:t>
              </m:r>
              <m:d>
                <m:dPr>
                  <m:ctrlPr>
                    <w:rPr>
                      <w:rFonts w:ascii="Cambria Math" w:hAnsi="Cambria Math"/>
                      <w:i/>
                      <w:iCs/>
                      <w:lang w:val="en-US"/>
                    </w:rPr>
                  </m:ctrlPr>
                </m:dPr>
                <m:e>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i</m:t>
                      </m:r>
                    </m:sup>
                  </m:sSup>
                  <m:r>
                    <w:rPr>
                      <w:rFonts w:ascii="Cambria Math" w:hAnsi="Cambria Math"/>
                      <w:lang w:val="en-US"/>
                    </w:rPr>
                    <m:t>,</m:t>
                  </m:r>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j</m:t>
                      </m:r>
                    </m:sup>
                  </m:sSup>
                  <m:r>
                    <w:rPr>
                      <w:rFonts w:ascii="Cambria Math" w:hAnsi="Cambria Math" w:hint="eastAsia"/>
                      <w:lang w:val="en-US"/>
                    </w:rPr>
                    <m:t> </m:t>
                  </m:r>
                </m:e>
              </m:d>
              <m:r>
                <w:rPr>
                  <w:rFonts w:ascii="Cambria Math" w:hAnsi="Cambria Math"/>
                  <w:lang w:val="en-US"/>
                </w:rPr>
                <m:t>-E{MI</m:t>
              </m:r>
              <m:d>
                <m:dPr>
                  <m:ctrlPr>
                    <w:rPr>
                      <w:rFonts w:ascii="Cambria Math" w:hAnsi="Cambria Math"/>
                      <w:i/>
                      <w:iCs/>
                      <w:lang w:val="en-US"/>
                    </w:rPr>
                  </m:ctrlPr>
                </m:dPr>
                <m:e>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i</m:t>
                      </m:r>
                    </m:sup>
                  </m:sSup>
                  <m:r>
                    <w:rPr>
                      <w:rFonts w:ascii="Cambria Math" w:hAnsi="Cambria Math"/>
                      <w:lang w:val="en-US"/>
                    </w:rPr>
                    <m:t>,</m:t>
                  </m:r>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j</m:t>
                      </m:r>
                    </m:sup>
                  </m:sSup>
                  <m:r>
                    <w:rPr>
                      <w:rFonts w:ascii="Cambria Math" w:hAnsi="Cambria Math" w:hint="eastAsia"/>
                      <w:lang w:val="en-US"/>
                    </w:rPr>
                    <m:t> </m:t>
                  </m:r>
                </m:e>
              </m:d>
              <m:r>
                <w:rPr>
                  <w:rFonts w:ascii="Cambria Math" w:hAnsi="Cambria Math"/>
                  <w:lang w:val="en-US"/>
                </w:rPr>
                <m:t>}</m:t>
              </m:r>
            </m:num>
            <m:den>
              <m:r>
                <w:rPr>
                  <w:rFonts w:ascii="Cambria Math" w:hAnsi="Cambria Math"/>
                  <w:lang w:val="en-US"/>
                </w:rPr>
                <m:t>max{H</m:t>
              </m:r>
              <m:d>
                <m:dPr>
                  <m:ctrlPr>
                    <w:rPr>
                      <w:rFonts w:ascii="Cambria Math" w:hAnsi="Cambria Math"/>
                      <w:i/>
                      <w:iCs/>
                      <w:lang w:val="en-US"/>
                    </w:rPr>
                  </m:ctrlPr>
                </m:dPr>
                <m:e>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i</m:t>
                      </m:r>
                    </m:sup>
                  </m:sSup>
                </m:e>
              </m:d>
              <m:r>
                <w:rPr>
                  <w:rFonts w:ascii="Cambria Math" w:hAnsi="Cambria Math"/>
                  <w:lang w:val="en-US"/>
                </w:rPr>
                <m:t>, H</m:t>
              </m:r>
              <m:d>
                <m:dPr>
                  <m:ctrlPr>
                    <w:rPr>
                      <w:rFonts w:ascii="Cambria Math" w:hAnsi="Cambria Math"/>
                      <w:i/>
                      <w:iCs/>
                      <w:lang w:val="en-US"/>
                    </w:rPr>
                  </m:ctrlPr>
                </m:dPr>
                <m:e>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j</m:t>
                      </m:r>
                    </m:sup>
                  </m:sSup>
                  <m:r>
                    <w:rPr>
                      <w:rFonts w:ascii="Cambria Math" w:hAnsi="Cambria Math" w:hint="eastAsia"/>
                      <w:lang w:val="en-US"/>
                    </w:rPr>
                    <m:t> </m:t>
                  </m:r>
                </m:e>
              </m:d>
              <m:r>
                <w:rPr>
                  <w:rFonts w:ascii="Cambria Math" w:hAnsi="Cambria Math"/>
                  <w:lang w:val="en-US"/>
                </w:rPr>
                <m:t>}-E{MI</m:t>
              </m:r>
              <m:d>
                <m:dPr>
                  <m:ctrlPr>
                    <w:rPr>
                      <w:rFonts w:ascii="Cambria Math" w:hAnsi="Cambria Math"/>
                      <w:i/>
                      <w:iCs/>
                      <w:lang w:val="en-US"/>
                    </w:rPr>
                  </m:ctrlPr>
                </m:dPr>
                <m:e>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i</m:t>
                      </m:r>
                    </m:sup>
                  </m:sSup>
                  <m:r>
                    <w:rPr>
                      <w:rFonts w:ascii="Cambria Math" w:hAnsi="Cambria Math"/>
                      <w:lang w:val="en-US"/>
                    </w:rPr>
                    <m:t>,</m:t>
                  </m:r>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j</m:t>
                      </m:r>
                    </m:sup>
                  </m:sSup>
                  <m:r>
                    <w:rPr>
                      <w:rFonts w:ascii="Cambria Math" w:hAnsi="Cambria Math" w:hint="eastAsia"/>
                      <w:lang w:val="en-US"/>
                    </w:rPr>
                    <m:t> </m:t>
                  </m:r>
                </m:e>
              </m:d>
              <m:r>
                <w:rPr>
                  <w:rFonts w:ascii="Cambria Math" w:hAnsi="Cambria Math"/>
                  <w:lang w:val="en-US"/>
                </w:rPr>
                <m:t>}</m:t>
              </m:r>
            </m:den>
          </m:f>
        </m:oMath>
      </m:oMathPara>
    </w:p>
    <w:p w14:paraId="0091663F" w14:textId="77777777" w:rsidR="00D63748" w:rsidRDefault="00D63748" w:rsidP="00D63748">
      <w:pPr>
        <w:spacing w:line="480" w:lineRule="auto"/>
        <w:jc w:val="both"/>
        <w:rPr>
          <w:iCs/>
          <w:lang w:val="en-US"/>
        </w:rPr>
      </w:pPr>
      <w:r w:rsidRPr="00E133EE">
        <w:rPr>
          <w:iCs/>
          <w:lang w:val="en-US"/>
        </w:rPr>
        <w:t xml:space="preserve">which is </w:t>
      </w:r>
      <w:r w:rsidRPr="00E133EE">
        <w:rPr>
          <w:lang w:val="en-US"/>
        </w:rPr>
        <w:t>the Arithmetic Mean between Adjusted Mutual Information</w:t>
      </w:r>
      <w:sdt>
        <w:sdtPr>
          <w:rPr>
            <w:lang w:val="en-US"/>
          </w:rPr>
          <w:tag w:val="doc:5f0b1815e4b0746e862ae21a;body"/>
          <w:id w:val="-2128533002"/>
          <w:placeholder>
            <w:docPart w:val="C07835FDE3CC8B46A99EF3FE3E824C2B"/>
          </w:placeholder>
        </w:sdtPr>
        <w:sdtEndPr/>
        <w:sdtContent>
          <w:r w:rsidRPr="00E133EE">
            <w:rPr>
              <w:lang w:val="en-US"/>
            </w:rPr>
            <w:t>[1]</w:t>
          </w:r>
        </w:sdtContent>
      </w:sdt>
      <w:r w:rsidRPr="00E133EE">
        <w:rPr>
          <w:lang w:val="en-US"/>
        </w:rPr>
        <w:t xml:space="preserve"> and percentage of non-missing value. Suppose that the data has </w:t>
      </w:r>
      <w:r w:rsidRPr="00E133EE">
        <w:rPr>
          <w:i/>
          <w:iCs/>
          <w:lang w:val="en-US"/>
        </w:rPr>
        <w:t>p</w:t>
      </w:r>
      <w:r w:rsidRPr="00E133EE">
        <w:rPr>
          <w:lang w:val="en-US"/>
        </w:rPr>
        <w:t xml:space="preserve"> features. </w:t>
      </w:r>
      <w:r w:rsidRPr="00E133EE">
        <w:rPr>
          <w:i/>
          <w:lang w:val="en-US"/>
        </w:rPr>
        <w:t>H</w:t>
      </w:r>
      <w:r w:rsidRPr="00E133EE">
        <w:rPr>
          <w:iCs/>
          <w:lang w:val="en-US"/>
        </w:rPr>
        <w:t xml:space="preserve"> denotes Shannon Entropy, and </w:t>
      </w:r>
      <m:oMath>
        <m:sSubSup>
          <m:sSubSupPr>
            <m:ctrlPr>
              <w:rPr>
                <w:rFonts w:ascii="Cambria Math" w:hAnsi="Cambria Math"/>
                <w:i/>
                <w:iCs/>
                <w:lang w:val="en-US"/>
              </w:rPr>
            </m:ctrlPr>
          </m:sSubSupPr>
          <m:e>
            <m:r>
              <w:rPr>
                <w:rFonts w:ascii="Cambria Math" w:hAnsi="Cambria Math"/>
                <w:lang w:val="en-US"/>
              </w:rPr>
              <m:t>x</m:t>
            </m:r>
          </m:e>
          <m:sub>
            <m:r>
              <w:rPr>
                <w:rFonts w:ascii="Cambria Math" w:hAnsi="Cambria Math"/>
                <w:lang w:val="en-US"/>
              </w:rPr>
              <m:t>obs</m:t>
            </m:r>
            <m:r>
              <m:rPr>
                <m:sty m:val="p"/>
              </m:rPr>
              <w:rPr>
                <w:rFonts w:ascii="Cambria Math" w:hAnsi="Cambria Math"/>
                <w:lang w:val="en-US"/>
              </w:rPr>
              <m:t> </m:t>
            </m:r>
          </m:sub>
          <m:sup>
            <m:r>
              <w:rPr>
                <w:rFonts w:ascii="Cambria Math" w:hAnsi="Cambria Math"/>
                <w:lang w:val="en-US"/>
              </w:rPr>
              <m:t>i</m:t>
            </m:r>
          </m:sup>
        </m:sSubSup>
      </m:oMath>
      <w:r w:rsidRPr="00E133EE">
        <w:rPr>
          <w:rFonts w:hint="eastAsia"/>
          <w:iCs/>
          <w:lang w:val="en-US"/>
        </w:rPr>
        <w:t xml:space="preserve"> </w:t>
      </w:r>
      <w:r w:rsidRPr="00E133EE">
        <w:rPr>
          <w:iCs/>
          <w:lang w:val="en-US"/>
        </w:rPr>
        <w:t>can be interpreted as</w:t>
      </w:r>
      <w:r w:rsidRPr="00E133EE">
        <w:rPr>
          <w:rFonts w:hint="eastAsia"/>
          <w:iCs/>
          <w:lang w:val="en-US"/>
        </w:rPr>
        <w:t xml:space="preserve"> </w:t>
      </w:r>
      <w:r w:rsidRPr="00E133EE">
        <w:rPr>
          <w:iCs/>
          <w:lang w:val="en-US"/>
        </w:rPr>
        <w:t xml:space="preserve">the </w:t>
      </w:r>
      <w:proofErr w:type="spellStart"/>
      <w:r w:rsidRPr="00E133EE">
        <w:rPr>
          <w:i/>
          <w:lang w:val="en-US"/>
        </w:rPr>
        <w:t>i</w:t>
      </w:r>
      <w:r w:rsidRPr="00E133EE">
        <w:rPr>
          <w:iCs/>
          <w:lang w:val="en-US"/>
        </w:rPr>
        <w:t>-th</w:t>
      </w:r>
      <w:proofErr w:type="spellEnd"/>
      <w:r w:rsidRPr="00E133EE">
        <w:rPr>
          <w:iCs/>
          <w:lang w:val="en-US"/>
        </w:rPr>
        <w:t xml:space="preserve"> feature vector without missing values. </w:t>
      </w:r>
      <m:oMath>
        <m:sSub>
          <m:sSubPr>
            <m:ctrlPr>
              <w:rPr>
                <w:rFonts w:ascii="Cambria Math" w:hAnsi="Cambria Math"/>
                <w:i/>
                <w:iCs/>
                <w:lang w:val="en-US"/>
              </w:rPr>
            </m:ctrlPr>
          </m:sSubPr>
          <m:e>
            <m:r>
              <w:rPr>
                <w:rFonts w:ascii="Cambria Math" w:hAnsi="Cambria Math"/>
                <w:lang w:val="en-US"/>
              </w:rPr>
              <m:t>NM</m:t>
            </m:r>
          </m:e>
          <m:sub>
            <m:r>
              <w:rPr>
                <w:rFonts w:ascii="Cambria Math" w:hAnsi="Cambria Math"/>
                <w:lang w:val="en-US"/>
              </w:rPr>
              <m:t>i</m:t>
            </m:r>
          </m:sub>
        </m:sSub>
      </m:oMath>
      <w:r w:rsidRPr="00E133EE">
        <w:rPr>
          <w:rFonts w:hint="eastAsia"/>
          <w:iCs/>
          <w:lang w:val="en-US"/>
        </w:rPr>
        <w:t xml:space="preserve"> </w:t>
      </w:r>
      <w:r w:rsidRPr="00E133EE">
        <w:rPr>
          <w:iCs/>
          <w:lang w:val="en-US"/>
        </w:rPr>
        <w:t xml:space="preserve">and </w:t>
      </w:r>
      <m:oMath>
        <m:r>
          <w:rPr>
            <w:rFonts w:ascii="Cambria Math" w:hAnsi="Cambria Math"/>
            <w:lang w:val="en-US"/>
          </w:rPr>
          <m:t>N</m:t>
        </m:r>
      </m:oMath>
      <w:r w:rsidRPr="00E133EE">
        <w:rPr>
          <w:iCs/>
          <w:lang w:val="en-US"/>
        </w:rPr>
        <w:t xml:space="preserve"> represent the number of non-missing value for feature </w:t>
      </w:r>
      <m:oMath>
        <m:r>
          <w:rPr>
            <w:rFonts w:ascii="Cambria Math" w:hAnsi="Cambria Math"/>
            <w:lang w:val="en-US"/>
          </w:rPr>
          <m:t>i</m:t>
        </m:r>
      </m:oMath>
      <w:r w:rsidRPr="00E133EE">
        <w:rPr>
          <w:rFonts w:hint="eastAsia"/>
          <w:iCs/>
          <w:lang w:val="en-US"/>
        </w:rPr>
        <w:t xml:space="preserve"> </w:t>
      </w:r>
      <w:proofErr w:type="spellStart"/>
      <w:r w:rsidRPr="00E133EE">
        <w:rPr>
          <w:iCs/>
          <w:lang w:val="en-US"/>
        </w:rPr>
        <w:t>and</w:t>
      </w:r>
      <w:proofErr w:type="spellEnd"/>
      <w:r w:rsidRPr="00E133EE">
        <w:rPr>
          <w:iCs/>
          <w:lang w:val="en-US"/>
        </w:rPr>
        <w:t xml:space="preserve"> the counts of total samples respectively. Here, when </w:t>
      </w:r>
      <m:oMath>
        <m:r>
          <w:rPr>
            <w:rFonts w:ascii="Cambria Math" w:hAnsi="Cambria Math"/>
            <w:lang w:val="en-US"/>
          </w:rPr>
          <w:lastRenderedPageBreak/>
          <m:t>AMI</m:t>
        </m:r>
        <m:d>
          <m:dPr>
            <m:ctrlPr>
              <w:rPr>
                <w:rFonts w:ascii="Cambria Math" w:hAnsi="Cambria Math"/>
                <w:i/>
                <w:iCs/>
                <w:lang w:val="en-US"/>
              </w:rPr>
            </m:ctrlPr>
          </m:dPr>
          <m:e>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i</m:t>
                </m:r>
              </m:sup>
            </m:sSup>
            <m:r>
              <w:rPr>
                <w:rFonts w:ascii="Cambria Math" w:hAnsi="Cambria Math"/>
                <w:lang w:val="en-US"/>
              </w:rPr>
              <m:t>,</m:t>
            </m:r>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j</m:t>
                </m:r>
              </m:sup>
            </m:sSup>
            <m:r>
              <w:rPr>
                <w:rFonts w:ascii="Cambria Math" w:hAnsi="Cambria Math" w:hint="eastAsia"/>
                <w:lang w:val="en-US"/>
              </w:rPr>
              <m:t> </m:t>
            </m:r>
          </m:e>
        </m:d>
      </m:oMath>
      <w:r w:rsidRPr="00E133EE">
        <w:rPr>
          <w:rFonts w:hint="eastAsia"/>
          <w:iCs/>
          <w:lang w:val="en-US"/>
        </w:rPr>
        <w:t xml:space="preserve"> </w:t>
      </w:r>
      <w:r w:rsidRPr="00E133EE">
        <w:rPr>
          <w:iCs/>
          <w:lang w:val="en-US"/>
        </w:rPr>
        <w:t xml:space="preserve">were less than 0, it would be set as 0, therefore, the range of </w:t>
      </w:r>
      <m:oMath>
        <m:r>
          <w:rPr>
            <w:rFonts w:ascii="Cambria Math" w:hAnsi="Cambria Math"/>
            <w:lang w:val="en-US"/>
          </w:rPr>
          <m:t>AMI</m:t>
        </m:r>
        <m:d>
          <m:dPr>
            <m:ctrlPr>
              <w:rPr>
                <w:rFonts w:ascii="Cambria Math" w:hAnsi="Cambria Math"/>
                <w:i/>
                <w:iCs/>
                <w:lang w:val="en-US"/>
              </w:rPr>
            </m:ctrlPr>
          </m:dPr>
          <m:e>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i</m:t>
                </m:r>
              </m:sup>
            </m:sSup>
            <m:r>
              <w:rPr>
                <w:rFonts w:ascii="Cambria Math" w:hAnsi="Cambria Math"/>
                <w:lang w:val="en-US"/>
              </w:rPr>
              <m:t>,</m:t>
            </m:r>
            <m:sSup>
              <m:sSupPr>
                <m:ctrlPr>
                  <w:rPr>
                    <w:rFonts w:ascii="Cambria Math" w:hAnsi="Cambria Math"/>
                    <w:i/>
                    <w:iCs/>
                    <w:lang w:val="en-US"/>
                  </w:rPr>
                </m:ctrlPr>
              </m:sSupPr>
              <m:e>
                <m:r>
                  <w:rPr>
                    <w:rFonts w:ascii="Cambria Math" w:hAnsi="Cambria Math"/>
                    <w:lang w:val="en-US"/>
                  </w:rPr>
                  <m:t>x</m:t>
                </m:r>
              </m:e>
              <m:sup>
                <m:r>
                  <w:rPr>
                    <w:rFonts w:ascii="Cambria Math" w:hAnsi="Cambria Math"/>
                    <w:lang w:val="en-US"/>
                  </w:rPr>
                  <m:t>j</m:t>
                </m:r>
              </m:sup>
            </m:sSup>
            <m:r>
              <w:rPr>
                <w:rFonts w:ascii="Cambria Math" w:hAnsi="Cambria Math" w:hint="eastAsia"/>
                <w:lang w:val="en-US"/>
              </w:rPr>
              <m:t> </m:t>
            </m:r>
          </m:e>
        </m:d>
      </m:oMath>
      <w:r w:rsidRPr="00E133EE">
        <w:rPr>
          <w:rFonts w:hint="eastAsia"/>
          <w:iCs/>
          <w:lang w:val="en-US"/>
        </w:rPr>
        <w:t xml:space="preserve"> </w:t>
      </w:r>
      <w:r w:rsidRPr="00E133EE">
        <w:rPr>
          <w:iCs/>
          <w:lang w:val="en-US"/>
        </w:rPr>
        <w:t xml:space="preserve">is [0,1]. 1 infers feature </w:t>
      </w:r>
      <w:proofErr w:type="spellStart"/>
      <w:r w:rsidRPr="00E133EE">
        <w:rPr>
          <w:i/>
          <w:lang w:val="en-US"/>
        </w:rPr>
        <w:t>i</w:t>
      </w:r>
      <w:proofErr w:type="spellEnd"/>
      <w:r w:rsidRPr="00E133EE">
        <w:rPr>
          <w:i/>
          <w:lang w:val="en-US"/>
        </w:rPr>
        <w:t xml:space="preserve"> </w:t>
      </w:r>
      <w:r w:rsidRPr="00E133EE">
        <w:rPr>
          <w:iCs/>
          <w:lang w:val="en-US"/>
        </w:rPr>
        <w:t>is completely related feature</w:t>
      </w:r>
      <w:r w:rsidRPr="00E133EE">
        <w:rPr>
          <w:i/>
          <w:lang w:val="en-US"/>
        </w:rPr>
        <w:t xml:space="preserve"> j</w:t>
      </w:r>
      <w:r w:rsidRPr="00E133EE">
        <w:rPr>
          <w:iCs/>
          <w:lang w:val="en-US"/>
        </w:rPr>
        <w:t xml:space="preserve">, and 0 demonstrates they are not related or completely random. </w:t>
      </w:r>
    </w:p>
    <w:p w14:paraId="650C1DD5" w14:textId="77777777" w:rsidR="00D63748" w:rsidRPr="00922C3F" w:rsidRDefault="00D63748" w:rsidP="00D63748">
      <w:pPr>
        <w:spacing w:line="480" w:lineRule="auto"/>
        <w:jc w:val="both"/>
        <w:rPr>
          <w:iCs/>
          <w:lang w:val="en-US"/>
        </w:rPr>
      </w:pPr>
    </w:p>
    <w:p w14:paraId="1CE14EE5" w14:textId="77777777" w:rsidR="00D63748" w:rsidRPr="00E133EE" w:rsidRDefault="00D63748" w:rsidP="00D63748">
      <w:pPr>
        <w:spacing w:line="480" w:lineRule="auto"/>
        <w:jc w:val="both"/>
        <w:rPr>
          <w:b/>
          <w:bCs/>
          <w:lang w:val="en-US"/>
        </w:rPr>
      </w:pPr>
      <w:r w:rsidRPr="00E133EE">
        <w:rPr>
          <w:b/>
          <w:bCs/>
          <w:lang w:val="en-US"/>
        </w:rPr>
        <w:t xml:space="preserve">Predicting HM and Grade with </w:t>
      </w:r>
      <w:proofErr w:type="spellStart"/>
      <w:r w:rsidRPr="00E133EE">
        <w:rPr>
          <w:b/>
          <w:bCs/>
          <w:lang w:val="en-US"/>
        </w:rPr>
        <w:t>XGBoost</w:t>
      </w:r>
      <w:proofErr w:type="spellEnd"/>
      <w:r w:rsidRPr="00E133EE">
        <w:rPr>
          <w:b/>
          <w:bCs/>
          <w:lang w:val="en-US"/>
        </w:rPr>
        <w:t xml:space="preserve"> model. </w:t>
      </w:r>
      <w:proofErr w:type="spellStart"/>
      <w:r w:rsidRPr="00E133EE">
        <w:rPr>
          <w:lang w:val="en-US"/>
        </w:rPr>
        <w:t>XGBoost</w:t>
      </w:r>
      <w:proofErr w:type="spellEnd"/>
      <w:r w:rsidRPr="00E133EE">
        <w:rPr>
          <w:lang w:val="en-US"/>
        </w:rPr>
        <w:t xml:space="preserve"> is a boosting machine learning methodology, supporting influential supervised classification tasks. The dataset was divided into training set and test set two times for the prediction of HM and Grade with the ratio of 3:1. For the training dataset, we leveraged five-fold cross validation to select the optimal parameters, which were applied to the final configuration of </w:t>
      </w:r>
      <w:proofErr w:type="spellStart"/>
      <w:r w:rsidRPr="00E133EE">
        <w:rPr>
          <w:lang w:val="en-US"/>
        </w:rPr>
        <w:t>XGBoost</w:t>
      </w:r>
      <w:proofErr w:type="spellEnd"/>
      <w:r w:rsidRPr="00E133EE">
        <w:rPr>
          <w:lang w:val="en-US"/>
        </w:rPr>
        <w:t xml:space="preserve"> with best validation AUC (Area Under receiver operating characteristic Curve). Then, the independent test dataset was imported into the model to evaluate the performance and generalization ability of the model for unseen data. </w:t>
      </w:r>
    </w:p>
    <w:p w14:paraId="0E30FC37" w14:textId="77777777" w:rsidR="00395E48" w:rsidRDefault="00395E48"/>
    <w:sectPr w:rsidR="00395E4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1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748"/>
    <w:rsid w:val="00010EE0"/>
    <w:rsid w:val="000F72A3"/>
    <w:rsid w:val="002C4D5D"/>
    <w:rsid w:val="00395E48"/>
    <w:rsid w:val="00734264"/>
    <w:rsid w:val="007758B4"/>
    <w:rsid w:val="00864037"/>
    <w:rsid w:val="0099417B"/>
    <w:rsid w:val="00BB5BFE"/>
    <w:rsid w:val="00BE3048"/>
    <w:rsid w:val="00D63748"/>
    <w:rsid w:val="00E71ADA"/>
    <w:rsid w:val="00E94500"/>
    <w:rsid w:val="00EB4B3A"/>
    <w:rsid w:val="00EE6714"/>
    <w:rsid w:val="00F76EA2"/>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F4CAB52"/>
  <w15:chartTrackingRefBased/>
  <w15:docId w15:val="{E5361B81-4BB5-1742-A151-E0CB5B893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748"/>
    <w:rPr>
      <w:rFonts w:ascii="Times New Roman" w:eastAsia="Times New Roman" w:hAnsi="Times New Roman" w:cs="Times New Roman"/>
      <w:lang w:val="en-H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40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9807247">
      <w:bodyDiv w:val="1"/>
      <w:marLeft w:val="0"/>
      <w:marRight w:val="0"/>
      <w:marTop w:val="0"/>
      <w:marBottom w:val="0"/>
      <w:divBdr>
        <w:top w:val="none" w:sz="0" w:space="0" w:color="auto"/>
        <w:left w:val="none" w:sz="0" w:space="0" w:color="auto"/>
        <w:bottom w:val="none" w:sz="0" w:space="0" w:color="auto"/>
        <w:right w:val="none" w:sz="0" w:space="0" w:color="auto"/>
      </w:divBdr>
    </w:div>
    <w:div w:id="98161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C07835FDE3CC8B46A99EF3FE3E824C2B"/>
        <w:category>
          <w:name w:val="General"/>
          <w:gallery w:val="placeholder"/>
        </w:category>
        <w:types>
          <w:type w:val="bbPlcHdr"/>
        </w:types>
        <w:behaviors>
          <w:behavior w:val="content"/>
        </w:behaviors>
        <w:guid w:val="{60044775-2767-F94A-B955-68FB481FD493}"/>
      </w:docPartPr>
      <w:docPartBody>
        <w:p w:rsidR="004947E4" w:rsidRDefault="00510682" w:rsidP="00510682">
          <w:pPr>
            <w:pStyle w:val="C07835FDE3CC8B46A99EF3FE3E824C2B"/>
          </w:pPr>
          <w:r w:rsidRPr="00C30509">
            <w:rPr>
              <w:rStyle w:val="PlaceholderText"/>
            </w:rPr>
            <w:t>Formatting... please wait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1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682"/>
    <w:rsid w:val="001D02C6"/>
    <w:rsid w:val="004947E4"/>
    <w:rsid w:val="00510682"/>
    <w:rsid w:val="00693C29"/>
    <w:rsid w:val="009E467E"/>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10682"/>
    <w:rPr>
      <w:color w:val="808080"/>
    </w:rPr>
  </w:style>
  <w:style w:type="paragraph" w:customStyle="1" w:styleId="C07835FDE3CC8B46A99EF3FE3E824C2B">
    <w:name w:val="C07835FDE3CC8B46A99EF3FE3E824C2B"/>
    <w:rsid w:val="005106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16</Pages>
  <Words>2025</Words>
  <Characters>11548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QMu</dc:creator>
  <cp:keywords/>
  <dc:description/>
  <cp:lastModifiedBy>Jiguang WANG</cp:lastModifiedBy>
  <cp:revision>11</cp:revision>
  <dcterms:created xsi:type="dcterms:W3CDTF">2020-12-26T12:33:00Z</dcterms:created>
  <dcterms:modified xsi:type="dcterms:W3CDTF">2020-12-29T08:06:00Z</dcterms:modified>
</cp:coreProperties>
</file>