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-198755</wp:posOffset>
                </wp:positionV>
                <wp:extent cx="14981555" cy="2349500"/>
                <wp:effectExtent l="0" t="0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83995" y="531495"/>
                          <a:ext cx="14981555" cy="234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Establishment and Validation of the Axillary Lymph Node Burden Using Cone-Beam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Computerized Tomography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and Ultrasound-Based Prediction Models in 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vertAlign w:val="subscript"/>
                              </w:rPr>
                              <w:t xml:space="preserve">1-2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Breast Cancer Patients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Shen Chen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, Jiao Li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, Peiqiang Cai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Tiebao Meng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, Weimei Ma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Jieting Chen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Chuanmiao Xie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, Jianye Liang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Shengting Pei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Lizhi Liu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Chunyan Zhou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, Ni He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*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Yaopan Wu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pacing w:before="240" w:after="0"/>
                              <w:jc w:val="left"/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vertAlign w:val="superscript"/>
                              </w:rPr>
                              <w:t xml:space="preserve">*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Correspondence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Style w:val="7"/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heni@sysucc.org.cn</w:t>
                            </w:r>
                            <w:r>
                              <w:rPr>
                                <w:rStyle w:val="7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and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instrText xml:space="preserve"> HYPERLINK "mailto:wuyp@sysucc.org,cn" </w:instrTex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wuyp@sysucc.org</w:t>
                            </w:r>
                            <w:r>
                              <w:rPr>
                                <w:rStyle w:val="8"/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cn</w:t>
                            </w:r>
                            <w:r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rFonts w:hint="eastAsia" w:eastAsia="宋体" w:cs="Times New Roman"/>
                                <w:sz w:val="20"/>
                                <w:szCs w:val="20"/>
                                <w:vertAlign w:val="superscript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</w:rPr>
                              <w:t>Shen Chen, Jiao Li, Peiqiang Cai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</w:rPr>
                              <w:t>contributed equally to this work.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Style w:val="7"/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18"/>
                                <w:szCs w:val="18"/>
                                <w:vertAlign w:val="superscript"/>
                                <w:lang w:val="en-US" w:eastAsia="zh-CN"/>
                              </w:rPr>
                              <w:t xml:space="preserve">1 </w:t>
                            </w:r>
                            <w:r>
                              <w:rPr>
                                <w:rStyle w:val="7"/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</w:rPr>
                              <w:t>Department of Medical Imaging, Sun Yat-sen University Cancer Center</w:t>
                            </w:r>
                            <w:r>
                              <w:rPr>
                                <w:rStyle w:val="7"/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, Dongfeng Dong Road, Guangzhou 510060</w:t>
                            </w:r>
                            <w:r>
                              <w:rPr>
                                <w:rStyle w:val="7"/>
                                <w:rFonts w:hint="default" w:ascii="Times New Roman" w:hAnsi="Times New Roman" w:eastAsia="宋体" w:cs="Times New Roman"/>
                                <w:sz w:val="20"/>
                                <w:szCs w:val="20"/>
                              </w:rPr>
                              <w:t>, P.R. China</w:t>
                            </w: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left"/>
                              <w:rPr>
                                <w:rStyle w:val="8"/>
                                <w:rFonts w:hint="default" w:ascii="Times New Roman" w:hAnsi="Times New Roman" w:eastAsia="宋体" w:cs="Times New Roman"/>
                                <w:color w:val="auto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left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left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jc w:val="center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35pt;margin-top:-15.65pt;height:185pt;width:1179.65pt;z-index:251658240;mso-width-relative:page;mso-height-relative:page;" fillcolor="#FFFFFF [3201]" filled="t" stroked="f" coordsize="21600,21600" o:gfxdata="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XyPANcA&#10;AAALAQAADwAAAAAAAAABACAAAAAiAAAAZHJzL2Rvd25yZXYueG1sUEsBAhQAFAAAAAgAh07iQJFA&#10;lhNZAgAAnA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Establishment and Validation of the Axillary Lymph Node Burden Using Cone-Beam 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Computerized Tomography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and Ultrasound-Based Prediction Models in T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  <w:vertAlign w:val="subscript"/>
                        </w:rPr>
                        <w:t xml:space="preserve">1-2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Breast Cancer Patients</w:t>
                      </w: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Shen Chen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</w:rPr>
                        <w:t>†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, Jiao Li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</w:rPr>
                        <w:t>†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, Peiqiang Cai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</w:rPr>
                        <w:t>†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 Tiebao Meng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>, Weimei Ma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Jieting Chen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>Chuanmiao Xie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>, Jianye Liang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Shengting Pei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 Lizhi Liu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Chunyan Zhou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, Ni He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*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Yaopan Wu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*</w:t>
                      </w: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pacing w:before="240" w:after="0"/>
                        <w:jc w:val="left"/>
                        <w:rPr>
                          <w:rStyle w:val="8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vertAlign w:val="superscript"/>
                        </w:rPr>
                        <w:t xml:space="preserve">*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Correspondence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>:</w:t>
                      </w:r>
                      <w:r>
                        <w:rPr>
                          <w:rStyle w:val="7"/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Style w:val="8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t>heni@sysucc.org.cn</w:t>
                      </w:r>
                      <w:r>
                        <w:rPr>
                          <w:rStyle w:val="7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t xml:space="preserve"> and 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instrText xml:space="preserve"> HYPERLINK "mailto:wuyp@sysucc.org,cn" </w:instrTex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fldChar w:fldCharType="separate"/>
                      </w:r>
                      <w:r>
                        <w:rPr>
                          <w:rStyle w:val="8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t>wuyp@sysucc.org</w:t>
                      </w:r>
                      <w:r>
                        <w:rPr>
                          <w:rStyle w:val="8"/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  <w:lang w:val="en-US" w:eastAsia="zh-CN"/>
                        </w:rPr>
                        <w:t>.</w:t>
                      </w:r>
                      <w:r>
                        <w:rPr>
                          <w:rStyle w:val="8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t>cn</w:t>
                      </w:r>
                      <w:r>
                        <w:rPr>
                          <w:rStyle w:val="8"/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z w:val="20"/>
                          <w:szCs w:val="20"/>
                          <w:u w:val="none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default" w:ascii="Times New Roman" w:hAnsi="Times New Roman" w:eastAsia="宋体" w:cs="Times New Roman"/>
                          <w:sz w:val="18"/>
                          <w:szCs w:val="18"/>
                          <w:vertAlign w:val="superscript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20"/>
                          <w:szCs w:val="20"/>
                          <w:vertAlign w:val="superscript"/>
                        </w:rPr>
                        <w:t>†</w:t>
                      </w:r>
                      <w:r>
                        <w:rPr>
                          <w:rFonts w:hint="eastAsia" w:eastAsia="宋体" w:cs="Times New Roman"/>
                          <w:sz w:val="20"/>
                          <w:szCs w:val="20"/>
                          <w:vertAlign w:val="superscript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</w:rPr>
                        <w:t>Shen Chen, Jiao Li, Peiqiang Cai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0"/>
                          <w:szCs w:val="20"/>
                        </w:rPr>
                        <w:t>contributed equally to this work.</w:t>
                      </w:r>
                    </w:p>
                    <w:p>
                      <w:pPr>
                        <w:spacing w:before="240" w:after="0"/>
                        <w:rPr>
                          <w:rStyle w:val="7"/>
                          <w:rFonts w:hint="default" w:ascii="Times New Roman" w:hAnsi="Times New Roman" w:eastAsia="宋体" w:cs="Times New Roman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18"/>
                          <w:szCs w:val="18"/>
                          <w:vertAlign w:val="superscript"/>
                          <w:lang w:val="en-US" w:eastAsia="zh-CN"/>
                        </w:rPr>
                        <w:t xml:space="preserve">1 </w:t>
                      </w:r>
                      <w:r>
                        <w:rPr>
                          <w:rStyle w:val="7"/>
                          <w:rFonts w:hint="default" w:ascii="Times New Roman" w:hAnsi="Times New Roman" w:eastAsia="宋体" w:cs="Times New Roman"/>
                          <w:sz w:val="20"/>
                          <w:szCs w:val="20"/>
                        </w:rPr>
                        <w:t>Department of Medical Imaging, Sun Yat-sen University Cancer Center</w:t>
                      </w:r>
                      <w:r>
                        <w:rPr>
                          <w:rStyle w:val="7"/>
                          <w:rFonts w:hint="default" w:ascii="Times New Roman" w:hAnsi="Times New Roman" w:eastAsia="宋体" w:cs="Times New Roman"/>
                          <w:sz w:val="20"/>
                          <w:szCs w:val="20"/>
                          <w:lang w:val="en-US" w:eastAsia="zh-CN"/>
                        </w:rPr>
                        <w:t>, Dongfeng Dong Road, Guangzhou 510060</w:t>
                      </w:r>
                      <w:r>
                        <w:rPr>
                          <w:rStyle w:val="7"/>
                          <w:rFonts w:hint="default" w:ascii="Times New Roman" w:hAnsi="Times New Roman" w:eastAsia="宋体" w:cs="Times New Roman"/>
                          <w:sz w:val="20"/>
                          <w:szCs w:val="20"/>
                        </w:rPr>
                        <w:t>, P.R. China</w:t>
                      </w: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left"/>
                        <w:rPr>
                          <w:rStyle w:val="8"/>
                          <w:rFonts w:hint="default" w:ascii="Times New Roman" w:hAnsi="Times New Roman" w:eastAsia="宋体" w:cs="Times New Roman"/>
                          <w:color w:val="auto"/>
                          <w:sz w:val="20"/>
                          <w:szCs w:val="20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left"/>
                        <w:rPr>
                          <w:rFonts w:hint="default"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left"/>
                        <w:rPr>
                          <w:rFonts w:hint="default"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tbl>
      <w:tblPr>
        <w:tblStyle w:val="3"/>
        <w:tblpPr w:leftFromText="180" w:rightFromText="180" w:vertAnchor="page" w:horzAnchor="page" w:tblpX="1926" w:tblpY="4668"/>
        <w:tblW w:w="246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3218"/>
        <w:gridCol w:w="2281"/>
        <w:gridCol w:w="2281"/>
        <w:gridCol w:w="2281"/>
        <w:gridCol w:w="2709"/>
        <w:gridCol w:w="2721"/>
        <w:gridCol w:w="2281"/>
        <w:gridCol w:w="199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683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 xml:space="preserve">(Supplementary)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TABLE 1 | Clinicalpathological characteristics of patients in training and validati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on cohorts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0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                               Training cohort (</w:t>
            </w:r>
            <w:r>
              <w:rPr>
                <w:rFonts w:ascii="Times New Roman" w:hAnsi="Times New Roman"/>
                <w:i/>
                <w:iCs/>
                <w:color w:val="333333"/>
                <w:kern w:val="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>= 271)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>Validation cohort (</w:t>
            </w:r>
            <w:r>
              <w:rPr>
                <w:rFonts w:ascii="Times New Roman" w:hAnsi="Times New Roman"/>
                <w:i/>
                <w:iCs/>
                <w:color w:val="333333"/>
                <w:kern w:val="0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= 130) 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0" w:hRule="atLeast"/>
        </w:trPr>
        <w:tc>
          <w:tcPr>
            <w:tcW w:w="490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(n=172)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N1-2(n=48)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N≥3(n=51)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hint="eastAsia"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(n=67)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N1-2  (n=30)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N≥3  (n=19)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Age, mean ± SD, years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50.7±9.7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50.9±11.7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49.3±9.5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0.356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55.5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Side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0.256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left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94 (54.7)                   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28 (58.3)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22 (43.1)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37 (55.2)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21 (70.0)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11 (57.9)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right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78 (45.3)                         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20 (41.7)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29 (56.9)   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30 (44.8)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 (30.0)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8 (42.1)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Histological type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0.339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pure IDC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64 (37.2)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(25.0)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13 (25.5)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39 (58.2)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(40.0)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6 (31.6)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mixed IDC 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99 (57.6)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34 (70.8)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36 (70.6)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23 (34.3)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17 (56.7)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13 (68.4)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other special types of BC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 ( 5.2)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2 ( 4.2)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2 ( 3.9)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5 ( 7.5)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1 ( 3.3)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0 ( 0.0)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Pathologic grade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0.628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3 ( 1.7)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1 ( 2.1)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1 ( 2.0)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3 ( 4.5)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0 ( 0.0)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0 ( 0.0)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Moderate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95 (55.2)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28 (58.3)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22 (43.1)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32 (47.8)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19 (63.3)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(63.2)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65 (37.8)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18 (37.5)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26 (51.0)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27 (40.3)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10 (33.3)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7 (36.8)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absent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 ( 5.2)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1 ( 2.1)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2 ( 3.9)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5 ( 7.5)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1 ( 3.3)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0 ( 0.0)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ER/PR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0.204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positive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29(10.7)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9(3.3)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4(1.5)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6(5.2)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4(3.4)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negative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143(52.8)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39(14.4)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47(17.3)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61(52.6)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26(22.4)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19(16.4)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HER2 overexpression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with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135 (78.5)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37 (77.1)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39 (76.5)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0.945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58 (86.6)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22 (73.3)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13 (68.4)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without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37 (21.5)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11 (22.9)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(23.5)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 (13.4)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8 (26.7)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6 (31.6)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Ki-67 status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low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48 (27.9)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16 (33.3)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11 (21.6)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0.423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24 (35.8)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10 (33.3)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6 (31.6)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131413"/>
                <w:kern w:val="0"/>
                <w:sz w:val="20"/>
                <w:szCs w:val="20"/>
              </w:rPr>
              <w:t>high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124 (72.1)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32 (66.7)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40 (78.4)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43 (64.2)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20 (66.7)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13 (68.4)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Bundle invasion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150 (87.2)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36 (75.0)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36 (70.6)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56 (83.6)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21 (70.0)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17 (89.5)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22 (12.8)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(25.0)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15 (29.4)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11 (16.4)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9 (30.0)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2 (10.5)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Vascular invasion 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149 (86.6)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18 (37.5)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15 (29.4)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56 (83.6)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18 (60.0)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5 (26.3)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23 (13.4)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30 (62.5)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36 (70.6)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11 (16.4)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12 (40.0)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14 (73.7)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8" w:hRule="atLeast"/>
        </w:trPr>
        <w:tc>
          <w:tcPr>
            <w:tcW w:w="490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tbl>
      <w:tblPr>
        <w:tblStyle w:val="3"/>
        <w:tblW w:w="14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358"/>
        <w:gridCol w:w="2183"/>
        <w:gridCol w:w="2099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7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131413"/>
                <w:kern w:val="0"/>
                <w:sz w:val="22"/>
                <w:szCs w:val="22"/>
              </w:rPr>
              <w:t>(Supplementary) TABLE 2 |Semantic features of primary tumor on CBBCT in training cohort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0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(n=172)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</w:rPr>
              <w:t>1-2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(n=48)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</w:rPr>
              <w:t>≥3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(n=51)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Maximum diameter (mm)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20(14.6, 26.0)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24.8(18.8, 30.0)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27(21.3, 35.6)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Malgun Gothic" w:cs="Times New Roman"/>
                <w:color w:val="000000"/>
                <w:kern w:val="0"/>
                <w:sz w:val="22"/>
                <w:szCs w:val="22"/>
              </w:rPr>
              <w:t>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CT(HU)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85.2±32.8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90.1±37.8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94.0±44.3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Lesion number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one lesion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117 (68.0)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36 (75.0)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23 (45.1)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More than one lesion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55 (32.0)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12 (25.0)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28 (54.9)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Lesion types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masses only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81 (47.1)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13 (27.1)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20 (39.2)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masses with calcification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89 (51.7)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35 (72.9)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31 (60.8)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calcification only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2 ( 1.2)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Density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0.792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low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16(6.0)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2(0.7)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3(1.1)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isodensity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84(30.0)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22(8.1)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27(10.0)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high 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57(21.0)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20(7.4)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15(5.5)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miss</w:t>
            </w:r>
            <w:bookmarkStart w:id="0" w:name="_GoBack"/>
            <w:bookmarkEnd w:id="0"/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15(5.5)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4(1.5)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6(2.2)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Shape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round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23 (13.4)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4 ( 8.3)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oval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25 (14.5)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7 (14.6)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10 (19.6)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irrugular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109 (63.4)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33 (68.8)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35 (68.6)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miss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15 ( 8.7)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4 ( 8.3)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6 (11.8)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Margin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0.277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smooth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25 (14.5)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7 (14.6)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( 5.9)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lobular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102 (59.3)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26 (54.2)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31 (60.8)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spiculated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17 ( 9.9)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10 (20.8)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8 (15.7)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miss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28 (16.3)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5 (10.4)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9 (17.6)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Distance to nipple (mm)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36(22.8, 54)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29.6(19, 36.2)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37(12.5, 42.6)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attern of enhancement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mass-like enhancement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147 (85.5)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43 (89.6)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42 (82.4)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non-mass enhancement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15 ( 8.7)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4 ( 8.3)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6 (11.8)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mass-like alongside non-mass enhancement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10 ( 5.8)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1 ( 2.1)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( 5.9)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Calcification morphology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  <w:t>typically benign type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30 (33.0)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14 (40.0)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( 9.4)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  <w:t>coarse heterogeneous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16 (17.6)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4 (11.4)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( 9.4)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  <w:t>fine pleomorphic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28 (30.8)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12 (34.3)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15 (46.9)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instrText xml:space="preserve"> HYPERLINK "https://radiopaedia.org/articles/amorphous-calcification-within-breast?lang=us" \o "https://radiopaedia.org/articles/amorphous-calcification-within-breast?lang=us" </w:instrTex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color w:val="auto"/>
                <w:u w:val="none"/>
              </w:rPr>
              <w:t>amorphous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17 (18.7)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5 (14.3)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11 (34.4)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  <w:t>Calcification distribution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instrText xml:space="preserve"> HYPERLINK "https://radiopaedia.org/articles/grouped-calcifications?lang=us" \o "https://radiopaedia.org/articles/grouped-calcifications?lang=us" </w:instrTex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color w:val="auto"/>
                <w:u w:val="none"/>
              </w:rPr>
              <w:t>grouped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46 (50.5)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19 (54.3)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25 (78.1)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u w:val="none"/>
              </w:rPr>
              <w:t>regional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9 ( 9.9)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linear or segmental 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8 ( 8.8)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1 ( 2.9)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1 ( 3.1)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diffuse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28 (30.8)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15 (42.9)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6 (18.8)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Relationship between vessels and masses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assess to tumor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98 (57.0)          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27 (56.2)  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21 (41.2)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no access to tumor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74 (43.0)              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21 (43.8)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30 (58.8)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Thickened or sunken skin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absent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155 (90.1)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35 (72.9)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37 (72.5)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present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17 ( 9.9)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13 (27.1)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14 (27.5)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Subcutaneous fat space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&lt;0.001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clear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91 (52.9)           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19 (39.6) 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8 (15.7)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misty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81 (47.1)               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29 (60.4) 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43 (84.3)                 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Invasion of pectoralis major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absent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155(57.2)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35(12.9)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37(13.6)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present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17(6.3)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13(4.8)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14(5.2)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Mammary gland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types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0.305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Almost entirely fat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2 ( 1.2)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Scattered fibroglandular tissue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26 (15.1)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12 (25.0)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13 (25.5)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Heterogeneous fibroglandular tissue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120 (69.8)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32 (66.7) 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29 (56.9)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Extreme fibroglandular tissue</w:t>
            </w:r>
          </w:p>
        </w:tc>
        <w:tc>
          <w:tcPr>
            <w:tcW w:w="335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24 (14.0) 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4 ( 8.3) 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9 (17.6)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tbl>
      <w:tblPr>
        <w:tblStyle w:val="3"/>
        <w:tblW w:w="13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000"/>
        <w:gridCol w:w="2320"/>
        <w:gridCol w:w="232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12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(Supplementary) TABLE 3 |Axillary lymph node's morphology on Ultrasound in training cohort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0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(n=172)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</w:rPr>
              <w:t>1-2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(n=48)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</w:rPr>
              <w:t>≥3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2"/>
                <w:szCs w:val="12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(n=51)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number of LN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none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62 (36.0)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13 (27.1)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( 5.9)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solitary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5 ( 2.9)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1 ( 2.1)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2 ( 3.9)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more than one LN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105 (61.0)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34 (70.8)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46 (90.2)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maximum LN length(mm)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11.00 (0.00,  16.00)  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12.50 (0.00,  17.00)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13.00 (10.00,  20.00)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maximum LN axis (mm)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5.00 (0.00,  7.00)       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6.00 (0.00,  8.00)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8.00 (6.00,  10.00)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Lymph node's shape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oval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171</w:t>
            </w:r>
            <w:r>
              <w:rPr>
                <w:rFonts w:hint="default" w:ascii="Times New Roman" w:hAnsi="Times New Roman" w:eastAsia="Malgun Gothic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63.1</w:t>
            </w:r>
            <w:r>
              <w:rPr>
                <w:rFonts w:hint="default" w:ascii="Times New Roman" w:hAnsi="Times New Roman" w:eastAsia="Malgun Gothic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  <w:r>
              <w:rPr>
                <w:rFonts w:hint="default" w:ascii="Times New Roman" w:hAnsi="Times New Roman" w:eastAsia="Malgun Gothic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17.7)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44(16.2)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round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1(0.4)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7(2.6)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absent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Blood flow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0.003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undetected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128 (74.4)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28 (58.3)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29 (56.9)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portal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38 (22.1)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13 (27.1)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14 (27.5)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peripheral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0 ( 0.0)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1 ( 2.1)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3 ( 5.9)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mixed peripheral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6 ( 3.5)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6 (12.5)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5 ( 9.8)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Boundary between cortex and medulla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distinct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161 (93.6)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38 (79.2)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20 (39.2)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indistinct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11 ( 6.4)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10 (20.8)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31 (60.8)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Lymph gland hilum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exist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149(55.0)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32(11.9)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16(5.9)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disappear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10(3.7)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11(4.0)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29(10.7)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8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eccentric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13(4.8)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5(1.8)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6(2.2)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eastAsiaTheme="minorEastAsia"/>
        </w:rPr>
      </w:pPr>
    </w:p>
    <w:sectPr>
      <w:pgSz w:w="28350" w:h="17010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E3"/>
    <w:rsid w:val="000B090D"/>
    <w:rsid w:val="009A26E3"/>
    <w:rsid w:val="00AB4CBA"/>
    <w:rsid w:val="0CA26C6E"/>
    <w:rsid w:val="0FB70587"/>
    <w:rsid w:val="158A4D76"/>
    <w:rsid w:val="26800E65"/>
    <w:rsid w:val="2C0C4BF3"/>
    <w:rsid w:val="348E12EB"/>
    <w:rsid w:val="3A557B3A"/>
    <w:rsid w:val="40044E10"/>
    <w:rsid w:val="55852E37"/>
    <w:rsid w:val="64C00150"/>
    <w:rsid w:val="66CF1E95"/>
    <w:rsid w:val="72047112"/>
    <w:rsid w:val="7AA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widowControl w:val="0"/>
      <w:suppressLineNumbers/>
      <w:spacing w:before="240" w:after="360"/>
      <w:jc w:val="center"/>
    </w:pPr>
    <w:rPr>
      <w:b/>
      <w:bCs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947</Words>
  <Characters>4205</Characters>
  <Lines>49</Lines>
  <Paragraphs>14</Paragraphs>
  <TotalTime>3</TotalTime>
  <ScaleCrop>false</ScaleCrop>
  <LinksUpToDate>false</LinksUpToDate>
  <CharactersWithSpaces>5891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2020-12-27T13:41:00Z</dcterms:created>
  <dc:creator>chen shen</dc:creator>
  <cp:lastModifiedBy>Mossi</cp:lastModifiedBy>
  <dcterms:modified xsi:type="dcterms:W3CDTF">2021-01-17T00:41:09Z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