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037AB" w14:textId="77777777" w:rsidR="0018267C" w:rsidRDefault="0018267C" w:rsidP="0018267C">
      <w:pPr>
        <w:spacing w:after="120" w:line="240" w:lineRule="auto"/>
        <w:outlineLvl w:val="0"/>
        <w:rPr>
          <w:rFonts w:cs="Times New Roman"/>
          <w:b/>
          <w:sz w:val="20"/>
          <w:szCs w:val="20"/>
        </w:rPr>
      </w:pPr>
      <w:bookmarkStart w:id="0" w:name="_Hlk485735407"/>
      <w:r>
        <w:rPr>
          <w:rFonts w:cs="Times New Roman"/>
          <w:b/>
          <w:sz w:val="20"/>
          <w:szCs w:val="20"/>
        </w:rPr>
        <w:t xml:space="preserve">APPENDIX 1: </w:t>
      </w:r>
      <w:bookmarkEnd w:id="0"/>
      <w:r>
        <w:rPr>
          <w:rFonts w:cs="Times New Roman"/>
          <w:b/>
          <w:sz w:val="20"/>
          <w:szCs w:val="20"/>
        </w:rPr>
        <w:t>WILCOXON SIGNED-RANK TEST</w:t>
      </w:r>
    </w:p>
    <w:p w14:paraId="62A464C6" w14:textId="77777777" w:rsidR="0018267C" w:rsidRDefault="0018267C" w:rsidP="0018267C">
      <w:pPr>
        <w:spacing w:after="0"/>
        <w:ind w:firstLine="357"/>
        <w:jc w:val="both"/>
        <w:rPr>
          <w:rFonts w:cs="Times New Roman"/>
          <w:sz w:val="20"/>
          <w:szCs w:val="20"/>
        </w:rPr>
      </w:pPr>
      <w:r>
        <w:rPr>
          <w:rFonts w:cs="Times New Roman"/>
          <w:sz w:val="20"/>
          <w:szCs w:val="20"/>
        </w:rPr>
        <w:t>If there is an agreement between respondents’ ranking, then Wilcoxon signed-rank test is carried out for each pair of terminologies to determine which terminologies exhibited differences in ranking and which terminologies showed similarities in ranking and discover peoples’ ranking of these natural disaster terminologies.</w:t>
      </w:r>
    </w:p>
    <w:p w14:paraId="57BAEEF9" w14:textId="77777777" w:rsidR="0018267C" w:rsidRDefault="0018267C" w:rsidP="0018267C">
      <w:pPr>
        <w:spacing w:after="0"/>
        <w:ind w:left="720"/>
        <w:rPr>
          <w:rFonts w:cs="Times New Roman"/>
          <w:sz w:val="20"/>
          <w:szCs w:val="20"/>
        </w:rPr>
      </w:pPr>
      <w:r>
        <w:rPr>
          <w:rFonts w:cs="Times New Roman"/>
          <w:sz w:val="20"/>
          <w:szCs w:val="20"/>
        </w:rPr>
        <w:t>Ho: The median difference (M</w:t>
      </w:r>
      <w:r>
        <w:rPr>
          <w:rFonts w:cs="Times New Roman"/>
          <w:sz w:val="20"/>
          <w:szCs w:val="20"/>
          <w:vertAlign w:val="subscript"/>
        </w:rPr>
        <w:t>A</w:t>
      </w:r>
      <w:r>
        <w:rPr>
          <w:rFonts w:cs="Times New Roman"/>
          <w:sz w:val="20"/>
          <w:szCs w:val="20"/>
        </w:rPr>
        <w:t> -M</w:t>
      </w:r>
      <w:r>
        <w:rPr>
          <w:rFonts w:cs="Times New Roman"/>
          <w:sz w:val="20"/>
          <w:szCs w:val="20"/>
          <w:vertAlign w:val="subscript"/>
        </w:rPr>
        <w:t>B</w:t>
      </w:r>
      <w:r>
        <w:rPr>
          <w:rFonts w:cs="Times New Roman"/>
          <w:sz w:val="20"/>
          <w:szCs w:val="20"/>
        </w:rPr>
        <w:t xml:space="preserve">) is equal to zero. E.g., Ho: </w:t>
      </w:r>
      <w:proofErr w:type="spellStart"/>
      <w:r>
        <w:rPr>
          <w:rFonts w:cs="Times New Roman"/>
          <w:sz w:val="20"/>
          <w:szCs w:val="20"/>
        </w:rPr>
        <w:t>M</w:t>
      </w:r>
      <w:r>
        <w:rPr>
          <w:rFonts w:cs="Times New Roman"/>
          <w:sz w:val="20"/>
          <w:szCs w:val="20"/>
          <w:vertAlign w:val="subscript"/>
        </w:rPr>
        <w:t>Cataclysm</w:t>
      </w:r>
      <w:proofErr w:type="spellEnd"/>
      <w:r>
        <w:rPr>
          <w:rFonts w:cs="Times New Roman"/>
          <w:sz w:val="20"/>
          <w:szCs w:val="20"/>
        </w:rPr>
        <w:t> -</w:t>
      </w:r>
      <w:proofErr w:type="spellStart"/>
      <w:r>
        <w:rPr>
          <w:rFonts w:cs="Times New Roman"/>
          <w:sz w:val="20"/>
          <w:szCs w:val="20"/>
        </w:rPr>
        <w:t>M</w:t>
      </w:r>
      <w:r>
        <w:rPr>
          <w:rFonts w:cs="Times New Roman"/>
          <w:sz w:val="20"/>
          <w:szCs w:val="20"/>
          <w:vertAlign w:val="subscript"/>
        </w:rPr>
        <w:t>Calamity</w:t>
      </w:r>
      <w:proofErr w:type="spellEnd"/>
      <w:r>
        <w:rPr>
          <w:rFonts w:cs="Times New Roman"/>
          <w:sz w:val="20"/>
          <w:szCs w:val="20"/>
        </w:rPr>
        <w:t xml:space="preserve"> =0</w:t>
      </w:r>
    </w:p>
    <w:p w14:paraId="396EA7A4" w14:textId="77777777" w:rsidR="0018267C" w:rsidRDefault="0018267C" w:rsidP="0018267C">
      <w:pPr>
        <w:spacing w:after="0"/>
        <w:ind w:left="720"/>
        <w:rPr>
          <w:rFonts w:cs="Times New Roman"/>
          <w:sz w:val="20"/>
          <w:szCs w:val="20"/>
        </w:rPr>
      </w:pPr>
    </w:p>
    <w:p w14:paraId="6522089B" w14:textId="77777777" w:rsidR="0018267C" w:rsidRDefault="0018267C" w:rsidP="0018267C">
      <w:pPr>
        <w:spacing w:after="0"/>
        <w:ind w:firstLine="357"/>
        <w:jc w:val="both"/>
        <w:rPr>
          <w:rFonts w:cs="Times New Roman"/>
          <w:sz w:val="20"/>
          <w:szCs w:val="20"/>
        </w:rPr>
      </w:pPr>
      <w:proofErr w:type="gramStart"/>
      <w:r>
        <w:rPr>
          <w:rFonts w:cs="Times New Roman"/>
          <w:sz w:val="20"/>
          <w:szCs w:val="20"/>
        </w:rPr>
        <w:t>A majority of</w:t>
      </w:r>
      <w:proofErr w:type="gramEnd"/>
      <w:r>
        <w:rPr>
          <w:rFonts w:cs="Times New Roman"/>
          <w:sz w:val="20"/>
          <w:szCs w:val="20"/>
        </w:rPr>
        <w:t xml:space="preserve"> positive signs among the signed ranks (W</w:t>
      </w:r>
      <w:r>
        <w:rPr>
          <w:rFonts w:cs="Times New Roman"/>
          <w:sz w:val="20"/>
          <w:szCs w:val="20"/>
          <w:vertAlign w:val="superscript"/>
        </w:rPr>
        <w:t>+</w:t>
      </w:r>
      <w:r>
        <w:rPr>
          <w:rFonts w:cs="Times New Roman"/>
          <w:sz w:val="20"/>
          <w:szCs w:val="20"/>
        </w:rPr>
        <w:t xml:space="preserve"> is the sum of the positive ranks and W</w:t>
      </w:r>
      <w:r>
        <w:rPr>
          <w:rFonts w:cs="Times New Roman"/>
          <w:sz w:val="20"/>
          <w:szCs w:val="20"/>
          <w:vertAlign w:val="superscript"/>
        </w:rPr>
        <w:t>-</w:t>
      </w:r>
      <w:r>
        <w:rPr>
          <w:rFonts w:cs="Times New Roman"/>
          <w:sz w:val="20"/>
          <w:szCs w:val="20"/>
        </w:rPr>
        <w:t xml:space="preserve"> is the sum of the negative ranks) from the pair A-B suggests that respondents tend to rank the term A higher than the term B. </w:t>
      </w:r>
      <w:proofErr w:type="gramStart"/>
      <w:r>
        <w:rPr>
          <w:rFonts w:cs="Times New Roman"/>
          <w:sz w:val="20"/>
          <w:szCs w:val="20"/>
        </w:rPr>
        <w:t>A majority of</w:t>
      </w:r>
      <w:proofErr w:type="gramEnd"/>
      <w:r>
        <w:rPr>
          <w:rFonts w:cs="Times New Roman"/>
          <w:sz w:val="20"/>
          <w:szCs w:val="20"/>
        </w:rPr>
        <w:t xml:space="preserve"> negative signs suggest the opposite. It is expected that the numbers of positive and negative signs will be approximately equal given the null hypothesis of there being no tendency in either direction. Specifically, within the limits of random variability, the value of S=W</w:t>
      </w:r>
      <w:r>
        <w:rPr>
          <w:rFonts w:cs="Times New Roman"/>
          <w:sz w:val="20"/>
          <w:szCs w:val="20"/>
          <w:vertAlign w:val="superscript"/>
        </w:rPr>
        <w:t>+</w:t>
      </w:r>
      <w:r>
        <w:rPr>
          <w:rFonts w:cs="Times New Roman"/>
          <w:sz w:val="20"/>
          <w:szCs w:val="20"/>
        </w:rPr>
        <w:t xml:space="preserve"> + W</w:t>
      </w:r>
      <w:r>
        <w:rPr>
          <w:rFonts w:cs="Times New Roman"/>
          <w:sz w:val="20"/>
          <w:szCs w:val="20"/>
          <w:vertAlign w:val="superscript"/>
        </w:rPr>
        <w:t>-</w:t>
      </w:r>
      <w:r>
        <w:rPr>
          <w:rFonts w:cs="Times New Roman"/>
          <w:sz w:val="20"/>
          <w:szCs w:val="20"/>
        </w:rPr>
        <w:t xml:space="preserve"> is expected to be approximately zero. As the size of the sample (n) increases, the sampling distribution S comes closer to the outlines of the normal distribution.  </w:t>
      </w:r>
      <m:oMath>
        <m:r>
          <w:rPr>
            <w:rFonts w:ascii="Cambria Math" w:hAnsi="Cambria Math" w:cs="Times New Roman"/>
            <w:sz w:val="20"/>
            <w:szCs w:val="20"/>
          </w:rPr>
          <m:t>S</m:t>
        </m:r>
        <m:r>
          <m:rPr>
            <m:sty m:val="p"/>
          </m:rPr>
          <w:rPr>
            <w:rFonts w:ascii="Cambria Math" w:hAnsi="Cambria Math" w:cs="Times New Roman"/>
            <w:sz w:val="20"/>
            <w:szCs w:val="20"/>
          </w:rPr>
          <m:t>~</m:t>
        </m:r>
        <m:r>
          <w:rPr>
            <w:rFonts w:ascii="Cambria Math" w:hAnsi="Cambria Math" w:cs="Times New Roman"/>
            <w:sz w:val="20"/>
            <w:szCs w:val="20"/>
          </w:rPr>
          <m:t>N</m:t>
        </m:r>
        <m:r>
          <m:rPr>
            <m:sty m:val="p"/>
          </m:rPr>
          <w:rPr>
            <w:rFonts w:ascii="Cambria Math" w:hAnsi="Cambria Math" w:cs="Times New Roman"/>
            <w:sz w:val="20"/>
            <w:szCs w:val="20"/>
          </w:rPr>
          <m:t xml:space="preserve">(0, </m:t>
        </m:r>
        <m:sSub>
          <m:sSubPr>
            <m:ctrlPr>
              <w:rPr>
                <w:rFonts w:ascii="Cambria Math" w:hAnsi="Cambria Math" w:cs="Times New Roman"/>
              </w:rPr>
            </m:ctrlPr>
          </m:sSubPr>
          <m:e>
            <m:r>
              <w:rPr>
                <w:rFonts w:ascii="Cambria Math" w:hAnsi="Cambria Math" w:cs="Times New Roman"/>
                <w:sz w:val="20"/>
                <w:szCs w:val="20"/>
              </w:rPr>
              <m:t>σ</m:t>
            </m:r>
          </m:e>
          <m:sub>
            <m:r>
              <w:rPr>
                <w:rFonts w:ascii="Cambria Math" w:hAnsi="Cambria Math" w:cs="Times New Roman"/>
                <w:sz w:val="20"/>
                <w:szCs w:val="20"/>
              </w:rPr>
              <m:t>s</m:t>
            </m:r>
          </m:sub>
        </m:sSub>
      </m:oMath>
      <w:r>
        <w:rPr>
          <w:rFonts w:cs="Times New Roman"/>
          <w:sz w:val="20"/>
          <w:szCs w:val="20"/>
        </w:rPr>
        <w:t xml:space="preserve">), where </w:t>
      </w:r>
      <m:oMath>
        <m:sSub>
          <m:sSubPr>
            <m:ctrlPr>
              <w:rPr>
                <w:rFonts w:ascii="Cambria Math" w:hAnsi="Cambria Math" w:cs="Times New Roman"/>
              </w:rPr>
            </m:ctrlPr>
          </m:sSubPr>
          <m:e>
            <m:r>
              <w:rPr>
                <w:rFonts w:ascii="Cambria Math" w:hAnsi="Cambria Math" w:cs="Times New Roman"/>
                <w:sz w:val="20"/>
                <w:szCs w:val="20"/>
              </w:rPr>
              <m:t>σ</m:t>
            </m:r>
          </m:e>
          <m:sub>
            <m:r>
              <w:rPr>
                <w:rFonts w:ascii="Cambria Math" w:hAnsi="Cambria Math" w:cs="Times New Roman"/>
                <w:sz w:val="20"/>
                <w:szCs w:val="20"/>
              </w:rPr>
              <m:t>s</m:t>
            </m:r>
          </m:sub>
        </m:sSub>
        <m:r>
          <m:rPr>
            <m:sty m:val="p"/>
          </m:rPr>
          <w:rPr>
            <w:rFonts w:ascii="Cambria Math" w:hAnsi="Cambria Math" w:cs="Times New Roman"/>
            <w:sz w:val="20"/>
            <w:szCs w:val="20"/>
          </w:rPr>
          <m:t>=</m:t>
        </m:r>
        <m:rad>
          <m:radPr>
            <m:degHide m:val="1"/>
            <m:ctrlPr>
              <w:rPr>
                <w:rFonts w:ascii="Cambria Math" w:hAnsi="Cambria Math" w:cs="Times New Roman"/>
              </w:rPr>
            </m:ctrlPr>
          </m:radPr>
          <m:deg/>
          <m:e>
            <m:f>
              <m:fPr>
                <m:ctrlPr>
                  <w:rPr>
                    <w:rFonts w:ascii="Cambria Math" w:hAnsi="Cambria Math" w:cs="Times New Roman"/>
                  </w:rPr>
                </m:ctrlPr>
              </m:fPr>
              <m:num>
                <m:r>
                  <w:rPr>
                    <w:rFonts w:ascii="Cambria Math" w:hAnsi="Cambria Math" w:cs="Times New Roman"/>
                    <w:sz w:val="20"/>
                    <w:szCs w:val="20"/>
                  </w:rPr>
                  <m:t>n</m:t>
                </m:r>
                <m:d>
                  <m:dPr>
                    <m:ctrlPr>
                      <w:rPr>
                        <w:rFonts w:ascii="Cambria Math" w:hAnsi="Cambria Math" w:cs="Times New Roman"/>
                      </w:rPr>
                    </m:ctrlPr>
                  </m:dPr>
                  <m:e>
                    <m:r>
                      <w:rPr>
                        <w:rFonts w:ascii="Cambria Math" w:hAnsi="Cambria Math" w:cs="Times New Roman"/>
                        <w:sz w:val="20"/>
                        <w:szCs w:val="20"/>
                      </w:rPr>
                      <m:t>n</m:t>
                    </m:r>
                    <m:r>
                      <m:rPr>
                        <m:sty m:val="p"/>
                      </m:rPr>
                      <w:rPr>
                        <w:rFonts w:ascii="Cambria Math" w:hAnsi="Cambria Math" w:cs="Times New Roman"/>
                        <w:sz w:val="20"/>
                        <w:szCs w:val="20"/>
                      </w:rPr>
                      <m:t>+1</m:t>
                    </m:r>
                  </m:e>
                </m:d>
                <m:d>
                  <m:dPr>
                    <m:ctrlPr>
                      <w:rPr>
                        <w:rFonts w:ascii="Cambria Math" w:hAnsi="Cambria Math" w:cs="Times New Roman"/>
                      </w:rPr>
                    </m:ctrlPr>
                  </m:dPr>
                  <m:e>
                    <m:r>
                      <m:rPr>
                        <m:sty m:val="p"/>
                      </m:rPr>
                      <w:rPr>
                        <w:rFonts w:ascii="Cambria Math" w:hAnsi="Cambria Math" w:cs="Times New Roman"/>
                        <w:sz w:val="20"/>
                        <w:szCs w:val="20"/>
                      </w:rPr>
                      <m:t>2</m:t>
                    </m:r>
                    <m:r>
                      <w:rPr>
                        <w:rFonts w:ascii="Cambria Math" w:hAnsi="Cambria Math" w:cs="Times New Roman"/>
                        <w:sz w:val="20"/>
                        <w:szCs w:val="20"/>
                      </w:rPr>
                      <m:t>n</m:t>
                    </m:r>
                    <m:r>
                      <m:rPr>
                        <m:sty m:val="p"/>
                      </m:rPr>
                      <w:rPr>
                        <w:rFonts w:ascii="Cambria Math" w:hAnsi="Cambria Math" w:cs="Times New Roman"/>
                        <w:sz w:val="20"/>
                        <w:szCs w:val="20"/>
                      </w:rPr>
                      <m:t>+1</m:t>
                    </m:r>
                  </m:e>
                </m:d>
              </m:num>
              <m:den>
                <m:r>
                  <m:rPr>
                    <m:sty m:val="p"/>
                  </m:rPr>
                  <w:rPr>
                    <w:rFonts w:ascii="Cambria Math" w:hAnsi="Cambria Math" w:cs="Times New Roman"/>
                    <w:sz w:val="20"/>
                    <w:szCs w:val="20"/>
                  </w:rPr>
                  <m:t>6</m:t>
                </m:r>
              </m:den>
            </m:f>
          </m:e>
        </m:rad>
      </m:oMath>
      <w:r>
        <w:rPr>
          <w:rFonts w:cs="Times New Roman"/>
          <w:sz w:val="20"/>
          <w:szCs w:val="20"/>
        </w:rPr>
        <w:t xml:space="preserve"> under the null hypothesis and mean µ</w:t>
      </w:r>
      <w:r>
        <w:rPr>
          <w:rFonts w:cs="Times New Roman"/>
          <w:sz w:val="20"/>
          <w:szCs w:val="20"/>
          <w:vertAlign w:val="subscript"/>
        </w:rPr>
        <w:t>s</w:t>
      </w:r>
      <w:r>
        <w:rPr>
          <w:rFonts w:cs="Times New Roman"/>
          <w:sz w:val="20"/>
          <w:szCs w:val="20"/>
        </w:rPr>
        <w:t xml:space="preserve"> is equal to zero. Including the correction for continuity </w:t>
      </w:r>
      <w:r>
        <w:rPr>
          <w:rFonts w:cs="Times New Roman"/>
          <w:sz w:val="20"/>
          <w:szCs w:val="20"/>
        </w:rPr>
        <w:sym w:font="Symbol" w:char="F0B1"/>
      </w:r>
      <w:r>
        <w:rPr>
          <w:rFonts w:cs="Times New Roman"/>
          <w:sz w:val="20"/>
          <w:szCs w:val="20"/>
        </w:rPr>
        <w:t>0.5 (-0.5 when S &gt; µ</w:t>
      </w:r>
      <w:r>
        <w:rPr>
          <w:rFonts w:cs="Times New Roman"/>
          <w:sz w:val="20"/>
          <w:szCs w:val="20"/>
          <w:vertAlign w:val="subscript"/>
        </w:rPr>
        <w:t>s</w:t>
      </w:r>
      <w:r>
        <w:rPr>
          <w:rFonts w:cs="Times New Roman"/>
          <w:sz w:val="20"/>
          <w:szCs w:val="20"/>
        </w:rPr>
        <w:t xml:space="preserve"> and +0.5 when S &lt; µ</w:t>
      </w:r>
      <w:r>
        <w:rPr>
          <w:rFonts w:cs="Times New Roman"/>
          <w:sz w:val="20"/>
          <w:szCs w:val="20"/>
          <w:vertAlign w:val="subscript"/>
        </w:rPr>
        <w:t>s</w:t>
      </w:r>
      <w:r>
        <w:rPr>
          <w:rFonts w:cs="Times New Roman"/>
          <w:sz w:val="20"/>
          <w:szCs w:val="20"/>
        </w:rPr>
        <w:t>), the structure for the Z-ratio is equal to (W</w:t>
      </w:r>
      <w:r>
        <w:rPr>
          <w:rFonts w:cs="Times New Roman"/>
          <w:sz w:val="20"/>
          <w:szCs w:val="20"/>
        </w:rPr>
        <w:sym w:font="Symbol" w:char="F0B1"/>
      </w:r>
      <w:r>
        <w:rPr>
          <w:rFonts w:cs="Times New Roman"/>
          <w:sz w:val="20"/>
          <w:szCs w:val="20"/>
        </w:rPr>
        <w:t>0.5)/</w:t>
      </w:r>
      <w:proofErr w:type="spellStart"/>
      <w:r>
        <w:rPr>
          <w:rFonts w:cs="Times New Roman"/>
          <w:sz w:val="20"/>
          <w:szCs w:val="20"/>
        </w:rPr>
        <w:t>σ</w:t>
      </w:r>
      <w:r>
        <w:rPr>
          <w:rFonts w:cs="Times New Roman"/>
          <w:sz w:val="20"/>
          <w:szCs w:val="20"/>
          <w:vertAlign w:val="subscript"/>
        </w:rPr>
        <w:t>s</w:t>
      </w:r>
      <w:proofErr w:type="spellEnd"/>
      <w:r>
        <w:rPr>
          <w:rFonts w:cs="Times New Roman"/>
          <w:sz w:val="20"/>
          <w:szCs w:val="20"/>
        </w:rPr>
        <w:t xml:space="preserve">, where </w:t>
      </w:r>
      <w:r>
        <w:rPr>
          <w:rFonts w:cs="Times New Roman"/>
          <w:sz w:val="20"/>
          <w:szCs w:val="20"/>
          <w:lang w:eastAsia="en-CA"/>
        </w:rPr>
        <w:t>observed test statistic</w:t>
      </w:r>
      <w:r>
        <w:rPr>
          <w:rFonts w:cs="Times New Roman"/>
          <w:sz w:val="20"/>
          <w:szCs w:val="20"/>
        </w:rPr>
        <w:t xml:space="preserve"> </w:t>
      </w:r>
      <w:r>
        <w:rPr>
          <w:rFonts w:cs="Times New Roman"/>
          <w:sz w:val="20"/>
          <w:szCs w:val="20"/>
          <w:lang w:eastAsia="en-CA"/>
        </w:rPr>
        <w:t>W</w:t>
      </w:r>
      <w:r>
        <w:rPr>
          <w:rFonts w:cs="Times New Roman"/>
          <w:sz w:val="20"/>
          <w:szCs w:val="20"/>
        </w:rPr>
        <w:t xml:space="preserve"> = </w:t>
      </w:r>
      <w:proofErr w:type="gramStart"/>
      <w:r>
        <w:rPr>
          <w:rFonts w:cs="Times New Roman"/>
          <w:sz w:val="20"/>
          <w:szCs w:val="20"/>
        </w:rPr>
        <w:t>min(</w:t>
      </w:r>
      <w:proofErr w:type="gramEnd"/>
      <w:r>
        <w:rPr>
          <w:rFonts w:cs="Times New Roman"/>
          <w:sz w:val="20"/>
          <w:szCs w:val="20"/>
        </w:rPr>
        <w:t>|W</w:t>
      </w:r>
      <w:r>
        <w:rPr>
          <w:rFonts w:cs="Times New Roman"/>
          <w:sz w:val="20"/>
          <w:szCs w:val="20"/>
          <w:vertAlign w:val="superscript"/>
        </w:rPr>
        <w:t>−</w:t>
      </w:r>
      <w:r>
        <w:rPr>
          <w:rFonts w:cs="Times New Roman"/>
          <w:sz w:val="20"/>
          <w:szCs w:val="20"/>
        </w:rPr>
        <w:t>|, W</w:t>
      </w:r>
      <w:r>
        <w:rPr>
          <w:rFonts w:cs="Times New Roman"/>
          <w:sz w:val="20"/>
          <w:szCs w:val="20"/>
          <w:vertAlign w:val="superscript"/>
        </w:rPr>
        <w:t>+</w:t>
      </w:r>
      <w:r>
        <w:rPr>
          <w:rFonts w:cs="Times New Roman"/>
          <w:sz w:val="20"/>
          <w:szCs w:val="20"/>
        </w:rPr>
        <w:t>)</w:t>
      </w:r>
      <w:r>
        <w:rPr>
          <w:rFonts w:cs="Times New Roman"/>
          <w:sz w:val="20"/>
          <w:szCs w:val="20"/>
          <w:lang w:eastAsia="en-CA"/>
        </w:rPr>
        <w:t xml:space="preserve">. </w:t>
      </w:r>
      <w:r>
        <w:rPr>
          <w:rFonts w:cs="Times New Roman"/>
          <w:sz w:val="20"/>
          <w:szCs w:val="20"/>
        </w:rPr>
        <w:t xml:space="preserve">Similarly, if the number of untied pairs n is such that n(n+1)/2 is large enough (&gt; 20), a normal approximation can be used with </w:t>
      </w:r>
      <m:oMath>
        <m:sSub>
          <m:sSubPr>
            <m:ctrlPr>
              <w:rPr>
                <w:rFonts w:ascii="Cambria Math" w:hAnsi="Cambria Math" w:cs="Times New Roman"/>
              </w:rPr>
            </m:ctrlPr>
          </m:sSubPr>
          <m:e>
            <m:r>
              <w:rPr>
                <w:rFonts w:ascii="Cambria Math" w:hAnsi="Cambria Math" w:cs="Times New Roman"/>
                <w:sz w:val="20"/>
                <w:szCs w:val="20"/>
              </w:rPr>
              <m:t>μ</m:t>
            </m:r>
          </m:e>
          <m:sub>
            <m:r>
              <w:rPr>
                <w:rFonts w:ascii="Cambria Math" w:hAnsi="Cambria Math" w:cs="Times New Roman"/>
                <w:sz w:val="20"/>
                <w:szCs w:val="20"/>
              </w:rPr>
              <m:t>w</m:t>
            </m:r>
          </m:sub>
        </m:sSub>
        <m:r>
          <m:rPr>
            <m:sty m:val="p"/>
          </m:rPr>
          <w:rPr>
            <w:rFonts w:ascii="Cambria Math" w:hAnsi="Cambria Math" w:cs="Times New Roman"/>
            <w:sz w:val="20"/>
            <w:szCs w:val="20"/>
          </w:rPr>
          <m:t>=</m:t>
        </m:r>
        <m:f>
          <m:fPr>
            <m:ctrlPr>
              <w:rPr>
                <w:rFonts w:ascii="Cambria Math" w:hAnsi="Cambria Math" w:cs="Times New Roman"/>
              </w:rPr>
            </m:ctrlPr>
          </m:fPr>
          <m:num>
            <m:r>
              <w:rPr>
                <w:rFonts w:ascii="Cambria Math" w:hAnsi="Cambria Math" w:cs="Times New Roman"/>
                <w:sz w:val="20"/>
                <w:szCs w:val="20"/>
              </w:rPr>
              <m:t>n</m:t>
            </m:r>
            <m:d>
              <m:dPr>
                <m:ctrlPr>
                  <w:rPr>
                    <w:rFonts w:ascii="Cambria Math" w:hAnsi="Cambria Math" w:cs="Times New Roman"/>
                  </w:rPr>
                </m:ctrlPr>
              </m:dPr>
              <m:e>
                <m:r>
                  <w:rPr>
                    <w:rFonts w:ascii="Cambria Math" w:hAnsi="Cambria Math" w:cs="Times New Roman"/>
                    <w:sz w:val="20"/>
                    <w:szCs w:val="20"/>
                  </w:rPr>
                  <m:t>n</m:t>
                </m:r>
                <m:r>
                  <m:rPr>
                    <m:sty m:val="p"/>
                  </m:rPr>
                  <w:rPr>
                    <w:rFonts w:ascii="Cambria Math" w:hAnsi="Cambria Math" w:cs="Times New Roman"/>
                    <w:sz w:val="20"/>
                    <w:szCs w:val="20"/>
                  </w:rPr>
                  <m:t>+1</m:t>
                </m:r>
              </m:e>
            </m:d>
          </m:num>
          <m:den>
            <m:r>
              <m:rPr>
                <m:sty m:val="p"/>
              </m:rPr>
              <w:rPr>
                <w:rFonts w:ascii="Cambria Math" w:hAnsi="Cambria Math" w:cs="Times New Roman"/>
                <w:sz w:val="20"/>
                <w:szCs w:val="20"/>
              </w:rPr>
              <m:t>4</m:t>
            </m:r>
          </m:den>
        </m:f>
      </m:oMath>
      <w:r>
        <w:rPr>
          <w:rFonts w:cs="Times New Roman"/>
          <w:sz w:val="20"/>
          <w:szCs w:val="20"/>
        </w:rPr>
        <w:t xml:space="preserve"> and</w:t>
      </w:r>
      <m:oMath>
        <m:r>
          <m:rPr>
            <m:sty m:val="p"/>
          </m:rPr>
          <w:rPr>
            <w:rFonts w:ascii="Cambria Math" w:hAnsi="Cambria Math" w:cs="Times New Roman"/>
            <w:sz w:val="20"/>
            <w:szCs w:val="20"/>
          </w:rPr>
          <m:t xml:space="preserve"> </m:t>
        </m:r>
        <m:sSub>
          <m:sSubPr>
            <m:ctrlPr>
              <w:rPr>
                <w:rFonts w:ascii="Cambria Math" w:hAnsi="Cambria Math" w:cs="Times New Roman"/>
              </w:rPr>
            </m:ctrlPr>
          </m:sSubPr>
          <m:e>
            <m:r>
              <w:rPr>
                <w:rFonts w:ascii="Cambria Math" w:hAnsi="Cambria Math" w:cs="Times New Roman"/>
                <w:sz w:val="20"/>
                <w:szCs w:val="20"/>
              </w:rPr>
              <m:t>σ</m:t>
            </m:r>
          </m:e>
          <m:sub>
            <m:r>
              <w:rPr>
                <w:rFonts w:ascii="Cambria Math" w:hAnsi="Cambria Math" w:cs="Times New Roman"/>
                <w:sz w:val="20"/>
                <w:szCs w:val="20"/>
              </w:rPr>
              <m:t>w</m:t>
            </m:r>
          </m:sub>
        </m:sSub>
        <m:r>
          <m:rPr>
            <m:sty m:val="p"/>
          </m:rPr>
          <w:rPr>
            <w:rFonts w:ascii="Cambria Math" w:hAnsi="Cambria Math" w:cs="Times New Roman"/>
            <w:sz w:val="20"/>
            <w:szCs w:val="20"/>
          </w:rPr>
          <m:t>=</m:t>
        </m:r>
        <m:rad>
          <m:radPr>
            <m:degHide m:val="1"/>
            <m:ctrlPr>
              <w:rPr>
                <w:rFonts w:ascii="Cambria Math" w:hAnsi="Cambria Math" w:cs="Times New Roman"/>
              </w:rPr>
            </m:ctrlPr>
          </m:radPr>
          <m:deg/>
          <m:e>
            <m:f>
              <m:fPr>
                <m:ctrlPr>
                  <w:rPr>
                    <w:rFonts w:ascii="Cambria Math" w:hAnsi="Cambria Math" w:cs="Times New Roman"/>
                  </w:rPr>
                </m:ctrlPr>
              </m:fPr>
              <m:num>
                <m:r>
                  <w:rPr>
                    <w:rFonts w:ascii="Cambria Math" w:hAnsi="Cambria Math" w:cs="Times New Roman"/>
                    <w:sz w:val="20"/>
                    <w:szCs w:val="20"/>
                  </w:rPr>
                  <m:t>n</m:t>
                </m:r>
                <m:d>
                  <m:dPr>
                    <m:ctrlPr>
                      <w:rPr>
                        <w:rFonts w:ascii="Cambria Math" w:hAnsi="Cambria Math" w:cs="Times New Roman"/>
                      </w:rPr>
                    </m:ctrlPr>
                  </m:dPr>
                  <m:e>
                    <m:r>
                      <w:rPr>
                        <w:rFonts w:ascii="Cambria Math" w:hAnsi="Cambria Math" w:cs="Times New Roman"/>
                        <w:sz w:val="20"/>
                        <w:szCs w:val="20"/>
                      </w:rPr>
                      <m:t>n</m:t>
                    </m:r>
                    <m:r>
                      <m:rPr>
                        <m:sty m:val="p"/>
                      </m:rPr>
                      <w:rPr>
                        <w:rFonts w:ascii="Cambria Math" w:hAnsi="Cambria Math" w:cs="Times New Roman"/>
                        <w:sz w:val="20"/>
                        <w:szCs w:val="20"/>
                      </w:rPr>
                      <m:t>+1</m:t>
                    </m:r>
                  </m:e>
                </m:d>
                <m:d>
                  <m:dPr>
                    <m:ctrlPr>
                      <w:rPr>
                        <w:rFonts w:ascii="Cambria Math" w:hAnsi="Cambria Math" w:cs="Times New Roman"/>
                      </w:rPr>
                    </m:ctrlPr>
                  </m:dPr>
                  <m:e>
                    <m:r>
                      <m:rPr>
                        <m:sty m:val="p"/>
                      </m:rPr>
                      <w:rPr>
                        <w:rFonts w:ascii="Cambria Math" w:hAnsi="Cambria Math" w:cs="Times New Roman"/>
                        <w:sz w:val="20"/>
                        <w:szCs w:val="20"/>
                      </w:rPr>
                      <m:t>2</m:t>
                    </m:r>
                    <m:r>
                      <w:rPr>
                        <w:rFonts w:ascii="Cambria Math" w:hAnsi="Cambria Math" w:cs="Times New Roman"/>
                        <w:sz w:val="20"/>
                        <w:szCs w:val="20"/>
                      </w:rPr>
                      <m:t>n</m:t>
                    </m:r>
                    <m:r>
                      <m:rPr>
                        <m:sty m:val="p"/>
                      </m:rPr>
                      <w:rPr>
                        <w:rFonts w:ascii="Cambria Math" w:hAnsi="Cambria Math" w:cs="Times New Roman"/>
                        <w:sz w:val="20"/>
                        <w:szCs w:val="20"/>
                      </w:rPr>
                      <m:t>+1</m:t>
                    </m:r>
                  </m:e>
                </m:d>
              </m:num>
              <m:den>
                <m:r>
                  <m:rPr>
                    <m:sty m:val="p"/>
                  </m:rPr>
                  <w:rPr>
                    <w:rFonts w:ascii="Cambria Math" w:hAnsi="Cambria Math" w:cs="Times New Roman"/>
                    <w:sz w:val="20"/>
                    <w:szCs w:val="20"/>
                  </w:rPr>
                  <m:t>24</m:t>
                </m:r>
              </m:den>
            </m:f>
          </m:e>
        </m:rad>
      </m:oMath>
      <w:r>
        <w:rPr>
          <w:rFonts w:cs="Times New Roman"/>
          <w:sz w:val="20"/>
          <w:szCs w:val="20"/>
        </w:rPr>
        <w:t xml:space="preserve"> . The big advantage of using permutation tests (e.g., that z is normally distributed) to test significance is that it does not assume a theoretical distribution for the test value (the test does not need to make any assumptions about the variables).  This requires the sample size to be &gt; 60 (Statistics Solutions, 2021). IBM SPSS statistics 26 software was used to conduct the tests. Since the Wilcoxon signed-rank test does not require multivariate normality or homoscedasticity, it is more robust than the dependent samples t-test.</w:t>
      </w:r>
    </w:p>
    <w:p w14:paraId="65B10DD4" w14:textId="77777777" w:rsidR="0018267C" w:rsidRDefault="0018267C" w:rsidP="0018267C">
      <w:pPr>
        <w:spacing w:after="0"/>
        <w:ind w:firstLine="357"/>
        <w:jc w:val="both"/>
        <w:rPr>
          <w:rFonts w:cs="Times New Roman"/>
          <w:sz w:val="20"/>
          <w:szCs w:val="20"/>
        </w:rPr>
      </w:pPr>
    </w:p>
    <w:p w14:paraId="546C70F4" w14:textId="77777777" w:rsidR="0018267C" w:rsidRDefault="0018267C" w:rsidP="0018267C">
      <w:pPr>
        <w:spacing w:after="0"/>
        <w:ind w:firstLine="357"/>
        <w:jc w:val="both"/>
        <w:rPr>
          <w:rFonts w:cs="Times New Roman"/>
          <w:sz w:val="20"/>
          <w:szCs w:val="20"/>
        </w:rPr>
      </w:pPr>
      <w:r>
        <w:rPr>
          <w:rFonts w:cs="Times New Roman"/>
          <w:sz w:val="20"/>
          <w:szCs w:val="20"/>
          <w:lang w:eastAsia="en-CA"/>
        </w:rPr>
        <w:t>A critical value of W</w:t>
      </w:r>
      <w:r>
        <w:rPr>
          <w:rFonts w:cs="Times New Roman"/>
          <w:sz w:val="20"/>
          <w:szCs w:val="20"/>
        </w:rPr>
        <w:t xml:space="preserve"> </w:t>
      </w:r>
      <w:r>
        <w:rPr>
          <w:rFonts w:cs="Times New Roman"/>
          <w:sz w:val="20"/>
          <w:szCs w:val="20"/>
          <w:lang w:eastAsia="en-CA"/>
        </w:rPr>
        <w:t>is determined to test whether the observed test statistic W supports the null hypothesis (H</w:t>
      </w:r>
      <w:r>
        <w:rPr>
          <w:rFonts w:cs="Times New Roman"/>
          <w:sz w:val="20"/>
          <w:szCs w:val="20"/>
          <w:vertAlign w:val="subscript"/>
          <w:lang w:eastAsia="en-CA"/>
        </w:rPr>
        <w:t>0</w:t>
      </w:r>
      <w:r>
        <w:rPr>
          <w:rFonts w:cs="Times New Roman"/>
          <w:sz w:val="20"/>
          <w:szCs w:val="20"/>
          <w:lang w:eastAsia="en-CA"/>
        </w:rPr>
        <w:t>) or alternative hypothesis (H</w:t>
      </w:r>
      <w:r>
        <w:rPr>
          <w:rFonts w:cs="Times New Roman"/>
          <w:sz w:val="20"/>
          <w:szCs w:val="20"/>
          <w:vertAlign w:val="subscript"/>
          <w:lang w:eastAsia="en-CA"/>
        </w:rPr>
        <w:t>a</w:t>
      </w:r>
      <w:r>
        <w:rPr>
          <w:rFonts w:cs="Times New Roman"/>
          <w:sz w:val="20"/>
          <w:szCs w:val="20"/>
          <w:lang w:eastAsia="en-CA"/>
        </w:rPr>
        <w:t>- can be two-sided or one-sided). If the observed value of W is less than or equal to the critical value, the null hypothesis (H</w:t>
      </w:r>
      <w:r>
        <w:rPr>
          <w:rFonts w:cs="Times New Roman"/>
          <w:sz w:val="20"/>
          <w:szCs w:val="20"/>
          <w:vertAlign w:val="subscript"/>
          <w:lang w:eastAsia="en-CA"/>
        </w:rPr>
        <w:t>0</w:t>
      </w:r>
      <w:r>
        <w:rPr>
          <w:rFonts w:cs="Times New Roman"/>
          <w:sz w:val="20"/>
          <w:szCs w:val="20"/>
          <w:lang w:eastAsia="en-CA"/>
        </w:rPr>
        <w:t>) is rejected in favor of H</w:t>
      </w:r>
      <w:r>
        <w:rPr>
          <w:rFonts w:cs="Times New Roman"/>
          <w:sz w:val="20"/>
          <w:szCs w:val="20"/>
          <w:vertAlign w:val="subscript"/>
          <w:lang w:eastAsia="en-CA"/>
        </w:rPr>
        <w:t>a</w:t>
      </w:r>
      <w:r>
        <w:rPr>
          <w:rFonts w:cs="Times New Roman"/>
          <w:sz w:val="20"/>
          <w:szCs w:val="20"/>
          <w:lang w:eastAsia="en-CA"/>
        </w:rPr>
        <w:t>, and if the observed value of W exceeds the critical value, H</w:t>
      </w:r>
      <w:r>
        <w:rPr>
          <w:rFonts w:cs="Times New Roman"/>
          <w:sz w:val="20"/>
          <w:szCs w:val="20"/>
          <w:vertAlign w:val="subscript"/>
          <w:lang w:eastAsia="en-CA"/>
        </w:rPr>
        <w:t>0</w:t>
      </w:r>
      <w:r>
        <w:rPr>
          <w:rFonts w:cs="Times New Roman"/>
          <w:sz w:val="20"/>
          <w:szCs w:val="20"/>
          <w:lang w:eastAsia="en-CA"/>
        </w:rPr>
        <w:t xml:space="preserve"> is not rejected. </w:t>
      </w:r>
      <w:r>
        <w:rPr>
          <w:rFonts w:cs="Times New Roman"/>
          <w:sz w:val="20"/>
          <w:szCs w:val="20"/>
        </w:rPr>
        <w:t xml:space="preserve">However, the significant level should be adjusted to compensate for the multiple comparisons made in the Wilcoxon test, unless it is more likely that a result will be declared significant when it is not significant (a Type I error). Therefore, the Bonferroni-adjusted significant level, which is 2α/k(k-1), where α is the target significant level, needs to be applied when there </w:t>
      </w:r>
      <w:proofErr w:type="gramStart"/>
      <w:r>
        <w:rPr>
          <w:rFonts w:cs="Times New Roman"/>
          <w:sz w:val="20"/>
          <w:szCs w:val="20"/>
        </w:rPr>
        <w:t>are</w:t>
      </w:r>
      <w:proofErr w:type="gramEnd"/>
      <w:r>
        <w:rPr>
          <w:rFonts w:cs="Times New Roman"/>
          <w:sz w:val="20"/>
          <w:szCs w:val="20"/>
        </w:rPr>
        <w:t xml:space="preserve"> k(k-1)/2 multiple comparisons. This means that if the p-value is larger than 0.005 for the one-sided test (and 0.0025 for the two-sided test), then we do not have a statistically significant result for α=0.05 and k = 5 repeated samples as k(k-1)/2 = 10 pairs should be tested.</w:t>
      </w:r>
    </w:p>
    <w:p w14:paraId="40A8349E" w14:textId="77777777" w:rsidR="00AF2E74" w:rsidRDefault="00AF2E74"/>
    <w:sectPr w:rsidR="00AF2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67C"/>
    <w:rsid w:val="0018267C"/>
    <w:rsid w:val="00AF2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D41A3"/>
  <w15:chartTrackingRefBased/>
  <w15:docId w15:val="{18259209-43D6-49D1-822A-772498E4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67C"/>
    <w:pPr>
      <w:spacing w:line="256" w:lineRule="auto"/>
    </w:pPr>
    <w:rPr>
      <w:rFonts w:ascii="Times New Roman" w:hAnsi="Times New Roman"/>
      <w:sz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71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477</Words>
  <Characters>2722</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Turner</dc:creator>
  <cp:keywords/>
  <dc:description/>
  <cp:lastModifiedBy>Katie Turner</cp:lastModifiedBy>
  <cp:revision>1</cp:revision>
  <dcterms:created xsi:type="dcterms:W3CDTF">2022-02-22T22:27:00Z</dcterms:created>
  <dcterms:modified xsi:type="dcterms:W3CDTF">2022-02-22T22:27:00Z</dcterms:modified>
</cp:coreProperties>
</file>