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81AB" w14:textId="77777777" w:rsidR="00E94704" w:rsidRDefault="00E94704" w:rsidP="00E94704">
      <w:pPr>
        <w:autoSpaceDE w:val="0"/>
        <w:autoSpaceDN w:val="0"/>
        <w:adjustRightInd w:val="0"/>
        <w:spacing w:line="480" w:lineRule="auto"/>
        <w:jc w:val="center"/>
        <w:rPr>
          <w:rFonts w:eastAsia="MS Mincho"/>
          <w:b/>
          <w:sz w:val="22"/>
          <w:szCs w:val="22"/>
          <w:lang w:val="en-US"/>
        </w:rPr>
      </w:pPr>
      <w:r w:rsidRPr="006F7EE4">
        <w:rPr>
          <w:rFonts w:eastAsia="MS Mincho"/>
          <w:b/>
          <w:sz w:val="22"/>
          <w:szCs w:val="22"/>
          <w:lang w:val="en-US"/>
        </w:rPr>
        <w:t xml:space="preserve">Similar Programmed Death Ligand 1 expression profile in patients with mild </w:t>
      </w:r>
      <w:r>
        <w:rPr>
          <w:rFonts w:eastAsia="MS Mincho"/>
          <w:b/>
          <w:sz w:val="22"/>
          <w:szCs w:val="22"/>
          <w:lang w:val="en-US"/>
        </w:rPr>
        <w:t>COPD</w:t>
      </w:r>
      <w:r w:rsidRPr="006F7EE4">
        <w:rPr>
          <w:rFonts w:eastAsia="MS Mincho"/>
          <w:b/>
          <w:sz w:val="22"/>
          <w:szCs w:val="22"/>
          <w:lang w:val="en-US"/>
        </w:rPr>
        <w:t xml:space="preserve"> and lung cancer</w:t>
      </w:r>
    </w:p>
    <w:p w14:paraId="2FCC3E69" w14:textId="77777777" w:rsidR="00BF4022" w:rsidRPr="000C61A2" w:rsidRDefault="00BF4022" w:rsidP="00BF4022">
      <w:pPr>
        <w:spacing w:line="480" w:lineRule="auto"/>
        <w:jc w:val="both"/>
        <w:rPr>
          <w:rFonts w:eastAsia="Calibri"/>
          <w:b/>
          <w:sz w:val="22"/>
          <w:szCs w:val="22"/>
          <w:lang w:val="en-GB"/>
        </w:rPr>
      </w:pPr>
    </w:p>
    <w:p w14:paraId="39325C72" w14:textId="1B22D4A0" w:rsidR="00BF4022" w:rsidRPr="009E3305" w:rsidRDefault="00BF4022" w:rsidP="00BF4022">
      <w:pPr>
        <w:spacing w:line="480" w:lineRule="auto"/>
        <w:jc w:val="both"/>
        <w:rPr>
          <w:rFonts w:eastAsia="MS Mincho"/>
          <w:bCs/>
          <w:sz w:val="22"/>
          <w:szCs w:val="22"/>
          <w:lang w:val="en-US"/>
        </w:rPr>
      </w:pPr>
      <w:r w:rsidRPr="000C61A2">
        <w:rPr>
          <w:rFonts w:eastAsia="MS Mincho"/>
          <w:b/>
          <w:sz w:val="22"/>
          <w:szCs w:val="22"/>
          <w:lang w:val="en-US"/>
        </w:rPr>
        <w:t xml:space="preserve">Figure </w:t>
      </w:r>
      <w:r>
        <w:rPr>
          <w:rFonts w:eastAsia="MS Mincho"/>
          <w:b/>
          <w:sz w:val="22"/>
          <w:szCs w:val="22"/>
          <w:lang w:val="en-US"/>
        </w:rPr>
        <w:t>S1</w:t>
      </w:r>
      <w:r w:rsidRPr="000C61A2">
        <w:rPr>
          <w:rFonts w:eastAsia="MS Mincho"/>
          <w:b/>
          <w:sz w:val="22"/>
          <w:szCs w:val="22"/>
          <w:lang w:val="en-US"/>
        </w:rPr>
        <w:t xml:space="preserve">. </w:t>
      </w:r>
      <w:r w:rsidRPr="009E3305">
        <w:rPr>
          <w:rFonts w:eastAsia="MS Mincho"/>
          <w:bCs/>
          <w:sz w:val="22"/>
          <w:szCs w:val="22"/>
          <w:lang w:val="en-US"/>
        </w:rPr>
        <w:t xml:space="preserve">Volcano Plot </w:t>
      </w:r>
      <w:r w:rsidR="00722E27" w:rsidRPr="009E3305">
        <w:rPr>
          <w:rFonts w:eastAsia="MS Mincho"/>
          <w:bCs/>
          <w:sz w:val="22"/>
          <w:szCs w:val="22"/>
          <w:lang w:val="en-US"/>
        </w:rPr>
        <w:t>showing the proteins above a false discovery rate of 30%</w:t>
      </w:r>
      <w:r w:rsidRPr="009E3305">
        <w:rPr>
          <w:rFonts w:eastAsia="MS Mincho"/>
          <w:bCs/>
          <w:sz w:val="22"/>
          <w:szCs w:val="22"/>
          <w:lang w:val="en-US"/>
        </w:rPr>
        <w:t xml:space="preserve"> in </w:t>
      </w:r>
      <w:r w:rsidR="00722E27" w:rsidRPr="009E3305">
        <w:rPr>
          <w:rFonts w:eastAsia="MS Mincho"/>
          <w:bCs/>
          <w:sz w:val="22"/>
          <w:szCs w:val="22"/>
          <w:lang w:val="en-US"/>
        </w:rPr>
        <w:t xml:space="preserve">peripheral </w:t>
      </w:r>
      <w:proofErr w:type="gramStart"/>
      <w:r w:rsidR="00722E27" w:rsidRPr="009E3305">
        <w:rPr>
          <w:rFonts w:eastAsia="MS Mincho"/>
          <w:bCs/>
          <w:sz w:val="22"/>
          <w:szCs w:val="22"/>
          <w:lang w:val="en-US"/>
        </w:rPr>
        <w:t xml:space="preserve">lungs </w:t>
      </w:r>
      <w:r w:rsidRPr="009E3305">
        <w:rPr>
          <w:rFonts w:eastAsia="MS Mincho"/>
          <w:bCs/>
          <w:sz w:val="22"/>
          <w:szCs w:val="22"/>
          <w:lang w:val="en-US"/>
        </w:rPr>
        <w:t xml:space="preserve"> </w:t>
      </w:r>
      <w:r w:rsidR="00722E27" w:rsidRPr="009E3305">
        <w:rPr>
          <w:rFonts w:eastAsia="MS Mincho"/>
          <w:bCs/>
          <w:sz w:val="22"/>
          <w:szCs w:val="22"/>
          <w:lang w:val="en-US"/>
        </w:rPr>
        <w:t>(</w:t>
      </w:r>
      <w:proofErr w:type="gramEnd"/>
      <w:r w:rsidR="00722E27" w:rsidRPr="009E3305">
        <w:rPr>
          <w:rFonts w:eastAsia="MS Mincho"/>
          <w:bCs/>
          <w:sz w:val="22"/>
          <w:szCs w:val="22"/>
          <w:lang w:val="en-US"/>
        </w:rPr>
        <w:t xml:space="preserve">across all the regions of interest) </w:t>
      </w:r>
      <w:r w:rsidRPr="009E3305">
        <w:rPr>
          <w:rFonts w:eastAsia="MS Mincho"/>
          <w:bCs/>
          <w:sz w:val="22"/>
          <w:szCs w:val="22"/>
          <w:lang w:val="en-US"/>
        </w:rPr>
        <w:t>of smokers without COPD vs GOLD 1-2 COPD (</w:t>
      </w:r>
      <w:r w:rsidRPr="009E3305">
        <w:rPr>
          <w:rFonts w:eastAsia="MS Mincho"/>
          <w:b/>
          <w:sz w:val="22"/>
          <w:szCs w:val="22"/>
          <w:lang w:val="en-US"/>
        </w:rPr>
        <w:t>A</w:t>
      </w:r>
      <w:r w:rsidRPr="009E3305">
        <w:rPr>
          <w:rFonts w:eastAsia="MS Mincho"/>
          <w:bCs/>
          <w:sz w:val="22"/>
          <w:szCs w:val="22"/>
          <w:lang w:val="en-US"/>
        </w:rPr>
        <w:t>) and GOLD 1-2 COPD vs</w:t>
      </w:r>
      <w:r w:rsidR="00E94704" w:rsidRPr="009E3305">
        <w:rPr>
          <w:rFonts w:eastAsia="MS Mincho"/>
          <w:bCs/>
          <w:sz w:val="22"/>
          <w:szCs w:val="22"/>
          <w:lang w:val="en-US"/>
        </w:rPr>
        <w:t>.</w:t>
      </w:r>
      <w:r w:rsidRPr="009E3305">
        <w:rPr>
          <w:rFonts w:eastAsia="MS Mincho"/>
          <w:bCs/>
          <w:sz w:val="22"/>
          <w:szCs w:val="22"/>
          <w:lang w:val="en-US"/>
        </w:rPr>
        <w:t xml:space="preserve"> GOLD 3-4 COPD (</w:t>
      </w:r>
      <w:r w:rsidRPr="009E3305">
        <w:rPr>
          <w:rFonts w:eastAsia="MS Mincho"/>
          <w:b/>
          <w:sz w:val="22"/>
          <w:szCs w:val="22"/>
          <w:lang w:val="en-US"/>
        </w:rPr>
        <w:t>B</w:t>
      </w:r>
      <w:r w:rsidRPr="009E3305">
        <w:rPr>
          <w:rFonts w:eastAsia="MS Mincho"/>
          <w:bCs/>
          <w:sz w:val="22"/>
          <w:szCs w:val="22"/>
          <w:lang w:val="en-US"/>
        </w:rPr>
        <w:t>). The x-axis is the log2 fold change</w:t>
      </w:r>
      <w:r w:rsidR="00E94704" w:rsidRPr="009E3305">
        <w:rPr>
          <w:rFonts w:eastAsia="MS Mincho"/>
          <w:bCs/>
          <w:sz w:val="22"/>
          <w:szCs w:val="22"/>
          <w:lang w:val="en-US"/>
        </w:rPr>
        <w:t>,</w:t>
      </w:r>
      <w:r w:rsidRPr="009E3305">
        <w:rPr>
          <w:rFonts w:eastAsia="MS Mincho"/>
          <w:bCs/>
          <w:sz w:val="22"/>
          <w:szCs w:val="22"/>
          <w:lang w:val="en-US"/>
        </w:rPr>
        <w:t xml:space="preserve"> whereas the y-axis is the log10 of </w:t>
      </w:r>
      <w:r w:rsidR="00E94704" w:rsidRPr="009E3305">
        <w:rPr>
          <w:rFonts w:eastAsia="MS Mincho"/>
          <w:bCs/>
          <w:sz w:val="22"/>
          <w:szCs w:val="22"/>
          <w:lang w:val="en-US"/>
        </w:rPr>
        <w:t>the p-value</w:t>
      </w:r>
      <w:r w:rsidRPr="009E3305">
        <w:rPr>
          <w:rFonts w:eastAsia="MS Mincho"/>
          <w:bCs/>
          <w:sz w:val="22"/>
          <w:szCs w:val="22"/>
          <w:lang w:val="en-US"/>
        </w:rPr>
        <w:t>.</w:t>
      </w:r>
      <w:r w:rsidR="00722E27" w:rsidRPr="009E3305">
        <w:rPr>
          <w:rFonts w:eastAsia="MS Mincho"/>
          <w:bCs/>
          <w:sz w:val="22"/>
          <w:szCs w:val="22"/>
          <w:lang w:val="en-US"/>
        </w:rPr>
        <w:t xml:space="preserve"> In red, the </w:t>
      </w:r>
      <w:r w:rsidR="00E94704" w:rsidRPr="009E3305">
        <w:rPr>
          <w:rFonts w:eastAsia="MS Mincho"/>
          <w:bCs/>
          <w:sz w:val="22"/>
          <w:szCs w:val="22"/>
          <w:lang w:val="en-US"/>
        </w:rPr>
        <w:t>most significantly up-regulated proteins</w:t>
      </w:r>
      <w:r w:rsidR="00722E27" w:rsidRPr="009E3305">
        <w:rPr>
          <w:rFonts w:eastAsia="MS Mincho"/>
          <w:bCs/>
          <w:sz w:val="22"/>
          <w:szCs w:val="22"/>
          <w:lang w:val="en-US"/>
        </w:rPr>
        <w:t xml:space="preserve"> in GOLD 1-2 COPD patients vs. smokers (A) and GOLD 3-4 COPD (B).</w:t>
      </w:r>
    </w:p>
    <w:p w14:paraId="4FCB6375" w14:textId="1D9069A0" w:rsidR="00BF4022" w:rsidRPr="009E3305" w:rsidRDefault="00BF4022" w:rsidP="00BF4022">
      <w:pPr>
        <w:spacing w:line="480" w:lineRule="auto"/>
        <w:jc w:val="both"/>
        <w:rPr>
          <w:rFonts w:eastAsia="MS Mincho"/>
          <w:bCs/>
          <w:sz w:val="22"/>
          <w:szCs w:val="22"/>
          <w:lang w:val="en-US"/>
        </w:rPr>
      </w:pPr>
      <w:r w:rsidRPr="009E3305">
        <w:rPr>
          <w:rFonts w:eastAsia="MS Mincho"/>
          <w:b/>
          <w:bCs/>
          <w:sz w:val="22"/>
          <w:szCs w:val="22"/>
          <w:lang w:val="en-US"/>
        </w:rPr>
        <w:t xml:space="preserve">Figure S2. </w:t>
      </w:r>
      <w:r w:rsidRPr="009E3305">
        <w:rPr>
          <w:rFonts w:eastAsia="MS Mincho"/>
          <w:bCs/>
          <w:sz w:val="22"/>
          <w:szCs w:val="22"/>
          <w:lang w:val="en-US"/>
        </w:rPr>
        <w:t xml:space="preserve">Correlation between total spatial PD-L1 expression levels and post-FEV1 (% predicted) </w:t>
      </w:r>
      <w:r w:rsidRPr="009E3305">
        <w:rPr>
          <w:rFonts w:eastAsia="MS Mincho"/>
          <w:b/>
          <w:bCs/>
          <w:sz w:val="22"/>
          <w:szCs w:val="22"/>
          <w:lang w:val="en-US"/>
        </w:rPr>
        <w:t xml:space="preserve">(A) </w:t>
      </w:r>
      <w:r w:rsidRPr="009E3305">
        <w:rPr>
          <w:rFonts w:eastAsia="MS Mincho"/>
          <w:bCs/>
          <w:sz w:val="22"/>
          <w:szCs w:val="22"/>
          <w:lang w:val="en-US"/>
        </w:rPr>
        <w:t>and</w:t>
      </w:r>
      <w:r w:rsidRPr="009E3305">
        <w:rPr>
          <w:rFonts w:eastAsia="MS Mincho"/>
          <w:b/>
          <w:bCs/>
          <w:sz w:val="22"/>
          <w:szCs w:val="22"/>
          <w:lang w:val="en-US"/>
        </w:rPr>
        <w:t xml:space="preserve"> </w:t>
      </w:r>
      <w:r w:rsidRPr="009E3305">
        <w:rPr>
          <w:rFonts w:eastAsia="MS Mincho"/>
          <w:sz w:val="22"/>
          <w:szCs w:val="22"/>
          <w:lang w:val="en-US"/>
        </w:rPr>
        <w:t>total spatial</w:t>
      </w:r>
      <w:r w:rsidRPr="009E3305">
        <w:rPr>
          <w:rFonts w:eastAsia="MS Mincho"/>
          <w:bCs/>
          <w:sz w:val="22"/>
          <w:szCs w:val="22"/>
          <w:lang w:val="en-US"/>
        </w:rPr>
        <w:t xml:space="preserve"> PD-L1 and CD68 expression levels </w:t>
      </w:r>
      <w:r w:rsidRPr="009E3305">
        <w:rPr>
          <w:rFonts w:eastAsia="MS Mincho"/>
          <w:b/>
          <w:bCs/>
          <w:sz w:val="22"/>
          <w:szCs w:val="22"/>
          <w:lang w:val="en-US"/>
        </w:rPr>
        <w:t>(B)</w:t>
      </w:r>
      <w:r w:rsidRPr="009E3305">
        <w:rPr>
          <w:rFonts w:eastAsia="MS Mincho"/>
          <w:bCs/>
          <w:sz w:val="22"/>
          <w:szCs w:val="22"/>
          <w:lang w:val="en-US"/>
        </w:rPr>
        <w:t xml:space="preserve">. Results were shown as means ± SEM. The statistical test used in these analyses was Pearson correlation considering </w:t>
      </w:r>
      <w:r w:rsidR="00E94704" w:rsidRPr="009E3305">
        <w:rPr>
          <w:rFonts w:eastAsia="MS Mincho"/>
          <w:bCs/>
          <w:sz w:val="22"/>
          <w:szCs w:val="22"/>
          <w:lang w:val="en-US"/>
        </w:rPr>
        <w:t xml:space="preserve">a </w:t>
      </w:r>
      <w:r w:rsidRPr="009E3305">
        <w:rPr>
          <w:rFonts w:eastAsia="MS Mincho"/>
          <w:bCs/>
          <w:sz w:val="22"/>
          <w:szCs w:val="22"/>
          <w:lang w:val="en-US"/>
        </w:rPr>
        <w:t xml:space="preserve">95% confidence interval. </w:t>
      </w:r>
    </w:p>
    <w:p w14:paraId="1F348556" w14:textId="4830D021" w:rsidR="00BF4022" w:rsidRPr="00BF4022" w:rsidRDefault="00BF4022" w:rsidP="00BF4022">
      <w:pPr>
        <w:spacing w:line="480" w:lineRule="auto"/>
        <w:jc w:val="both"/>
        <w:rPr>
          <w:rFonts w:eastAsia="MS Mincho"/>
          <w:bCs/>
          <w:sz w:val="22"/>
          <w:szCs w:val="22"/>
          <w:lang w:val="en-US"/>
        </w:rPr>
      </w:pPr>
      <w:r w:rsidRPr="009E3305">
        <w:rPr>
          <w:rFonts w:eastAsia="MS Mincho"/>
          <w:b/>
          <w:bCs/>
          <w:sz w:val="22"/>
          <w:szCs w:val="22"/>
          <w:lang w:val="en-US"/>
        </w:rPr>
        <w:t xml:space="preserve">Figure S3. </w:t>
      </w:r>
      <w:r w:rsidRPr="009E3305">
        <w:rPr>
          <w:rFonts w:eastAsia="MS Mincho"/>
          <w:bCs/>
          <w:sz w:val="22"/>
          <w:szCs w:val="22"/>
          <w:lang w:val="en-US"/>
        </w:rPr>
        <w:t>Correlation between total spatial PD-L1 expression levels and post-FEV1 (% predicted) in vessel</w:t>
      </w:r>
      <w:r w:rsidR="00E94704" w:rsidRPr="009E3305">
        <w:rPr>
          <w:rFonts w:eastAsia="MS Mincho"/>
          <w:bCs/>
          <w:sz w:val="22"/>
          <w:szCs w:val="22"/>
          <w:lang w:val="en-US"/>
        </w:rPr>
        <w:t>s</w:t>
      </w:r>
      <w:r w:rsidRPr="009E3305">
        <w:rPr>
          <w:rFonts w:eastAsia="MS Mincho"/>
          <w:bCs/>
          <w:sz w:val="22"/>
          <w:szCs w:val="22"/>
          <w:lang w:val="en-US"/>
        </w:rPr>
        <w:t xml:space="preserve"> </w:t>
      </w:r>
      <w:r w:rsidRPr="009E3305">
        <w:rPr>
          <w:rFonts w:eastAsia="MS Mincho"/>
          <w:b/>
          <w:bCs/>
          <w:sz w:val="22"/>
          <w:szCs w:val="22"/>
          <w:lang w:val="en-US"/>
        </w:rPr>
        <w:t>(A)</w:t>
      </w:r>
      <w:r w:rsidRPr="009E3305">
        <w:rPr>
          <w:rFonts w:eastAsia="MS Mincho"/>
          <w:bCs/>
          <w:sz w:val="22"/>
          <w:szCs w:val="22"/>
          <w:lang w:val="en-US"/>
        </w:rPr>
        <w:t xml:space="preserve"> and alveoli </w:t>
      </w:r>
      <w:r w:rsidRPr="009E3305">
        <w:rPr>
          <w:rFonts w:eastAsia="MS Mincho"/>
          <w:b/>
          <w:bCs/>
          <w:sz w:val="22"/>
          <w:szCs w:val="22"/>
          <w:lang w:val="en-US"/>
        </w:rPr>
        <w:t>(B)</w:t>
      </w:r>
      <w:r w:rsidRPr="009E3305">
        <w:rPr>
          <w:rFonts w:eastAsia="MS Mincho"/>
          <w:bCs/>
          <w:sz w:val="22"/>
          <w:szCs w:val="22"/>
          <w:lang w:val="en-US"/>
        </w:rPr>
        <w:t xml:space="preserve"> across all the study subjects. Results were shown as means ± SEM. The statistical test used in these analyses was Pearson correlation considering 95% confidence interval. </w:t>
      </w:r>
    </w:p>
    <w:p w14:paraId="49830E33" w14:textId="76B84588" w:rsidR="00BF4022" w:rsidRPr="000C61A2" w:rsidRDefault="00BF4022" w:rsidP="00BF4022">
      <w:pPr>
        <w:spacing w:line="480" w:lineRule="auto"/>
        <w:jc w:val="both"/>
        <w:rPr>
          <w:rFonts w:eastAsia="Calibri"/>
          <w:sz w:val="22"/>
          <w:szCs w:val="22"/>
          <w:lang w:val="en-GB"/>
        </w:rPr>
      </w:pPr>
      <w:r w:rsidRPr="00BF4022">
        <w:rPr>
          <w:rFonts w:eastAsia="MS Mincho"/>
          <w:b/>
          <w:sz w:val="22"/>
          <w:szCs w:val="22"/>
          <w:lang w:val="en-US"/>
        </w:rPr>
        <w:t>Figure S4.</w:t>
      </w:r>
      <w:r>
        <w:rPr>
          <w:rFonts w:eastAsia="MS Mincho"/>
          <w:bCs/>
          <w:sz w:val="22"/>
          <w:szCs w:val="22"/>
          <w:lang w:val="en-US"/>
        </w:rPr>
        <w:t xml:space="preserve"> </w:t>
      </w:r>
      <w:r w:rsidRPr="000C61A2">
        <w:rPr>
          <w:rFonts w:eastAsia="Calibri"/>
          <w:sz w:val="22"/>
          <w:szCs w:val="22"/>
          <w:lang w:val="en-GB"/>
        </w:rPr>
        <w:t xml:space="preserve">PD-L1 mRNA expression in THP-1 cells after CSE exposure. THP-1 cells were treated with CSE at 10% for </w:t>
      </w:r>
      <w:r w:rsidR="00E94704">
        <w:rPr>
          <w:rFonts w:eastAsia="Calibri"/>
          <w:sz w:val="22"/>
          <w:szCs w:val="22"/>
          <w:lang w:val="en-GB"/>
        </w:rPr>
        <w:t xml:space="preserve">the </w:t>
      </w:r>
      <w:r w:rsidRPr="000C61A2">
        <w:rPr>
          <w:rFonts w:eastAsia="Calibri"/>
          <w:sz w:val="22"/>
          <w:szCs w:val="22"/>
          <w:lang w:val="en-GB"/>
        </w:rPr>
        <w:t>indicated time</w:t>
      </w:r>
      <w:r w:rsidR="00E94704">
        <w:rPr>
          <w:rFonts w:eastAsia="Calibri"/>
          <w:sz w:val="22"/>
          <w:szCs w:val="22"/>
          <w:lang w:val="en-GB"/>
        </w:rPr>
        <w:t>,</w:t>
      </w:r>
      <w:r w:rsidRPr="000C61A2">
        <w:rPr>
          <w:rFonts w:eastAsia="Calibri"/>
          <w:sz w:val="22"/>
          <w:szCs w:val="22"/>
          <w:lang w:val="en-GB"/>
        </w:rPr>
        <w:t xml:space="preserve"> and the expression of PD-L1 was assessed by real-time PCR. PD-L1 mRNA expression is shown as fold change with respect to 0% CSE. </w:t>
      </w:r>
    </w:p>
    <w:p w14:paraId="17EF828C" w14:textId="6D7521D7" w:rsidR="008663D0" w:rsidRPr="009E3305" w:rsidRDefault="008663D0">
      <w:pPr>
        <w:rPr>
          <w:lang w:val="en-US"/>
        </w:rPr>
      </w:pPr>
    </w:p>
    <w:p w14:paraId="41A02892" w14:textId="524D13FC" w:rsidR="009E3305" w:rsidRPr="009E3305" w:rsidRDefault="009E330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27215AE" wp14:editId="12A6E5F6">
            <wp:extent cx="5943600" cy="33432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4CD099A" wp14:editId="27D0DA0C">
            <wp:extent cx="5943600" cy="334327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4FEBE215" wp14:editId="1249C35F">
            <wp:extent cx="5943600" cy="33432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2047912" wp14:editId="32D8D227">
            <wp:extent cx="5943600" cy="33432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3305" w:rsidRPr="009E3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22"/>
    <w:rsid w:val="00044F54"/>
    <w:rsid w:val="002A0E8E"/>
    <w:rsid w:val="00394CBB"/>
    <w:rsid w:val="004C37C6"/>
    <w:rsid w:val="00722E27"/>
    <w:rsid w:val="008305F3"/>
    <w:rsid w:val="008663D0"/>
    <w:rsid w:val="00905120"/>
    <w:rsid w:val="009C4710"/>
    <w:rsid w:val="009E3305"/>
    <w:rsid w:val="00BF4022"/>
    <w:rsid w:val="00E9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C33F4D"/>
  <w15:chartTrackingRefBased/>
  <w15:docId w15:val="{7686346C-4E5A-E34B-A8C6-86E24EDD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4022"/>
    <w:rPr>
      <w:rFonts w:ascii="Times New Roman" w:eastAsia="Times New Roman" w:hAnsi="Times New Roman" w:cs="Times New Roman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F402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Polverino, Francesca</dc:creator>
  <cp:keywords/>
  <dc:description/>
  <cp:lastModifiedBy>Giuseppe</cp:lastModifiedBy>
  <cp:revision>5</cp:revision>
  <dcterms:created xsi:type="dcterms:W3CDTF">2022-02-13T18:40:00Z</dcterms:created>
  <dcterms:modified xsi:type="dcterms:W3CDTF">2022-03-01T16:24:00Z</dcterms:modified>
</cp:coreProperties>
</file>