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03D764" w14:textId="77777777" w:rsidR="00A30030" w:rsidRPr="007D0867" w:rsidRDefault="00A30030" w:rsidP="00A30030">
      <w:pPr>
        <w:rPr>
          <w:b/>
        </w:rPr>
      </w:pPr>
      <w:bookmarkStart w:id="0" w:name="_GoBack"/>
      <w:bookmarkEnd w:id="0"/>
      <w:r w:rsidRPr="007D0867">
        <w:rPr>
          <w:b/>
        </w:rPr>
        <w:t>Supplementary Material S2</w:t>
      </w:r>
    </w:p>
    <w:p w14:paraId="486B03F9" w14:textId="77777777" w:rsidR="00A30030" w:rsidRPr="007D0867" w:rsidRDefault="00A30030" w:rsidP="00A30030">
      <w:pPr>
        <w:rPr>
          <w:b/>
        </w:rPr>
      </w:pPr>
      <w:r w:rsidRPr="00FE0D92">
        <w:rPr>
          <w:b/>
        </w:rPr>
        <w:t xml:space="preserve">Title: </w:t>
      </w:r>
      <w:r w:rsidRPr="007D0867">
        <w:rPr>
          <w:b/>
        </w:rPr>
        <w:t xml:space="preserve">Intervention description for MSF NCD programme in Irbid, north Jordan: </w:t>
      </w:r>
    </w:p>
    <w:p w14:paraId="4C844FD5" w14:textId="77777777" w:rsidR="00A30030" w:rsidRPr="007D0867" w:rsidRDefault="00A30030" w:rsidP="00A30030">
      <w:r w:rsidRPr="007D0867">
        <w:rPr>
          <w:b/>
        </w:rPr>
        <w:t xml:space="preserve">Description: </w:t>
      </w:r>
      <w:r w:rsidRPr="007D0867">
        <w:t>Detailed description of the</w:t>
      </w:r>
      <w:r w:rsidRPr="007D0867">
        <w:rPr>
          <w:b/>
        </w:rPr>
        <w:t xml:space="preserve"> </w:t>
      </w:r>
      <w:r w:rsidRPr="007D0867">
        <w:t>MSF NCD programme, including enrolment criteria, elements of clinical management, patient circuit and follow up pattern.</w:t>
      </w:r>
    </w:p>
    <w:p w14:paraId="0AF77932" w14:textId="77777777" w:rsidR="0099136B" w:rsidRDefault="0099136B"/>
    <w:p w14:paraId="52F12C55" w14:textId="77777777" w:rsidR="00A30030" w:rsidRDefault="00A30030" w:rsidP="00A30030">
      <w:r w:rsidRPr="00DC6AC5">
        <w:t>The multidisciplinary tea</w:t>
      </w:r>
      <w:r w:rsidRPr="001F2506">
        <w:t>m initially included non-specialist doctors, nurses, health educators, pharmacy and reception staff</w:t>
      </w:r>
      <w:r>
        <w:t>. The team</w:t>
      </w:r>
      <w:r w:rsidRPr="00885939">
        <w:t xml:space="preserve"> provided appointment-based medical consultation, </w:t>
      </w:r>
      <w:r>
        <w:t xml:space="preserve">incorporating </w:t>
      </w:r>
      <w:r w:rsidRPr="00885939">
        <w:t xml:space="preserve">health education (HE) and behaviour change counselling, </w:t>
      </w:r>
      <w:r>
        <w:t xml:space="preserve">and were </w:t>
      </w:r>
      <w:r w:rsidRPr="00DD3EF4">
        <w:t xml:space="preserve">supported by a local management team and </w:t>
      </w:r>
      <w:r w:rsidRPr="0020683C">
        <w:t xml:space="preserve">a </w:t>
      </w:r>
      <w:r w:rsidRPr="00F7185A">
        <w:t xml:space="preserve">coordination team in Amman. </w:t>
      </w:r>
      <w:r w:rsidRPr="005C0A67">
        <w:t xml:space="preserve">The service evolved to also incorporate individual and group-based mental health and psychosocial support (MHPSS), social work, physiotherapy and </w:t>
      </w:r>
      <w:r w:rsidRPr="0098311F">
        <w:t xml:space="preserve">a home visit </w:t>
      </w:r>
      <w:r w:rsidRPr="001D530D">
        <w:t xml:space="preserve">team </w:t>
      </w:r>
      <w:r w:rsidRPr="00040FCB">
        <w:t>fo</w:t>
      </w:r>
      <w:r w:rsidRPr="0096576A">
        <w:t>r house-bound patients</w:t>
      </w:r>
      <w:r>
        <w:t xml:space="preserve">. Further staff roles were added including </w:t>
      </w:r>
      <w:r w:rsidRPr="008B2119">
        <w:t>counsellors</w:t>
      </w:r>
      <w:r>
        <w:t xml:space="preserve"> </w:t>
      </w:r>
      <w:r w:rsidRPr="00642E7B">
        <w:t>and a speciali</w:t>
      </w:r>
      <w:r w:rsidRPr="009D4899">
        <w:t>st family medicine practitioner at each clinic site</w:t>
      </w:r>
      <w:r>
        <w:t xml:space="preserve"> as well as </w:t>
      </w:r>
      <w:r w:rsidRPr="00642E7B">
        <w:t>a physiotherapist</w:t>
      </w:r>
      <w:r>
        <w:t>,</w:t>
      </w:r>
      <w:r w:rsidRPr="008B2119">
        <w:t xml:space="preserve"> </w:t>
      </w:r>
      <w:r>
        <w:t xml:space="preserve">a </w:t>
      </w:r>
      <w:r w:rsidRPr="008B2119">
        <w:t>humanitarian liaison officer (HLO</w:t>
      </w:r>
      <w:r>
        <w:t>), who performed a social work role, linking patients with protection and other humanitarian services</w:t>
      </w:r>
      <w:r w:rsidRPr="008B2119">
        <w:t xml:space="preserve">, </w:t>
      </w:r>
      <w:r>
        <w:t xml:space="preserve">and the pharmacy and </w:t>
      </w:r>
      <w:r w:rsidRPr="00D67F25">
        <w:t>home visit</w:t>
      </w:r>
      <w:r w:rsidRPr="00642E7B">
        <w:t xml:space="preserve"> </w:t>
      </w:r>
      <w:r>
        <w:t>teams were expanded</w:t>
      </w:r>
      <w:r w:rsidRPr="00642E7B">
        <w:t xml:space="preserve"> </w:t>
      </w:r>
      <w:r w:rsidRPr="009D4899">
        <w:t xml:space="preserve">(Programme Timeline </w:t>
      </w:r>
      <w:r>
        <w:t>S3</w:t>
      </w:r>
      <w:r w:rsidRPr="00A30030">
        <w:t>).</w:t>
      </w:r>
      <w:r w:rsidRPr="005C0A67">
        <w:t xml:space="preserve"> </w:t>
      </w:r>
    </w:p>
    <w:p w14:paraId="093EA96D" w14:textId="77777777" w:rsidR="00A30030" w:rsidRPr="005C0A67" w:rsidRDefault="00A30030" w:rsidP="00A30030"/>
    <w:p w14:paraId="43F66754" w14:textId="77777777" w:rsidR="00A30030" w:rsidRDefault="00A30030" w:rsidP="00A30030">
      <w:pPr>
        <w:rPr>
          <w:rFonts w:cs="Arial"/>
        </w:rPr>
      </w:pPr>
      <w:r w:rsidRPr="00DC6AC5">
        <w:t xml:space="preserve">Most patients (&gt;90%) presented with established, self-reported diagnoses on enrolment; new diagnoses were made based on the MSF NCD guideline </w:t>
      </w:r>
      <w:r w:rsidRPr="000373F0">
        <w:fldChar w:fldCharType="begin" w:fldLock="1"/>
      </w:r>
      <w:r>
        <w:instrText>ADDIN CSL_CITATION {"citationItems":[{"id":"ITEM-1","itemData":{"author":[{"dropping-particle":"","family":"Jobanputra","given":"Kiran","non-dropping-particle":"","parse-names":false,"suffix":""}],"id":"ITEM-1","issued":{"date-parts":[["2016"]]},"title":"Non-communicable Diseases: Programmatic and clinical guidelines","type":"report"},"uris":["http://www.mendeley.com/documents/?uuid=15fa9c7b-3a23-43c1-8eea-afb22c6b3203"]}],"mendeley":{"formattedCitation":"(35)","plainTextFormattedCitation":"(35)","previouslyFormattedCitation":"(35)"},"properties":{"noteIndex":0},"schema":"https://github.com/citation-style-language/schema/raw/master/csl-citation.json"}</w:instrText>
      </w:r>
      <w:r w:rsidRPr="000373F0">
        <w:fldChar w:fldCharType="separate"/>
      </w:r>
      <w:r w:rsidRPr="00F42DB4">
        <w:rPr>
          <w:noProof/>
        </w:rPr>
        <w:t>(35)</w:t>
      </w:r>
      <w:r w:rsidRPr="000373F0">
        <w:fldChar w:fldCharType="end"/>
      </w:r>
      <w:r w:rsidRPr="000373F0">
        <w:t xml:space="preserve">. </w:t>
      </w:r>
      <w:r>
        <w:t xml:space="preserve">The MSF guideline was adapted from international guidance and WHO PEN and Primary Care International guidance, both specifically developed for resource-poor and humanitarian settings </w:t>
      </w:r>
      <w:r>
        <w:fldChar w:fldCharType="begin" w:fldLock="1"/>
      </w:r>
      <w:r>
        <w:instrText>ADDIN CSL_CITATION {"citationItems":[{"id":"ITEM-1","itemData":{"URL":"https://pci-360.com/our-work/develop-clinical-guidelines-and-tools/","accessed":{"date-parts":[["2020","5","18"]]},"author":[{"dropping-particle":"","family":"Primary Care International (PCI)","given":"","non-dropping-particle":"","parse-names":false,"suffix":""}],"id":"ITEM-1","issued":{"date-parts":[["2020"]]},"title":"Primary Care International | Clinical guidelines","type":"webpage"},"uris":["http://www.mendeley.com/documents/?uuid=6b1aee74-faa5-338e-8012-c781f31ce7c8"]},{"id":"ITEM-2","itemData":{"URL":"http://www.nice.org.uk/guidance/cg181/evidence/lipid-modification-update-full-guideline-243786637","accessed":{"date-parts":[["2015","12","1"]]},"id":"ITEM-2","issued":{"date-parts":[["0"]]},"title":"NICE clinical guideline CG181;Lipid modification Cardiovascular risk assessment and the modification of blood lipids for the primary and secondary prevention of cardiovascular disease Clinical guideline Methods, evidence and recommendations July 2014","type":"webpage"},"uris":["http://www.mendeley.com/documents/?uuid=03b6fc72-7c95-4ee2-9b23-4407a86fcee0"]},{"id":"ITEM-3","itemData":{"container-title":"WHO","id":"ITEM-3","issued":{"date-parts":[["2014"]]},"publisher":"World Health Organization","title":"WHO | Package of essential NCD interventions for primary health care: cancer, diabetes, heart disease and stroke, chronic respiratory disease","type":"article-journal"},"uris":["http://www.mendeley.com/documents/?uuid=23d6e822-8253-3c3b-8e55-f873d3458be6"]}],"mendeley":{"formattedCitation":"(68–70)","plainTextFormattedCitation":"(68–70)","previouslyFormattedCitation":"(68–70)"},"properties":{"noteIndex":0},"schema":"https://github.com/citation-style-language/schema/raw/master/csl-citation.json"}</w:instrText>
      </w:r>
      <w:r>
        <w:fldChar w:fldCharType="separate"/>
      </w:r>
      <w:r w:rsidRPr="007A198E">
        <w:rPr>
          <w:noProof/>
        </w:rPr>
        <w:t>(68–70)</w:t>
      </w:r>
      <w:r>
        <w:fldChar w:fldCharType="end"/>
      </w:r>
      <w:r>
        <w:t xml:space="preserve">. </w:t>
      </w:r>
      <w:r w:rsidRPr="00DC6AC5">
        <w:rPr>
          <w:rFonts w:eastAsia="Times"/>
        </w:rPr>
        <w:t>At first visits, do</w:t>
      </w:r>
      <w:r w:rsidRPr="00DC6AC5">
        <w:rPr>
          <w:rFonts w:cs="Arial"/>
        </w:rPr>
        <w:t>ctors recorded a complete past medical, medication and family medical history and performed a clinical examination. In addition, lifestyle CVD risk factors (smoking status, alcohol intake, exercise levels) were recorded</w:t>
      </w:r>
      <w:r>
        <w:rPr>
          <w:rFonts w:cs="Arial"/>
        </w:rPr>
        <w:t>;</w:t>
      </w:r>
      <w:r w:rsidRPr="00DC6AC5">
        <w:rPr>
          <w:rFonts w:cs="Arial"/>
        </w:rPr>
        <w:t xml:space="preserve"> the global cardiovascular risk score was calculated usin</w:t>
      </w:r>
      <w:r>
        <w:rPr>
          <w:rFonts w:cs="Arial"/>
        </w:rPr>
        <w:t>g WHO CVD risk prediction chart;</w:t>
      </w:r>
      <w:r w:rsidRPr="00DC6AC5">
        <w:rPr>
          <w:rFonts w:cs="Arial"/>
        </w:rPr>
        <w:t xml:space="preserve"> acute complicati</w:t>
      </w:r>
      <w:r>
        <w:rPr>
          <w:rFonts w:cs="Arial"/>
        </w:rPr>
        <w:t>ons were identified and treated;</w:t>
      </w:r>
      <w:r w:rsidRPr="00DC6AC5">
        <w:rPr>
          <w:rFonts w:cs="Arial"/>
        </w:rPr>
        <w:t xml:space="preserve"> long-term medications were prescribed for symptom management and second</w:t>
      </w:r>
      <w:r>
        <w:rPr>
          <w:rFonts w:cs="Arial"/>
        </w:rPr>
        <w:t>ary prevention of complications;</w:t>
      </w:r>
      <w:r w:rsidRPr="00DC6AC5">
        <w:rPr>
          <w:rFonts w:cs="Arial"/>
        </w:rPr>
        <w:t xml:space="preserve"> patients were referred for laboratory testing as appropriate</w:t>
      </w:r>
      <w:r>
        <w:rPr>
          <w:rFonts w:cs="Arial"/>
        </w:rPr>
        <w:t>;</w:t>
      </w:r>
      <w:r w:rsidRPr="00DC6AC5">
        <w:rPr>
          <w:rFonts w:cs="Arial"/>
        </w:rPr>
        <w:t xml:space="preserve"> and a follow-up interval was determined </w:t>
      </w:r>
      <w:r w:rsidRPr="007C17AD">
        <w:rPr>
          <w:rFonts w:cs="Arial"/>
        </w:rPr>
        <w:fldChar w:fldCharType="begin" w:fldLock="1"/>
      </w:r>
      <w:r>
        <w:rPr>
          <w:rFonts w:cs="Arial"/>
        </w:rPr>
        <w:instrText>ADDIN CSL_CITATION {"citationItems":[{"id":"ITEM-1","itemData":{"container-title":"WHO","id":"ITEM-1","issued":{"date-parts":[["2011"]]},"publisher":"World Health Organization","title":"WHO | WHO/ISH cardiovascular risk prediction charts","type":"article-journal"},"uris":["http://www.mendeley.com/documents/?uuid=94dbfb3d-fa55-341a-80c6-d532dce4474c"]}],"mendeley":{"formattedCitation":"(71)","plainTextFormattedCitation":"(71)","previouslyFormattedCitation":"(71)"},"properties":{"noteIndex":0},"schema":"https://github.com/citation-style-language/schema/raw/master/csl-citation.json"}</w:instrText>
      </w:r>
      <w:r w:rsidRPr="007C17AD">
        <w:rPr>
          <w:rFonts w:cs="Arial"/>
        </w:rPr>
        <w:fldChar w:fldCharType="separate"/>
      </w:r>
      <w:r w:rsidRPr="007A198E">
        <w:rPr>
          <w:rFonts w:cs="Arial"/>
          <w:noProof/>
        </w:rPr>
        <w:t>(71)</w:t>
      </w:r>
      <w:r w:rsidRPr="007C17AD">
        <w:rPr>
          <w:rFonts w:cs="Arial"/>
        </w:rPr>
        <w:fldChar w:fldCharType="end"/>
      </w:r>
      <w:r w:rsidRPr="000373F0">
        <w:rPr>
          <w:rFonts w:cs="Arial"/>
        </w:rPr>
        <w:t>.</w:t>
      </w:r>
      <w:r w:rsidRPr="007C17AD">
        <w:rPr>
          <w:rFonts w:cs="Arial"/>
        </w:rPr>
        <w:t xml:space="preserve"> </w:t>
      </w:r>
    </w:p>
    <w:p w14:paraId="5EE6EC36" w14:textId="77777777" w:rsidR="00A30030" w:rsidRDefault="00A30030" w:rsidP="00A30030">
      <w:pPr>
        <w:rPr>
          <w:rFonts w:cs="Arial"/>
        </w:rPr>
      </w:pPr>
    </w:p>
    <w:p w14:paraId="5C00C6A1" w14:textId="77777777" w:rsidR="00A30030" w:rsidRDefault="00A30030" w:rsidP="00A30030">
      <w:r w:rsidRPr="002A3969">
        <w:t xml:space="preserve">Patients were initially </w:t>
      </w:r>
      <w:r>
        <w:t>reviewed</w:t>
      </w:r>
      <w:r w:rsidRPr="002A3969">
        <w:t xml:space="preserve"> on a monthly basis and followed a defined patient circuit involving a registrar/clerk, triage nurse, doctor, health educator and the pharmacy team. Clinics ran six days per week from 8 am to 2 pm, while the home visit service operated on six days within a ten-mile radius of the clinics. </w:t>
      </w:r>
      <w:r>
        <w:t>Ton increase</w:t>
      </w:r>
      <w:r w:rsidRPr="002A3969">
        <w:t xml:space="preserve"> </w:t>
      </w:r>
      <w:r>
        <w:t>programme efficiency, policy for stable patients changed in 2016. Their c</w:t>
      </w:r>
      <w:r w:rsidRPr="002A3969">
        <w:t xml:space="preserve">linical review appointments </w:t>
      </w:r>
      <w:r>
        <w:t>were task-shared t</w:t>
      </w:r>
      <w:r w:rsidRPr="002A3969">
        <w:t>o nurses</w:t>
      </w:r>
      <w:r>
        <w:t xml:space="preserve"> and the review interval was increased to three months. However, medications were still dispensed monthly, so they were required to attend monthly to collect them. Stable patients were</w:t>
      </w:r>
      <w:r w:rsidRPr="002A3969">
        <w:t xml:space="preserve"> </w:t>
      </w:r>
      <w:r>
        <w:t xml:space="preserve">defined as </w:t>
      </w:r>
      <w:r w:rsidRPr="002A3969">
        <w:t xml:space="preserve">those achieving </w:t>
      </w:r>
      <w:r>
        <w:t xml:space="preserve">the programme’s </w:t>
      </w:r>
      <w:r w:rsidRPr="002A3969">
        <w:t>clinical target</w:t>
      </w:r>
      <w:r>
        <w:t xml:space="preserve">s i.e. blood pressure &lt; 140/90 mmHG; FBG &lt; </w:t>
      </w:r>
      <w:r w:rsidRPr="00A30030">
        <w:t>180</w:t>
      </w:r>
      <w:r>
        <w:t xml:space="preserve"> mg/dL or HbA1c &lt; 8%; and clinically controlled asthma, COPD or angina, as relevant to the patient.</w:t>
      </w:r>
    </w:p>
    <w:p w14:paraId="24D107B9" w14:textId="77777777" w:rsidR="00A30030" w:rsidRDefault="00A30030" w:rsidP="00A30030">
      <w:pPr>
        <w:rPr>
          <w:rFonts w:cs="Arial"/>
        </w:rPr>
      </w:pPr>
    </w:p>
    <w:p w14:paraId="02221A01" w14:textId="77777777" w:rsidR="00A30030" w:rsidRDefault="00A30030" w:rsidP="00A30030">
      <w:pPr>
        <w:rPr>
          <w:rFonts w:cs="Arial"/>
        </w:rPr>
      </w:pPr>
      <w:r>
        <w:rPr>
          <w:rFonts w:cs="Arial"/>
          <w:i/>
        </w:rPr>
        <w:t xml:space="preserve">Complications screening and referral. </w:t>
      </w:r>
      <w:r>
        <w:rPr>
          <w:rFonts w:cs="Arial"/>
        </w:rPr>
        <w:t xml:space="preserve">Hypertensive and CVD patients had annual fasting capillary blood glucose (FBG) performed to screen for diabetes. Clinic staff measured diabetic patient’s blood pressure and capillary blood glucose at each visit and screened for micro-and macrovascular complications with annual foot checks (examination and monofilament testing) and referral to an external laboratory for annual microalbuminuria, serum creatinine and cholesterol testing.   </w:t>
      </w:r>
    </w:p>
    <w:p w14:paraId="714C4B03" w14:textId="77777777" w:rsidR="00A30030" w:rsidRPr="00FE0D92" w:rsidRDefault="00A30030" w:rsidP="00A30030">
      <w:pPr>
        <w:rPr>
          <w:rFonts w:eastAsia="Times"/>
        </w:rPr>
      </w:pPr>
      <w:r w:rsidRPr="0082070A">
        <w:rPr>
          <w:rFonts w:cs="Arial"/>
        </w:rPr>
        <w:t xml:space="preserve">Referrals </w:t>
      </w:r>
      <w:r>
        <w:rPr>
          <w:rFonts w:cs="Arial"/>
        </w:rPr>
        <w:t xml:space="preserve">pathways were complex, changed over time and </w:t>
      </w:r>
      <w:r w:rsidRPr="0082070A">
        <w:rPr>
          <w:rFonts w:cs="Arial"/>
        </w:rPr>
        <w:t xml:space="preserve">were made to </w:t>
      </w:r>
      <w:r>
        <w:rPr>
          <w:rFonts w:cs="Arial"/>
        </w:rPr>
        <w:t xml:space="preserve">multiple other </w:t>
      </w:r>
      <w:r w:rsidRPr="0082070A">
        <w:rPr>
          <w:rFonts w:cs="Arial"/>
        </w:rPr>
        <w:t>actors</w:t>
      </w:r>
      <w:r>
        <w:rPr>
          <w:rFonts w:cs="Arial"/>
        </w:rPr>
        <w:t>. Referrals for specialist care or care for non-target NCDs (e.g. musculoskeletal disease or cancer)</w:t>
      </w:r>
      <w:r w:rsidRPr="0082070A">
        <w:rPr>
          <w:rFonts w:cs="Arial"/>
        </w:rPr>
        <w:t xml:space="preserve"> were not funded by MSF. Emergency cases </w:t>
      </w:r>
      <w:r>
        <w:rPr>
          <w:rFonts w:cs="Arial"/>
        </w:rPr>
        <w:t xml:space="preserve">were stabilised (e.g. acute asthma exacerbation, diabetic ketoacidosis, acute coronary syndrome) and </w:t>
      </w:r>
      <w:r w:rsidRPr="0082070A">
        <w:rPr>
          <w:rFonts w:cs="Arial"/>
        </w:rPr>
        <w:t xml:space="preserve">were </w:t>
      </w:r>
      <w:r>
        <w:rPr>
          <w:rFonts w:cs="Arial"/>
        </w:rPr>
        <w:t xml:space="preserve">then </w:t>
      </w:r>
      <w:r w:rsidRPr="0082070A">
        <w:rPr>
          <w:rFonts w:cs="Arial"/>
        </w:rPr>
        <w:t xml:space="preserve">referred to the Jordanian public health </w:t>
      </w:r>
      <w:r>
        <w:rPr>
          <w:rFonts w:cs="Arial"/>
        </w:rPr>
        <w:t xml:space="preserve">emergency </w:t>
      </w:r>
      <w:r w:rsidRPr="0082070A">
        <w:rPr>
          <w:rFonts w:cs="Arial"/>
        </w:rPr>
        <w:t>service</w:t>
      </w:r>
      <w:r>
        <w:rPr>
          <w:rFonts w:cs="Arial"/>
        </w:rPr>
        <w:t>s by ambulance</w:t>
      </w:r>
      <w:r w:rsidRPr="0082070A">
        <w:rPr>
          <w:rFonts w:cs="Arial"/>
        </w:rPr>
        <w:t xml:space="preserve">. Non-urgent referrals (most frequently ophthalmology, cardiology and nephrology) were made to public, private or other humanitarian providers. MSF’s referral patterns varied greatly over time as </w:t>
      </w:r>
      <w:r>
        <w:rPr>
          <w:rFonts w:cs="Arial"/>
        </w:rPr>
        <w:t xml:space="preserve">the </w:t>
      </w:r>
      <w:r w:rsidRPr="0082070A">
        <w:rPr>
          <w:rFonts w:cs="Arial"/>
        </w:rPr>
        <w:t>availability of services, e.g.</w:t>
      </w:r>
      <w:r w:rsidRPr="00F71AD1">
        <w:rPr>
          <w:rFonts w:cs="Arial"/>
        </w:rPr>
        <w:t xml:space="preserve"> NGO-provided cardiac catheteris</w:t>
      </w:r>
      <w:r w:rsidRPr="0082070A">
        <w:rPr>
          <w:rFonts w:cs="Arial"/>
        </w:rPr>
        <w:t>ation, depended on short donor funding cycles.</w:t>
      </w:r>
      <w:r w:rsidRPr="005C21AE">
        <w:rPr>
          <w:rFonts w:cs="Arial"/>
        </w:rPr>
        <w:t xml:space="preserve"> </w:t>
      </w:r>
      <w:r w:rsidRPr="0082070A">
        <w:rPr>
          <w:rFonts w:cs="Arial"/>
        </w:rPr>
        <w:t xml:space="preserve">UNHCR oversaw the funding for registered refugees and covered </w:t>
      </w:r>
      <w:r>
        <w:rPr>
          <w:rFonts w:cs="Arial"/>
        </w:rPr>
        <w:t xml:space="preserve">MOH </w:t>
      </w:r>
      <w:r w:rsidRPr="0082070A">
        <w:rPr>
          <w:rFonts w:cs="Arial"/>
        </w:rPr>
        <w:t xml:space="preserve">primary care and limited secondary, tertiary and emergency care according to strict eligibility criteria.  </w:t>
      </w:r>
      <w:r w:rsidRPr="002A3969">
        <w:t xml:space="preserve">Appointments were noted in an appointment book; clinical data were collected in </w:t>
      </w:r>
      <w:r w:rsidRPr="00DC6AC5">
        <w:t xml:space="preserve">paper-based files </w:t>
      </w:r>
      <w:r w:rsidRPr="007C17AD">
        <w:t>and entered weekly in</w:t>
      </w:r>
      <w:r w:rsidRPr="002A3969">
        <w:t>to a patient-level, macro-based Excel spread sheet by a data entry operator</w:t>
      </w:r>
      <w:r w:rsidRPr="00DC6AC5">
        <w:t>.</w:t>
      </w:r>
    </w:p>
    <w:p w14:paraId="16E6AA34" w14:textId="77777777" w:rsidR="00A30030" w:rsidRDefault="00A30030"/>
    <w:sectPr w:rsidR="00A30030" w:rsidSect="0099136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0030"/>
    <w:rsid w:val="0099136B"/>
    <w:rsid w:val="00A30030"/>
    <w:rsid w:val="00E57DA5"/>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D4AB4D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0030"/>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0030"/>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1128</Words>
  <Characters>6432</Characters>
  <Application>Microsoft Macintosh Word</Application>
  <DocSecurity>0</DocSecurity>
  <Lines>53</Lines>
  <Paragraphs>15</Paragraphs>
  <ScaleCrop>false</ScaleCrop>
  <Company/>
  <LinksUpToDate>false</LinksUpToDate>
  <CharactersWithSpaces>7545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Eimhin Ansbro</dc:creator>
  <cp:keywords/>
  <dc:description/>
  <cp:lastModifiedBy>Eimhin Ansbro</cp:lastModifiedBy>
  <cp:revision>2</cp:revision>
  <dcterms:created xsi:type="dcterms:W3CDTF">2020-06-01T23:47:00Z</dcterms:created>
  <dcterms:modified xsi:type="dcterms:W3CDTF">2020-06-01T23:49:00Z</dcterms:modified>
</cp:coreProperties>
</file>