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878" w:tblpY="719"/>
        <w:tblOverlap w:val="never"/>
        <w:tblW w:w="688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65"/>
        <w:gridCol w:w="1080"/>
        <w:gridCol w:w="1080"/>
        <w:gridCol w:w="1080"/>
        <w:gridCol w:w="10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56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gene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Panicle blast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56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6h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12h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24h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48h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56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Os03g0693800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Os03g0693900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56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Os03g0694000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4.35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b/>
          <w:bCs/>
          <w:sz w:val="22"/>
          <w:szCs w:val="22"/>
        </w:rPr>
      </w:pPr>
      <w:bookmarkStart w:id="0" w:name="_GoBack"/>
      <w:r>
        <w:rPr>
          <w:rFonts w:hint="default" w:ascii="Times New Roman" w:hAnsi="Times New Roman" w:cs="Times New Roman"/>
          <w:b/>
          <w:bCs/>
          <w:sz w:val="22"/>
          <w:szCs w:val="22"/>
        </w:rPr>
        <w:t>Table S2.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Microarray data of OXO genes after panicle blast inoculation. The value is log2 ratio.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FB3B2F"/>
    <w:rsid w:val="2CFB3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2020-11-24T08:10:00Z</dcterms:created>
  <dc:creator>董董</dc:creator>
  <cp:lastModifiedBy>董董</cp:lastModifiedBy>
  <dcterms:modified xsi:type="dcterms:W3CDTF">2020-11-24T08:11:09Z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