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76" w:tblpY="720"/>
        <w:tblOverlap w:val="never"/>
        <w:tblW w:w="867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5"/>
        <w:gridCol w:w="1635"/>
        <w:gridCol w:w="2520"/>
        <w:gridCol w:w="17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77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Name</w:t>
            </w:r>
          </w:p>
        </w:tc>
        <w:tc>
          <w:tcPr>
            <w:tcW w:w="16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 number</w:t>
            </w:r>
          </w:p>
        </w:tc>
        <w:tc>
          <w:tcPr>
            <w:tcW w:w="25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Diseased leaf area (%)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i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PHQSN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77.35±10.84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Nip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76.14±11.85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0.384497703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RNAi (3-2, T2 generation)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78.28±8.95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0.4215049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RNAi (7-1, T2 generation)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82±8.78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0.140154155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Table 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.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2"/>
          <w:szCs w:val="22"/>
        </w:rPr>
        <w:t>The diseased leaf area of control (PHQSN) and OXO silencing plants after inoculation with leaf blast.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35A53"/>
    <w:rsid w:val="4A0E5A33"/>
    <w:rsid w:val="651A057A"/>
    <w:rsid w:val="7863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2020-11-24T08:17:00Z</dcterms:created>
  <dc:creator>董董</dc:creator>
  <cp:lastModifiedBy>董董</cp:lastModifiedBy>
  <dcterms:modified xsi:type="dcterms:W3CDTF">2020-12-22T06:02:08Z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