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051" w:rsidRPr="00327051" w:rsidRDefault="00327051" w:rsidP="00327051">
      <w:pPr>
        <w:rPr>
          <w:b/>
        </w:rPr>
      </w:pPr>
      <w:r w:rsidRPr="00327051">
        <w:rPr>
          <w:b/>
        </w:rPr>
        <w:t>Supplementary Data - MORTALITY RATE DUE TO PULMONE</w:t>
      </w:r>
      <w:r w:rsidR="00FC34DE">
        <w:rPr>
          <w:b/>
        </w:rPr>
        <w:t>A</w:t>
      </w:r>
      <w:r w:rsidRPr="00327051">
        <w:rPr>
          <w:b/>
        </w:rPr>
        <w:t xml:space="preserve">RY FIBROSIS ASSOCIATED WITH SARS-   </w:t>
      </w:r>
    </w:p>
    <w:p w:rsidR="00327051" w:rsidRDefault="00327051" w:rsidP="00327051">
      <w:pPr>
        <w:rPr>
          <w:b/>
        </w:rPr>
      </w:pPr>
      <w:r w:rsidRPr="00327051">
        <w:rPr>
          <w:b/>
        </w:rPr>
        <w:t xml:space="preserve">                                     COV-2 INFECTION:   SCOPE OF BEST FIT REGRESSION </w:t>
      </w:r>
    </w:p>
    <w:p w:rsidR="00327051" w:rsidRDefault="00327051" w:rsidP="00327051">
      <w:r>
        <w:rPr>
          <w:b/>
        </w:rPr>
        <w:t xml:space="preserve">                                                              </w:t>
      </w:r>
      <w:r>
        <w:t xml:space="preserve">JAYDIP DATTA </w:t>
      </w:r>
    </w:p>
    <w:p w:rsidR="00327051" w:rsidRDefault="00327051" w:rsidP="00327051">
      <w:r>
        <w:t>__________________________________________________________________________________</w:t>
      </w:r>
    </w:p>
    <w:p w:rsidR="00327051" w:rsidRDefault="00327051" w:rsidP="00327051">
      <w:pPr>
        <w:pStyle w:val="ListParagraph"/>
        <w:numPr>
          <w:ilvl w:val="0"/>
          <w:numId w:val="1"/>
        </w:numPr>
      </w:pPr>
    </w:p>
    <w:p w:rsidR="00327051" w:rsidRDefault="00327051" w:rsidP="00327051">
      <w:r w:rsidRPr="00327051">
        <w:rPr>
          <w:noProof/>
          <w:lang w:eastAsia="en-GB"/>
        </w:rPr>
        <w:drawing>
          <wp:inline distT="0" distB="0" distL="0" distR="0">
            <wp:extent cx="2952750" cy="2200275"/>
            <wp:effectExtent l="19050" t="0" r="0" b="0"/>
            <wp:docPr id="1" name="Picture 1" descr="C:\Users\ASUS\Desktop\New folder\Data Matrix [ 15 x 4 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New folder\Data Matrix [ 15 x 4 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513" cy="2209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051" w:rsidRDefault="00C259C8" w:rsidP="00327051">
      <w:pPr>
        <w:rPr>
          <w:b/>
          <w:color w:val="000000"/>
          <w:shd w:val="clear" w:color="auto" w:fill="FFFCF0"/>
        </w:rPr>
      </w:pPr>
      <w:r>
        <w:rPr>
          <w:rFonts w:ascii="Arial" w:hAnsi="Arial" w:cs="Arial"/>
          <w:color w:val="000000"/>
        </w:rPr>
        <w:t>REF :</w:t>
      </w:r>
      <w:r w:rsidR="00327051" w:rsidRPr="00503B26">
        <w:rPr>
          <w:rFonts w:ascii="Arial" w:hAnsi="Arial" w:cs="Arial"/>
          <w:color w:val="000000"/>
        </w:rPr>
        <w:t>COVID-19: The Potential Treatment of Pulmonary Fibrosis Associated with SARS-CoV-2 Infection</w:t>
      </w:r>
      <w:r w:rsidR="00327051">
        <w:rPr>
          <w:rFonts w:ascii="Arial" w:hAnsi="Arial" w:cs="Arial"/>
          <w:b/>
          <w:bCs/>
          <w:color w:val="000000"/>
        </w:rPr>
        <w:t xml:space="preserve"> - </w:t>
      </w:r>
      <w:hyperlink r:id="rId8" w:history="1">
        <w:r w:rsidR="00327051">
          <w:rPr>
            <w:rStyle w:val="Hyperlink"/>
            <w:rFonts w:ascii="Arial" w:hAnsi="Arial" w:cs="Arial"/>
            <w:color w:val="642A8F"/>
            <w:sz w:val="20"/>
            <w:szCs w:val="20"/>
            <w:shd w:val="clear" w:color="auto" w:fill="FFFFFF"/>
          </w:rPr>
          <w:t>J Clin Med</w:t>
        </w:r>
      </w:hyperlink>
      <w:r w:rsidR="00327051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2020 Jun; 9(6 ) </w:t>
      </w:r>
      <w:r w:rsidR="00327051">
        <w:rPr>
          <w:rStyle w:val="fm-vol-iss-date"/>
          <w:rFonts w:ascii="Arial" w:hAnsi="Arial" w:cs="Arial"/>
          <w:color w:val="000000"/>
          <w:sz w:val="20"/>
          <w:szCs w:val="20"/>
          <w:shd w:val="clear" w:color="auto" w:fill="FFFFFF"/>
        </w:rPr>
        <w:t>. </w:t>
      </w:r>
      <w:r w:rsidR="00327051">
        <w:rPr>
          <w:rStyle w:val="doi"/>
          <w:rFonts w:ascii="Arial" w:hAnsi="Arial" w:cs="Arial"/>
          <w:color w:val="000000"/>
          <w:sz w:val="20"/>
          <w:szCs w:val="20"/>
          <w:shd w:val="clear" w:color="auto" w:fill="FFFFFF"/>
        </w:rPr>
        <w:t>doi: </w:t>
      </w:r>
      <w:hyperlink r:id="rId9" w:tgtFrame="pmc_ext" w:history="1">
        <w:r w:rsidR="00327051">
          <w:rPr>
            <w:rStyle w:val="Hyperlink"/>
            <w:rFonts w:ascii="Arial" w:hAnsi="Arial" w:cs="Arial"/>
            <w:color w:val="642A8F"/>
            <w:sz w:val="20"/>
            <w:szCs w:val="20"/>
            <w:shd w:val="clear" w:color="auto" w:fill="FFFFFF"/>
          </w:rPr>
          <w:t>10.3390/jcm9061917</w:t>
        </w:r>
      </w:hyperlink>
      <w:r w:rsidR="00327051">
        <w:t xml:space="preserve"> , </w:t>
      </w:r>
      <w:r w:rsidR="003270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327051" w:rsidRPr="00412A01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Table – 1 , P.2</w:t>
      </w:r>
      <w:r w:rsidR="00327051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, [</w:t>
      </w:r>
      <w:r w:rsidR="00327051">
        <w:rPr>
          <w:color w:val="000000"/>
          <w:shd w:val="clear" w:color="auto" w:fill="FFFCF0"/>
        </w:rPr>
        <w:t>Weekly WHO reports regarding an increase in the number of patients suffering from Corona virus Disease 2019 (COVID-19) ]-</w:t>
      </w:r>
      <w:r w:rsidR="00327051" w:rsidRPr="00412A01">
        <w:rPr>
          <w:b/>
          <w:color w:val="000000"/>
          <w:shd w:val="clear" w:color="auto" w:fill="FFFCF0"/>
        </w:rPr>
        <w:t>( Public availability of Data ) .</w:t>
      </w:r>
    </w:p>
    <w:p w:rsidR="00375A8D" w:rsidRDefault="00375A8D" w:rsidP="00327051">
      <w:pPr>
        <w:rPr>
          <w:b/>
          <w:color w:val="000000"/>
          <w:shd w:val="clear" w:color="auto" w:fill="FFFCF0"/>
        </w:rPr>
      </w:pPr>
      <w:r>
        <w:rPr>
          <w:b/>
          <w:color w:val="000000"/>
          <w:shd w:val="clear" w:color="auto" w:fill="FFFCF0"/>
        </w:rPr>
        <w:t>2.</w:t>
      </w:r>
    </w:p>
    <w:p w:rsidR="00375A8D" w:rsidRDefault="00375A8D" w:rsidP="00327051">
      <w:pPr>
        <w:rPr>
          <w:b/>
          <w:color w:val="000000"/>
          <w:shd w:val="clear" w:color="auto" w:fill="FFFCF0"/>
        </w:rPr>
      </w:pPr>
      <w:r>
        <w:rPr>
          <w:b/>
          <w:noProof/>
          <w:color w:val="000000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17145</wp:posOffset>
            </wp:positionV>
            <wp:extent cx="2381250" cy="1828800"/>
            <wp:effectExtent l="19050" t="0" r="0" b="0"/>
            <wp:wrapSquare wrapText="bothSides"/>
            <wp:docPr id="6" name="Picture 1" descr="C:\Users\ASUS\Desktop\New folder\Infection Vs Dea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New folder\Infection Vs Death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75A8D">
        <w:rPr>
          <w:b/>
          <w:noProof/>
          <w:color w:val="000000"/>
          <w:shd w:val="clear" w:color="auto" w:fill="FFFCF0"/>
          <w:lang w:eastAsia="en-GB"/>
        </w:rPr>
        <w:drawing>
          <wp:inline distT="0" distB="0" distL="0" distR="0">
            <wp:extent cx="2609850" cy="1914525"/>
            <wp:effectExtent l="19050" t="0" r="0" b="0"/>
            <wp:docPr id="2" name="Picture 1" descr="C:\Users\ASUS\Desktop\New folder\Death Freq- Number of Day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New folder\Death Freq- Number of Day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5A8D" w:rsidRDefault="00375A8D" w:rsidP="00327051">
      <w:pPr>
        <w:rPr>
          <w:b/>
          <w:color w:val="000000"/>
          <w:shd w:val="clear" w:color="auto" w:fill="FFFCF0"/>
        </w:rPr>
      </w:pPr>
      <w:r w:rsidRPr="00375A8D">
        <w:rPr>
          <w:b/>
          <w:noProof/>
          <w:color w:val="000000"/>
          <w:shd w:val="clear" w:color="auto" w:fill="FFFCF0"/>
          <w:lang w:eastAsia="en-GB"/>
        </w:rPr>
        <w:drawing>
          <wp:inline distT="0" distB="0" distL="0" distR="0">
            <wp:extent cx="2295525" cy="1409700"/>
            <wp:effectExtent l="19050" t="0" r="9525" b="0"/>
            <wp:docPr id="4" name="Picture 2" descr="C:\Users\ASUS\Desktop\New folder\Infection Vs 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New folder\Infection Vs MR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051" w:rsidRDefault="00375A8D" w:rsidP="00327051">
      <w:pPr>
        <w:rPr>
          <w:b/>
          <w:color w:val="000000"/>
          <w:shd w:val="clear" w:color="auto" w:fill="FFFCF0"/>
        </w:rPr>
      </w:pPr>
      <w:r>
        <w:rPr>
          <w:b/>
          <w:color w:val="000000"/>
          <w:shd w:val="clear" w:color="auto" w:fill="FFFCF0"/>
        </w:rPr>
        <w:lastRenderedPageBreak/>
        <w:t>3.</w:t>
      </w:r>
    </w:p>
    <w:p w:rsidR="00327051" w:rsidRDefault="00327051" w:rsidP="00327051">
      <w:r w:rsidRPr="00327051">
        <w:rPr>
          <w:noProof/>
          <w:lang w:eastAsia="en-GB"/>
        </w:rPr>
        <w:drawing>
          <wp:inline distT="0" distB="0" distL="0" distR="0">
            <wp:extent cx="3990975" cy="1352550"/>
            <wp:effectExtent l="19050" t="0" r="9525" b="0"/>
            <wp:docPr id="5" name="Picture 2" descr="C:\Users\ASUS\Desktop\New folder\Coefficiants of regress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New folder\Coefficiants of regression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051" w:rsidRDefault="00375A8D" w:rsidP="00327051">
      <w:r>
        <w:t>4.</w:t>
      </w:r>
    </w:p>
    <w:p w:rsidR="00327051" w:rsidRDefault="00327051" w:rsidP="00375A8D">
      <w:r w:rsidRPr="00327051">
        <w:rPr>
          <w:noProof/>
          <w:lang w:eastAsia="en-GB"/>
        </w:rPr>
        <w:drawing>
          <wp:inline distT="0" distB="0" distL="0" distR="0">
            <wp:extent cx="4000500" cy="1619250"/>
            <wp:effectExtent l="19050" t="0" r="0" b="0"/>
            <wp:docPr id="10" name="Picture 4" descr="C:\Users\ASUS\Desktop\New folder\MMF ( Coefficiants 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New folder\MMF ( Coefficiants )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7051" w:rsidRDefault="00375A8D" w:rsidP="00375A8D">
      <w:r>
        <w:t>5.</w:t>
      </w:r>
    </w:p>
    <w:p w:rsidR="00327051" w:rsidRDefault="00327051" w:rsidP="00327051">
      <w:r w:rsidRPr="00327051">
        <w:rPr>
          <w:noProof/>
          <w:lang w:eastAsia="en-GB"/>
        </w:rPr>
        <w:drawing>
          <wp:inline distT="0" distB="0" distL="0" distR="0">
            <wp:extent cx="3990975" cy="1857375"/>
            <wp:effectExtent l="19050" t="0" r="9525" b="0"/>
            <wp:docPr id="12" name="Picture 6" descr="C:\Users\ASUS\Desktop\New folder\Harris Fit ( Coefficiants 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esktop\New folder\Harris Fit ( Coefficiants )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44BF" w:rsidRPr="00327051" w:rsidRDefault="00375A8D" w:rsidP="00327051">
      <w:r>
        <w:t>6.</w:t>
      </w:r>
    </w:p>
    <w:p w:rsidR="00BA3C15" w:rsidRDefault="00327051">
      <w:pPr>
        <w:rPr>
          <w:b/>
        </w:rPr>
      </w:pPr>
      <w:r>
        <w:rPr>
          <w:b/>
        </w:rPr>
        <w:t xml:space="preserve"> </w:t>
      </w:r>
      <w:r w:rsidRPr="00327051">
        <w:rPr>
          <w:b/>
          <w:noProof/>
          <w:lang w:eastAsia="en-GB"/>
        </w:rPr>
        <w:drawing>
          <wp:inline distT="0" distB="0" distL="0" distR="0">
            <wp:extent cx="2647950" cy="1609725"/>
            <wp:effectExtent l="19050" t="0" r="19050" b="0"/>
            <wp:docPr id="7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375A8D" w:rsidRDefault="00375A8D">
      <w:pPr>
        <w:rPr>
          <w:b/>
        </w:rPr>
      </w:pPr>
    </w:p>
    <w:p w:rsidR="00C259C8" w:rsidRDefault="00C259C8">
      <w:pPr>
        <w:rPr>
          <w:b/>
        </w:rPr>
      </w:pPr>
    </w:p>
    <w:p w:rsidR="006644BF" w:rsidRDefault="00375A8D">
      <w:pPr>
        <w:rPr>
          <w:b/>
        </w:rPr>
      </w:pPr>
      <w:r>
        <w:rPr>
          <w:b/>
        </w:rPr>
        <w:lastRenderedPageBreak/>
        <w:t>7.</w:t>
      </w:r>
      <w:r w:rsidR="006644BF">
        <w:rPr>
          <w:b/>
        </w:rPr>
        <w:t xml:space="preserve"> </w:t>
      </w:r>
    </w:p>
    <w:p w:rsidR="006644BF" w:rsidRDefault="006644BF">
      <w:pPr>
        <w:rPr>
          <w:b/>
        </w:rPr>
      </w:pPr>
      <w:r w:rsidRPr="006644BF">
        <w:rPr>
          <w:b/>
          <w:noProof/>
          <w:lang w:eastAsia="en-GB"/>
        </w:rPr>
        <w:drawing>
          <wp:inline distT="0" distB="0" distL="0" distR="0">
            <wp:extent cx="2619375" cy="1933575"/>
            <wp:effectExtent l="19050" t="0" r="9525" b="0"/>
            <wp:docPr id="8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E86947" w:rsidRDefault="00375A8D" w:rsidP="00E86947">
      <w:pPr>
        <w:pStyle w:val="Heading3"/>
        <w:shd w:val="clear" w:color="auto" w:fill="FFFFFF"/>
        <w:spacing w:before="300" w:beforeAutospacing="0" w:after="150" w:afterAutospacing="0"/>
        <w:rPr>
          <w:rFonts w:ascii="Arial" w:hAnsi="Arial" w:cs="Arial"/>
          <w:b w:val="0"/>
          <w:bCs w:val="0"/>
          <w:color w:val="333333"/>
          <w:sz w:val="22"/>
          <w:szCs w:val="22"/>
        </w:rPr>
      </w:pPr>
      <w:r>
        <w:rPr>
          <w:b w:val="0"/>
        </w:rPr>
        <w:t>8.</w:t>
      </w:r>
      <w:r w:rsidR="00E86947">
        <w:rPr>
          <w:b w:val="0"/>
        </w:rPr>
        <w:t xml:space="preserve"> Code – </w:t>
      </w:r>
      <w:r w:rsidR="00E86947" w:rsidRPr="00E86947">
        <w:rPr>
          <w:rFonts w:ascii="Arial" w:hAnsi="Arial" w:cs="Arial"/>
          <w:b w:val="0"/>
          <w:bCs w:val="0"/>
          <w:color w:val="333333"/>
          <w:sz w:val="22"/>
          <w:szCs w:val="22"/>
        </w:rPr>
        <w:t>JSON Export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>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"files": [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"links":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"self": "https://zenodo.org/api/files/0b329600-cbd6-4d39-b201-dae1e0267760/Supplementary%20Data%20-SARS-COV-2%20lung%20fibrosis.docx"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},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"checksum": "md5:3b2e602b205518929c28fdfe90ceb31c",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"bucket": "0b329600-cbd6-4d39-b201-dae1e0267760",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"key": "Supplementary Data -SARS-COV-2 lung fibrosis.docx",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"type": "docx",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"size": 749031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}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],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"owners": [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99235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],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"doi": "10.5281/zenodo.4393577",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"stats":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"version_unique_downloads": 0.0,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"unique_views": 0.0,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"views": 0.0,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"version_views": 0.0,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"unique_downloads": 0.0,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"version_unique_views": 0.0,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lastRenderedPageBreak/>
        <w:t xml:space="preserve">    "volume": 0.0,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"version_downloads": 0.0,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"downloads": 0.0,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"version_volume": 0.0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},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"links":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"doi": "https://doi.org/10.5281/zenodo.4393577",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"conceptdoi": "https://doi.org/10.5281/zenodo.4393575",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"bucket": "https://zenodo.org/api/files/0b329600-cbd6-4d39-b201-dae1e0267760",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"conceptbadge": "https://zenodo.org/badge/doi/10.5281/zenodo.4393575.svg",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"html": "https://zenodo.org/record/4393577",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"latest_html": "https://zenodo.org/record/4393577",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"badge": "https://zenodo.org/badge/doi/10.5281/zenodo.4393577.svg",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"latest": "https://zenodo.org/api/records/4393577"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},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"conceptdoi": "10.5281/zenodo.4393575",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"created": "2020-12-25T17:13:38.640119+00:00",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"updated": "2020-12-25T17:13:40.111995+00:00",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"conceptrecid": "4393575",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"revision": 1,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"id": 4393577,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"metadata":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"access_right_category": "success",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"doi": "10.5281/zenodo.4393577",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"description": "&lt;p&gt;The dataset contains number of infected pateints - Death Frquencies - Mortality rate globally due to pulmonary fibrosis associated with&amp;nbsp;SARS-COV-2 infection with effect from 21st Jan to 28 th April ,2020 . Data analysis report by best fit regression software Curve Expert V.1.4 supported with Spreadsheet ( Excel , Office 2007 ) are included for computation of statistical significance .&lt;/p&gt;",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"language": "eng",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"title": "Supplementary Data - MORTALITY RATE DUE TO PULMONERY FIBROSIS ASSOCIATED WITH SARS- COV-2 INFECTION: SCOPE OF BEST FIT REGRESSION",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"license":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"id": "CC-BY-4.0"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},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"notes": "JAYDIP DATTA . Growth of D614G Virus : Morgan \u2013 Morgan \u2013 Finney\u00a0( MMF ) Regression\u00a0, 15 October 2020, PREPRINT (Version 1) available at Research Square [+https://doi.org/10.21203/rs.3.rs-92776/v1+]",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lastRenderedPageBreak/>
        <w:t xml:space="preserve">    "relations":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"version": [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  "count": 1,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  "index": 0,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  "parent":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    "pid_type": "recid",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    "pid_value": "4393575"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  },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  "is_last": true,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  "last_child":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    "pid_type": "recid",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    "pid_value": "4393577"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  }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}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]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},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"version": "Version 1.0",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"references": [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"10.3390/jcm9061917"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],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"keywords": [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"SARS-COV-2 , Lung fibrosis , Mortality stats , Best fit regression , Pearson coefficiant"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],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"publication_date": "2020-12-25",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"creators": [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"name": "JAYDIP DATTA"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}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],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"access_right": "open",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"resource_type":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"type": "dataset",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"title": "Dataset"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},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lastRenderedPageBreak/>
        <w:t xml:space="preserve">    "related_identifiers": [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{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"scheme": "doi",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"identifier": "10.5281/zenodo.4393575", 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  "relation": "isVersionOf"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  }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  ]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 xml:space="preserve">  }</w:t>
      </w:r>
    </w:p>
    <w:p w:rsidR="00E86947" w:rsidRPr="00E86947" w:rsidRDefault="00E86947" w:rsidP="00E86947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</w:pPr>
      <w:r w:rsidRPr="00E86947">
        <w:rPr>
          <w:rFonts w:ascii="Consolas" w:eastAsia="Times New Roman" w:hAnsi="Consolas" w:cs="Consolas"/>
          <w:color w:val="333333"/>
          <w:sz w:val="20"/>
          <w:szCs w:val="20"/>
          <w:lang w:eastAsia="en-GB"/>
        </w:rPr>
        <w:t>}</w:t>
      </w:r>
    </w:p>
    <w:p w:rsidR="00E86947" w:rsidRPr="00C259C8" w:rsidRDefault="00C259C8" w:rsidP="00E86947">
      <w:pPr>
        <w:pStyle w:val="Heading3"/>
        <w:shd w:val="clear" w:color="auto" w:fill="FFFFFF"/>
        <w:spacing w:before="300" w:beforeAutospacing="0" w:after="150" w:afterAutospacing="0"/>
        <w:rPr>
          <w:rFonts w:ascii="Arial" w:hAnsi="Arial" w:cs="Arial"/>
          <w:b w:val="0"/>
          <w:bCs w:val="0"/>
          <w:color w:val="333333"/>
          <w:sz w:val="22"/>
          <w:szCs w:val="22"/>
        </w:rPr>
      </w:pPr>
      <w:r>
        <w:rPr>
          <w:rFonts w:ascii="Arial" w:hAnsi="Arial" w:cs="Arial"/>
          <w:b w:val="0"/>
          <w:bCs w:val="0"/>
          <w:color w:val="333333"/>
          <w:sz w:val="22"/>
          <w:szCs w:val="22"/>
        </w:rPr>
        <w:t xml:space="preserve">REF : </w:t>
      </w:r>
      <w:r w:rsidRPr="00C259C8">
        <w:rPr>
          <w:rFonts w:ascii="Arial" w:hAnsi="Arial" w:cs="Arial"/>
          <w:b w:val="0"/>
          <w:bCs w:val="0"/>
          <w:color w:val="333333"/>
          <w:sz w:val="22"/>
          <w:szCs w:val="22"/>
        </w:rPr>
        <w:t>https://zenodo.org/record/4393577</w:t>
      </w:r>
    </w:p>
    <w:p w:rsidR="00E86947" w:rsidRPr="00E86947" w:rsidRDefault="00E86947"/>
    <w:sectPr w:rsidR="00E86947" w:rsidRPr="00E86947" w:rsidSect="00BA3C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1C93" w:rsidRDefault="00581C93" w:rsidP="00327051">
      <w:pPr>
        <w:spacing w:after="0" w:line="240" w:lineRule="auto"/>
      </w:pPr>
      <w:r>
        <w:separator/>
      </w:r>
    </w:p>
  </w:endnote>
  <w:endnote w:type="continuationSeparator" w:id="1">
    <w:p w:rsidR="00581C93" w:rsidRDefault="00581C93" w:rsidP="00327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1C93" w:rsidRDefault="00581C93" w:rsidP="00327051">
      <w:pPr>
        <w:spacing w:after="0" w:line="240" w:lineRule="auto"/>
      </w:pPr>
      <w:r>
        <w:separator/>
      </w:r>
    </w:p>
  </w:footnote>
  <w:footnote w:type="continuationSeparator" w:id="1">
    <w:p w:rsidR="00581C93" w:rsidRDefault="00581C93" w:rsidP="003270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865159"/>
    <w:multiLevelType w:val="hybridMultilevel"/>
    <w:tmpl w:val="0E8C8D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27051"/>
    <w:rsid w:val="00052D6F"/>
    <w:rsid w:val="000F7872"/>
    <w:rsid w:val="001E3777"/>
    <w:rsid w:val="002F5279"/>
    <w:rsid w:val="00327051"/>
    <w:rsid w:val="003628DA"/>
    <w:rsid w:val="00375A8D"/>
    <w:rsid w:val="005026E0"/>
    <w:rsid w:val="00581C93"/>
    <w:rsid w:val="006644BF"/>
    <w:rsid w:val="00BA3C15"/>
    <w:rsid w:val="00C259C8"/>
    <w:rsid w:val="00D03867"/>
    <w:rsid w:val="00D62895"/>
    <w:rsid w:val="00E86947"/>
    <w:rsid w:val="00ED29B0"/>
    <w:rsid w:val="00FC34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051"/>
  </w:style>
  <w:style w:type="paragraph" w:styleId="Heading3">
    <w:name w:val="heading 3"/>
    <w:basedOn w:val="Normal"/>
    <w:link w:val="Heading3Char"/>
    <w:uiPriority w:val="9"/>
    <w:qFormat/>
    <w:rsid w:val="00E869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270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27051"/>
  </w:style>
  <w:style w:type="paragraph" w:styleId="Footer">
    <w:name w:val="footer"/>
    <w:basedOn w:val="Normal"/>
    <w:link w:val="FooterChar"/>
    <w:uiPriority w:val="99"/>
    <w:semiHidden/>
    <w:unhideWhenUsed/>
    <w:rsid w:val="003270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27051"/>
  </w:style>
  <w:style w:type="paragraph" w:styleId="BalloonText">
    <w:name w:val="Balloon Text"/>
    <w:basedOn w:val="Normal"/>
    <w:link w:val="BalloonTextChar"/>
    <w:uiPriority w:val="99"/>
    <w:semiHidden/>
    <w:unhideWhenUsed/>
    <w:rsid w:val="00327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0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27051"/>
    <w:rPr>
      <w:color w:val="0000FF" w:themeColor="hyperlink"/>
      <w:u w:val="single"/>
    </w:rPr>
  </w:style>
  <w:style w:type="character" w:customStyle="1" w:styleId="fm-vol-iss-date">
    <w:name w:val="fm-vol-iss-date"/>
    <w:basedOn w:val="DefaultParagraphFont"/>
    <w:rsid w:val="00327051"/>
  </w:style>
  <w:style w:type="character" w:customStyle="1" w:styleId="doi">
    <w:name w:val="doi"/>
    <w:basedOn w:val="DefaultParagraphFont"/>
    <w:rsid w:val="00327051"/>
  </w:style>
  <w:style w:type="paragraph" w:styleId="ListParagraph">
    <w:name w:val="List Paragraph"/>
    <w:basedOn w:val="Normal"/>
    <w:uiPriority w:val="34"/>
    <w:qFormat/>
    <w:rsid w:val="00327051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E86947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9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86947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16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73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mc/articles/PMC7356800/" TargetMode="External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chart" Target="charts/chart2.xml"/><Relationship Id="rId2" Type="http://schemas.openxmlformats.org/officeDocument/2006/relationships/styles" Target="styles.xml"/><Relationship Id="rId16" Type="http://schemas.openxmlformats.org/officeDocument/2006/relationships/chart" Target="charts/chart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x.doi.org/10.3390%2Fjcm9061917" TargetMode="External"/><Relationship Id="rId14" Type="http://schemas.openxmlformats.org/officeDocument/2006/relationships/image" Target="media/image6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New%20folder\Fibrosis%20Data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New%20folder\Fibrosis%20Data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GB"/>
  <c:chart>
    <c:view3D>
      <c:perspective val="30"/>
    </c:view3D>
    <c:plotArea>
      <c:layout/>
      <c:surface3DChart>
        <c:ser>
          <c:idx val="0"/>
          <c:order val="0"/>
          <c:val>
            <c:numRef>
              <c:f>Sheet1!$B$1:$B$15</c:f>
              <c:numCache>
                <c:formatCode>General</c:formatCode>
                <c:ptCount val="15"/>
                <c:pt idx="0">
                  <c:v>282</c:v>
                </c:pt>
                <c:pt idx="1">
                  <c:v>4593</c:v>
                </c:pt>
                <c:pt idx="2">
                  <c:v>20630</c:v>
                </c:pt>
                <c:pt idx="3">
                  <c:v>43103</c:v>
                </c:pt>
                <c:pt idx="4">
                  <c:v>73332</c:v>
                </c:pt>
                <c:pt idx="5">
                  <c:v>80239</c:v>
                </c:pt>
                <c:pt idx="6">
                  <c:v>90869</c:v>
                </c:pt>
                <c:pt idx="7">
                  <c:v>113702</c:v>
                </c:pt>
                <c:pt idx="8">
                  <c:v>179111</c:v>
                </c:pt>
                <c:pt idx="9">
                  <c:v>372755</c:v>
                </c:pt>
                <c:pt idx="10">
                  <c:v>750890</c:v>
                </c:pt>
                <c:pt idx="11">
                  <c:v>1279722</c:v>
                </c:pt>
                <c:pt idx="12">
                  <c:v>1844863</c:v>
                </c:pt>
                <c:pt idx="13">
                  <c:v>2397217</c:v>
                </c:pt>
                <c:pt idx="14">
                  <c:v>2954222</c:v>
                </c:pt>
              </c:numCache>
            </c:numRef>
          </c:val>
        </c:ser>
        <c:ser>
          <c:idx val="1"/>
          <c:order val="1"/>
          <c:val>
            <c:numRef>
              <c:f>Sheet1!$C$1:$C$15</c:f>
              <c:numCache>
                <c:formatCode>General</c:formatCode>
                <c:ptCount val="15"/>
                <c:pt idx="0">
                  <c:v>6</c:v>
                </c:pt>
                <c:pt idx="1">
                  <c:v>106</c:v>
                </c:pt>
                <c:pt idx="2">
                  <c:v>426</c:v>
                </c:pt>
                <c:pt idx="3">
                  <c:v>1018</c:v>
                </c:pt>
                <c:pt idx="4">
                  <c:v>1873</c:v>
                </c:pt>
                <c:pt idx="5">
                  <c:v>2700</c:v>
                </c:pt>
                <c:pt idx="6">
                  <c:v>3112</c:v>
                </c:pt>
                <c:pt idx="7">
                  <c:v>4012</c:v>
                </c:pt>
                <c:pt idx="8">
                  <c:v>7426</c:v>
                </c:pt>
                <c:pt idx="9">
                  <c:v>16231</c:v>
                </c:pt>
                <c:pt idx="10">
                  <c:v>36405</c:v>
                </c:pt>
                <c:pt idx="11">
                  <c:v>72614</c:v>
                </c:pt>
                <c:pt idx="12">
                  <c:v>117201</c:v>
                </c:pt>
                <c:pt idx="13">
                  <c:v>162956</c:v>
                </c:pt>
                <c:pt idx="14">
                  <c:v>202597</c:v>
                </c:pt>
              </c:numCache>
            </c:numRef>
          </c:val>
        </c:ser>
        <c:ser>
          <c:idx val="2"/>
          <c:order val="2"/>
          <c:val>
            <c:numRef>
              <c:f>Sheet1!$D$1:$D$15</c:f>
              <c:numCache>
                <c:formatCode>General</c:formatCode>
                <c:ptCount val="15"/>
                <c:pt idx="0">
                  <c:v>2.13</c:v>
                </c:pt>
                <c:pt idx="1">
                  <c:v>2.3099999999999987</c:v>
                </c:pt>
                <c:pt idx="2">
                  <c:v>2.06</c:v>
                </c:pt>
                <c:pt idx="3">
                  <c:v>2.36</c:v>
                </c:pt>
                <c:pt idx="4">
                  <c:v>2.5499999999999998</c:v>
                </c:pt>
                <c:pt idx="5">
                  <c:v>3.36</c:v>
                </c:pt>
                <c:pt idx="6">
                  <c:v>3.42</c:v>
                </c:pt>
                <c:pt idx="7">
                  <c:v>3.53</c:v>
                </c:pt>
                <c:pt idx="8">
                  <c:v>4.1499999999999995</c:v>
                </c:pt>
                <c:pt idx="9">
                  <c:v>4.3499999999999996</c:v>
                </c:pt>
                <c:pt idx="10">
                  <c:v>4.8499999999999996</c:v>
                </c:pt>
                <c:pt idx="11">
                  <c:v>5.67</c:v>
                </c:pt>
                <c:pt idx="12">
                  <c:v>6.34</c:v>
                </c:pt>
                <c:pt idx="13">
                  <c:v>6.8</c:v>
                </c:pt>
                <c:pt idx="14">
                  <c:v>6.8599999999999985</c:v>
                </c:pt>
              </c:numCache>
            </c:numRef>
          </c:val>
        </c:ser>
        <c:ser>
          <c:idx val="3"/>
          <c:order val="3"/>
          <c:val>
            <c:numRef>
              <c:f>Sheet1!$E$1:$E$15</c:f>
              <c:numCache>
                <c:formatCode>General</c:formatCode>
                <c:ptCount val="15"/>
                <c:pt idx="0">
                  <c:v>0</c:v>
                </c:pt>
                <c:pt idx="1">
                  <c:v>7</c:v>
                </c:pt>
                <c:pt idx="2">
                  <c:v>14</c:v>
                </c:pt>
                <c:pt idx="3">
                  <c:v>21</c:v>
                </c:pt>
                <c:pt idx="4">
                  <c:v>28</c:v>
                </c:pt>
                <c:pt idx="5">
                  <c:v>35</c:v>
                </c:pt>
                <c:pt idx="6">
                  <c:v>42</c:v>
                </c:pt>
                <c:pt idx="7">
                  <c:v>49</c:v>
                </c:pt>
                <c:pt idx="8">
                  <c:v>56</c:v>
                </c:pt>
                <c:pt idx="9">
                  <c:v>63</c:v>
                </c:pt>
                <c:pt idx="10">
                  <c:v>70</c:v>
                </c:pt>
                <c:pt idx="11">
                  <c:v>77</c:v>
                </c:pt>
                <c:pt idx="12">
                  <c:v>84</c:v>
                </c:pt>
                <c:pt idx="13">
                  <c:v>91</c:v>
                </c:pt>
                <c:pt idx="14">
                  <c:v>98</c:v>
                </c:pt>
              </c:numCache>
            </c:numRef>
          </c:val>
        </c:ser>
        <c:bandFmts/>
        <c:axId val="36670080"/>
        <c:axId val="38482304"/>
        <c:axId val="36231360"/>
      </c:surface3DChart>
      <c:catAx>
        <c:axId val="36670080"/>
        <c:scaling>
          <c:orientation val="minMax"/>
        </c:scaling>
        <c:axPos val="b"/>
        <c:tickLblPos val="nextTo"/>
        <c:crossAx val="38482304"/>
        <c:crosses val="autoZero"/>
        <c:auto val="1"/>
        <c:lblAlgn val="ctr"/>
        <c:lblOffset val="100"/>
      </c:catAx>
      <c:valAx>
        <c:axId val="38482304"/>
        <c:scaling>
          <c:orientation val="minMax"/>
        </c:scaling>
        <c:axPos val="l"/>
        <c:majorGridlines/>
        <c:numFmt formatCode="General" sourceLinked="1"/>
        <c:tickLblPos val="nextTo"/>
        <c:crossAx val="36670080"/>
        <c:crosses val="autoZero"/>
        <c:crossBetween val="midCat"/>
      </c:valAx>
      <c:serAx>
        <c:axId val="36231360"/>
        <c:scaling>
          <c:orientation val="minMax"/>
        </c:scaling>
        <c:axPos val="b"/>
        <c:tickLblPos val="nextTo"/>
        <c:crossAx val="38482304"/>
        <c:crosses val="autoZero"/>
      </c:serAx>
    </c:plotArea>
    <c:legend>
      <c:legendPos val="r"/>
      <c:txPr>
        <a:bodyPr/>
        <a:lstStyle/>
        <a:p>
          <a:pPr rtl="0">
            <a:defRPr/>
          </a:pPr>
          <a:endParaRPr lang="en-US"/>
        </a:p>
      </c:txPr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GB"/>
  <c:chart>
    <c:plotArea>
      <c:layout/>
      <c:radarChart>
        <c:radarStyle val="marker"/>
        <c:ser>
          <c:idx val="0"/>
          <c:order val="0"/>
          <c:marker>
            <c:symbol val="none"/>
          </c:marker>
          <c:val>
            <c:numRef>
              <c:f>Sheet1!$B$4:$B$15</c:f>
              <c:numCache>
                <c:formatCode>General</c:formatCode>
                <c:ptCount val="12"/>
                <c:pt idx="0">
                  <c:v>43103</c:v>
                </c:pt>
                <c:pt idx="1">
                  <c:v>73332</c:v>
                </c:pt>
                <c:pt idx="2">
                  <c:v>80239</c:v>
                </c:pt>
                <c:pt idx="3">
                  <c:v>90869</c:v>
                </c:pt>
                <c:pt idx="4">
                  <c:v>113702</c:v>
                </c:pt>
                <c:pt idx="5">
                  <c:v>179111</c:v>
                </c:pt>
                <c:pt idx="6">
                  <c:v>372755</c:v>
                </c:pt>
                <c:pt idx="7">
                  <c:v>750890</c:v>
                </c:pt>
                <c:pt idx="8">
                  <c:v>1279722</c:v>
                </c:pt>
                <c:pt idx="9">
                  <c:v>1844863</c:v>
                </c:pt>
                <c:pt idx="10">
                  <c:v>2397217</c:v>
                </c:pt>
                <c:pt idx="11">
                  <c:v>2954222</c:v>
                </c:pt>
              </c:numCache>
            </c:numRef>
          </c:val>
        </c:ser>
        <c:ser>
          <c:idx val="1"/>
          <c:order val="1"/>
          <c:marker>
            <c:symbol val="none"/>
          </c:marker>
          <c:val>
            <c:numRef>
              <c:f>Sheet1!$C$4:$C$15</c:f>
              <c:numCache>
                <c:formatCode>General</c:formatCode>
                <c:ptCount val="12"/>
                <c:pt idx="0">
                  <c:v>1018</c:v>
                </c:pt>
                <c:pt idx="1">
                  <c:v>1873</c:v>
                </c:pt>
                <c:pt idx="2">
                  <c:v>2700</c:v>
                </c:pt>
                <c:pt idx="3">
                  <c:v>3112</c:v>
                </c:pt>
                <c:pt idx="4">
                  <c:v>4012</c:v>
                </c:pt>
                <c:pt idx="5">
                  <c:v>7426</c:v>
                </c:pt>
                <c:pt idx="6">
                  <c:v>16231</c:v>
                </c:pt>
                <c:pt idx="7">
                  <c:v>36405</c:v>
                </c:pt>
                <c:pt idx="8">
                  <c:v>72614</c:v>
                </c:pt>
                <c:pt idx="9">
                  <c:v>117201</c:v>
                </c:pt>
                <c:pt idx="10">
                  <c:v>162956</c:v>
                </c:pt>
                <c:pt idx="11">
                  <c:v>202597</c:v>
                </c:pt>
              </c:numCache>
            </c:numRef>
          </c:val>
        </c:ser>
        <c:ser>
          <c:idx val="2"/>
          <c:order val="2"/>
          <c:marker>
            <c:symbol val="none"/>
          </c:marker>
          <c:val>
            <c:numRef>
              <c:f>Sheet1!$D$4:$D$15</c:f>
              <c:numCache>
                <c:formatCode>General</c:formatCode>
                <c:ptCount val="12"/>
                <c:pt idx="0">
                  <c:v>2.36</c:v>
                </c:pt>
                <c:pt idx="1">
                  <c:v>2.5499999999999998</c:v>
                </c:pt>
                <c:pt idx="2">
                  <c:v>3.36</c:v>
                </c:pt>
                <c:pt idx="3">
                  <c:v>3.42</c:v>
                </c:pt>
                <c:pt idx="4">
                  <c:v>3.53</c:v>
                </c:pt>
                <c:pt idx="5">
                  <c:v>4.1499999999999995</c:v>
                </c:pt>
                <c:pt idx="6">
                  <c:v>4.3499999999999996</c:v>
                </c:pt>
                <c:pt idx="7">
                  <c:v>4.8499999999999996</c:v>
                </c:pt>
                <c:pt idx="8">
                  <c:v>5.67</c:v>
                </c:pt>
                <c:pt idx="9">
                  <c:v>6.34</c:v>
                </c:pt>
                <c:pt idx="10">
                  <c:v>6.8</c:v>
                </c:pt>
                <c:pt idx="11">
                  <c:v>6.8599999999999985</c:v>
                </c:pt>
              </c:numCache>
            </c:numRef>
          </c:val>
        </c:ser>
        <c:ser>
          <c:idx val="3"/>
          <c:order val="3"/>
          <c:marker>
            <c:symbol val="none"/>
          </c:marker>
          <c:val>
            <c:numRef>
              <c:f>Sheet1!$E$4:$E$15</c:f>
              <c:numCache>
                <c:formatCode>General</c:formatCode>
                <c:ptCount val="12"/>
                <c:pt idx="0">
                  <c:v>21</c:v>
                </c:pt>
                <c:pt idx="1">
                  <c:v>28</c:v>
                </c:pt>
                <c:pt idx="2">
                  <c:v>35</c:v>
                </c:pt>
                <c:pt idx="3">
                  <c:v>42</c:v>
                </c:pt>
                <c:pt idx="4">
                  <c:v>49</c:v>
                </c:pt>
                <c:pt idx="5">
                  <c:v>56</c:v>
                </c:pt>
                <c:pt idx="6">
                  <c:v>63</c:v>
                </c:pt>
                <c:pt idx="7">
                  <c:v>70</c:v>
                </c:pt>
                <c:pt idx="8">
                  <c:v>77</c:v>
                </c:pt>
                <c:pt idx="9">
                  <c:v>84</c:v>
                </c:pt>
                <c:pt idx="10">
                  <c:v>91</c:v>
                </c:pt>
                <c:pt idx="11">
                  <c:v>98</c:v>
                </c:pt>
              </c:numCache>
            </c:numRef>
          </c:val>
        </c:ser>
        <c:axId val="38500224"/>
        <c:axId val="38501760"/>
      </c:radarChart>
      <c:catAx>
        <c:axId val="38500224"/>
        <c:scaling>
          <c:orientation val="minMax"/>
        </c:scaling>
        <c:axPos val="b"/>
        <c:majorGridlines/>
        <c:tickLblPos val="nextTo"/>
        <c:crossAx val="38501760"/>
        <c:crosses val="autoZero"/>
        <c:auto val="1"/>
        <c:lblAlgn val="ctr"/>
        <c:lblOffset val="100"/>
      </c:catAx>
      <c:valAx>
        <c:axId val="38501760"/>
        <c:scaling>
          <c:orientation val="minMax"/>
        </c:scaling>
        <c:axPos val="l"/>
        <c:majorGridlines/>
        <c:numFmt formatCode="General" sourceLinked="1"/>
        <c:majorTickMark val="cross"/>
        <c:tickLblPos val="nextTo"/>
        <c:crossAx val="3850022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651</Words>
  <Characters>3712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10</cp:revision>
  <dcterms:created xsi:type="dcterms:W3CDTF">2020-12-25T16:34:00Z</dcterms:created>
  <dcterms:modified xsi:type="dcterms:W3CDTF">2020-12-28T14:25:00Z</dcterms:modified>
</cp:coreProperties>
</file>