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281C" w:rsidRDefault="0011281C" w:rsidP="0011281C">
      <w:pPr>
        <w:jc w:val="both"/>
        <w:rPr>
          <w:rFonts w:ascii="Arial" w:hAnsi="Arial" w:cs="Arial"/>
          <w:b/>
          <w:bCs/>
          <w:sz w:val="24"/>
          <w:szCs w:val="24"/>
        </w:rPr>
      </w:pPr>
      <w:r w:rsidRPr="000E1F8C">
        <w:rPr>
          <w:rFonts w:ascii="Arial" w:hAnsi="Arial" w:cs="Arial" w:hint="eastAsia"/>
          <w:b/>
          <w:bCs/>
          <w:sz w:val="24"/>
          <w:szCs w:val="24"/>
        </w:rPr>
        <w:t>Supp</w:t>
      </w:r>
      <w:r w:rsidRPr="000E1F8C">
        <w:rPr>
          <w:rFonts w:ascii="Arial" w:hAnsi="Arial" w:cs="Arial"/>
          <w:b/>
          <w:bCs/>
          <w:sz w:val="24"/>
          <w:szCs w:val="24"/>
        </w:rPr>
        <w:t>lementary Information</w:t>
      </w:r>
    </w:p>
    <w:p w:rsidR="0011281C" w:rsidRDefault="0011281C" w:rsidP="0011281C">
      <w:pPr>
        <w:jc w:val="both"/>
        <w:rPr>
          <w:rFonts w:ascii="Arial" w:hAnsi="Arial" w:cs="Arial"/>
          <w:sz w:val="24"/>
          <w:szCs w:val="24"/>
        </w:rPr>
      </w:pPr>
      <w:r>
        <w:rPr>
          <w:rFonts w:ascii="Arial" w:hAnsi="Arial" w:cs="Arial"/>
          <w:b/>
          <w:bCs/>
          <w:sz w:val="24"/>
          <w:szCs w:val="24"/>
        </w:rPr>
        <w:t xml:space="preserve">Figure S1, related to Figure 2. Altered microbial composition associated with disease severity. </w:t>
      </w:r>
      <w:r w:rsidRPr="003A71E6">
        <w:rPr>
          <w:rFonts w:ascii="Arial" w:hAnsi="Arial" w:cs="Arial"/>
          <w:sz w:val="24"/>
          <w:szCs w:val="24"/>
        </w:rPr>
        <w:t xml:space="preserve">(A) </w:t>
      </w:r>
      <w:r>
        <w:rPr>
          <w:rFonts w:ascii="Arial" w:hAnsi="Arial" w:cs="Arial"/>
          <w:sz w:val="24"/>
          <w:szCs w:val="24"/>
        </w:rPr>
        <w:t>C</w:t>
      </w:r>
      <w:r w:rsidRPr="003A71E6">
        <w:rPr>
          <w:rFonts w:ascii="Arial" w:hAnsi="Arial" w:cs="Arial"/>
          <w:sz w:val="24"/>
          <w:szCs w:val="24"/>
        </w:rPr>
        <w:t>omparison of alpha diversity between subjects with different disease severity in three sample types.</w:t>
      </w:r>
      <w:r>
        <w:rPr>
          <w:rFonts w:ascii="Arial" w:hAnsi="Arial" w:cs="Arial"/>
          <w:sz w:val="24"/>
          <w:szCs w:val="24"/>
        </w:rPr>
        <w:t xml:space="preserve"> (B) Differentially enriched genus associated with disease severity identified by LEfSe in sputum samples. (C) (D) (E) show differentially enriched species associated with severity in pharyngeal, sputum and faeces samples respectively. (F) Comparison of the abundance of patient-enriched genera in subjects with different disease severity in three sample types. </w:t>
      </w:r>
    </w:p>
    <w:p w:rsidR="0011281C" w:rsidRDefault="0011281C" w:rsidP="0011281C">
      <w:pPr>
        <w:jc w:val="both"/>
        <w:rPr>
          <w:rFonts w:ascii="Arial" w:hAnsi="Arial" w:cs="Arial"/>
          <w:sz w:val="24"/>
          <w:szCs w:val="24"/>
        </w:rPr>
      </w:pPr>
    </w:p>
    <w:p w:rsidR="0011281C" w:rsidRDefault="0011281C" w:rsidP="0011281C">
      <w:pPr>
        <w:jc w:val="both"/>
        <w:rPr>
          <w:rFonts w:ascii="Arial" w:hAnsi="Arial" w:cs="Arial"/>
          <w:sz w:val="24"/>
          <w:szCs w:val="24"/>
        </w:rPr>
      </w:pPr>
      <w:r w:rsidRPr="00850634">
        <w:rPr>
          <w:rFonts w:ascii="Arial" w:hAnsi="Arial" w:cs="Arial"/>
          <w:b/>
          <w:bCs/>
          <w:sz w:val="24"/>
          <w:szCs w:val="24"/>
        </w:rPr>
        <w:t xml:space="preserve">Figure S2, related to Figure 2. Identification of </w:t>
      </w:r>
      <w:r w:rsidRPr="00850634">
        <w:rPr>
          <w:rFonts w:ascii="Arial" w:hAnsi="Arial" w:cs="Arial"/>
          <w:b/>
          <w:bCs/>
          <w:i/>
          <w:iCs/>
          <w:sz w:val="24"/>
          <w:szCs w:val="24"/>
        </w:rPr>
        <w:t>Halomonas</w:t>
      </w:r>
      <w:r w:rsidRPr="00850634">
        <w:rPr>
          <w:rFonts w:ascii="Arial" w:hAnsi="Arial" w:cs="Arial"/>
          <w:b/>
          <w:bCs/>
          <w:sz w:val="24"/>
          <w:szCs w:val="24"/>
        </w:rPr>
        <w:t xml:space="preserve"> species in patient samples. </w:t>
      </w:r>
      <w:r>
        <w:rPr>
          <w:rFonts w:ascii="Arial" w:hAnsi="Arial" w:cs="Arial"/>
          <w:sz w:val="24"/>
          <w:szCs w:val="24"/>
        </w:rPr>
        <w:t xml:space="preserve">(A) Distribution of sequence identity for classification of </w:t>
      </w:r>
      <w:r w:rsidRPr="00A00440">
        <w:rPr>
          <w:rFonts w:ascii="Arial" w:hAnsi="Arial" w:cs="Arial"/>
          <w:i/>
          <w:iCs/>
          <w:sz w:val="24"/>
          <w:szCs w:val="24"/>
        </w:rPr>
        <w:t>Halomonas</w:t>
      </w:r>
      <w:r>
        <w:rPr>
          <w:rFonts w:ascii="Arial" w:hAnsi="Arial" w:cs="Arial"/>
          <w:sz w:val="24"/>
          <w:szCs w:val="24"/>
        </w:rPr>
        <w:t xml:space="preserve"> species using Megablast. (B) Genomic similarity between Megahit assembled contigs and representative </w:t>
      </w:r>
      <w:r w:rsidRPr="00A00440">
        <w:rPr>
          <w:rFonts w:ascii="Arial" w:hAnsi="Arial" w:cs="Arial"/>
          <w:i/>
          <w:iCs/>
          <w:sz w:val="24"/>
          <w:szCs w:val="24"/>
        </w:rPr>
        <w:t>Halomonas</w:t>
      </w:r>
      <w:r>
        <w:rPr>
          <w:rFonts w:ascii="Arial" w:hAnsi="Arial" w:cs="Arial"/>
          <w:sz w:val="24"/>
          <w:szCs w:val="24"/>
        </w:rPr>
        <w:t xml:space="preserve"> species identified by Megablast. metaSpades assembly was shown in gray bar. Species reported in clinical environment were highlighted in yellow. Dashed line indicates 60% similarity. (C) Circular genomic comparison between Megahit assembly and representative </w:t>
      </w:r>
      <w:r w:rsidRPr="00A00440">
        <w:rPr>
          <w:rFonts w:ascii="Arial" w:hAnsi="Arial" w:cs="Arial"/>
          <w:i/>
          <w:iCs/>
          <w:sz w:val="24"/>
          <w:szCs w:val="24"/>
        </w:rPr>
        <w:t>Halomonas</w:t>
      </w:r>
      <w:r>
        <w:rPr>
          <w:rFonts w:ascii="Arial" w:hAnsi="Arial" w:cs="Arial"/>
          <w:sz w:val="24"/>
          <w:szCs w:val="24"/>
        </w:rPr>
        <w:t xml:space="preserve"> species with &gt;60% of similarity.</w:t>
      </w:r>
    </w:p>
    <w:p w:rsidR="0011281C" w:rsidRDefault="0011281C" w:rsidP="0011281C">
      <w:pPr>
        <w:jc w:val="both"/>
        <w:rPr>
          <w:rFonts w:ascii="Arial" w:hAnsi="Arial" w:cs="Arial"/>
          <w:sz w:val="24"/>
          <w:szCs w:val="24"/>
        </w:rPr>
      </w:pPr>
    </w:p>
    <w:p w:rsidR="0011281C" w:rsidRDefault="0011281C" w:rsidP="0011281C">
      <w:pPr>
        <w:jc w:val="both"/>
        <w:rPr>
          <w:rFonts w:ascii="Arial" w:hAnsi="Arial" w:cs="Arial"/>
          <w:sz w:val="24"/>
          <w:szCs w:val="24"/>
        </w:rPr>
      </w:pPr>
      <w:r w:rsidRPr="00067428">
        <w:rPr>
          <w:rFonts w:ascii="Arial" w:hAnsi="Arial" w:cs="Arial"/>
          <w:b/>
          <w:bCs/>
          <w:sz w:val="24"/>
          <w:szCs w:val="24"/>
        </w:rPr>
        <w:t>Figure S</w:t>
      </w:r>
      <w:r>
        <w:rPr>
          <w:rFonts w:ascii="Arial" w:hAnsi="Arial" w:cs="Arial"/>
          <w:b/>
          <w:bCs/>
          <w:sz w:val="24"/>
          <w:szCs w:val="24"/>
        </w:rPr>
        <w:t>3</w:t>
      </w:r>
      <w:r w:rsidRPr="00067428">
        <w:rPr>
          <w:rFonts w:ascii="Arial" w:hAnsi="Arial" w:cs="Arial"/>
          <w:b/>
          <w:bCs/>
          <w:sz w:val="24"/>
          <w:szCs w:val="24"/>
        </w:rPr>
        <w:t>, related to Figure 3. Comparison of the alteration patterns of microbial composition in upper respiratory tract and gut samples.</w:t>
      </w:r>
      <w:r>
        <w:rPr>
          <w:rFonts w:ascii="Arial" w:hAnsi="Arial" w:cs="Arial"/>
          <w:sz w:val="24"/>
          <w:szCs w:val="24"/>
        </w:rPr>
        <w:t xml:space="preserve"> PCoA analysis of the microbial composition in pharyngeal (A) and sputum (C) samples; and PERMANOVA test was applied to identify meta factors potentially associated with the microbial composition in pharyngeal (B) and sputum (D) samples from mild and moderate patients. (E) Distribution of the correlation coefficients between SARS-CoV-2 and representative genus in three sample types.</w:t>
      </w:r>
    </w:p>
    <w:p w:rsidR="0011281C" w:rsidRDefault="0011281C" w:rsidP="0011281C">
      <w:pPr>
        <w:jc w:val="both"/>
        <w:rPr>
          <w:rFonts w:ascii="Arial" w:hAnsi="Arial" w:cs="Arial"/>
          <w:sz w:val="24"/>
          <w:szCs w:val="24"/>
        </w:rPr>
      </w:pPr>
    </w:p>
    <w:p w:rsidR="0011281C" w:rsidRDefault="0011281C" w:rsidP="0011281C">
      <w:pPr>
        <w:jc w:val="both"/>
        <w:rPr>
          <w:rFonts w:ascii="Arial" w:hAnsi="Arial" w:cs="Arial"/>
          <w:sz w:val="24"/>
          <w:szCs w:val="24"/>
        </w:rPr>
      </w:pPr>
      <w:r w:rsidRPr="00840F2E">
        <w:rPr>
          <w:rFonts w:ascii="Arial" w:hAnsi="Arial" w:cs="Arial"/>
          <w:b/>
          <w:bCs/>
          <w:sz w:val="24"/>
          <w:szCs w:val="24"/>
        </w:rPr>
        <w:t>Figure S</w:t>
      </w:r>
      <w:r>
        <w:rPr>
          <w:rFonts w:ascii="Arial" w:hAnsi="Arial" w:cs="Arial"/>
          <w:b/>
          <w:bCs/>
          <w:sz w:val="24"/>
          <w:szCs w:val="24"/>
        </w:rPr>
        <w:t>4</w:t>
      </w:r>
      <w:r w:rsidRPr="00840F2E">
        <w:rPr>
          <w:rFonts w:ascii="Arial" w:hAnsi="Arial" w:cs="Arial"/>
          <w:b/>
          <w:bCs/>
          <w:sz w:val="24"/>
          <w:szCs w:val="24"/>
        </w:rPr>
        <w:t>. Longitudinal assessment of the microbial composition in COVID-19 patients.</w:t>
      </w:r>
      <w:r>
        <w:rPr>
          <w:rFonts w:ascii="Arial" w:hAnsi="Arial" w:cs="Arial"/>
          <w:sz w:val="24"/>
          <w:szCs w:val="24"/>
        </w:rPr>
        <w:t xml:space="preserve"> The abundance of differential genera were shown in all time points for each patient during the study period; samples including pharyngeal (A), sputum (B) and faeces (C).</w:t>
      </w:r>
    </w:p>
    <w:p w:rsidR="0011281C" w:rsidRDefault="0011281C" w:rsidP="0011281C">
      <w:pPr>
        <w:jc w:val="both"/>
        <w:rPr>
          <w:rFonts w:ascii="Arial" w:hAnsi="Arial" w:cs="Arial"/>
          <w:sz w:val="24"/>
          <w:szCs w:val="24"/>
        </w:rPr>
      </w:pPr>
    </w:p>
    <w:p w:rsidR="0011281C" w:rsidRDefault="0011281C" w:rsidP="0011281C">
      <w:pPr>
        <w:jc w:val="both"/>
        <w:rPr>
          <w:rFonts w:ascii="Arial" w:hAnsi="Arial" w:cs="Arial"/>
          <w:sz w:val="24"/>
          <w:szCs w:val="24"/>
        </w:rPr>
      </w:pPr>
      <w:r w:rsidRPr="00BB6B1D">
        <w:rPr>
          <w:rFonts w:ascii="Arial" w:hAnsi="Arial" w:cs="Arial"/>
          <w:b/>
          <w:bCs/>
          <w:sz w:val="24"/>
          <w:szCs w:val="24"/>
        </w:rPr>
        <w:t>Figure S</w:t>
      </w:r>
      <w:r>
        <w:rPr>
          <w:rFonts w:ascii="Arial" w:hAnsi="Arial" w:cs="Arial"/>
          <w:b/>
          <w:bCs/>
          <w:sz w:val="24"/>
          <w:szCs w:val="24"/>
        </w:rPr>
        <w:t>5</w:t>
      </w:r>
      <w:r w:rsidRPr="00BB6B1D">
        <w:rPr>
          <w:rFonts w:ascii="Arial" w:hAnsi="Arial" w:cs="Arial"/>
          <w:b/>
          <w:bCs/>
          <w:sz w:val="24"/>
          <w:szCs w:val="24"/>
        </w:rPr>
        <w:t>. Dynamics of Bray-Curtis distance in COVID-19 patients.</w:t>
      </w:r>
      <w:r>
        <w:rPr>
          <w:rFonts w:ascii="Arial" w:hAnsi="Arial" w:cs="Arial"/>
          <w:sz w:val="24"/>
          <w:szCs w:val="24"/>
        </w:rPr>
        <w:t xml:space="preserve"> The longitudinal trend of Bray-Curtis distance between patient samples to healthy controls were profiled for pharyngeal (A), sputum (B) and faeces (C).</w:t>
      </w:r>
    </w:p>
    <w:p w:rsidR="00000F57" w:rsidRDefault="0011281C">
      <w:bookmarkStart w:id="0" w:name="_GoBack"/>
      <w:bookmarkEnd w:id="0"/>
    </w:p>
    <w:sectPr w:rsidR="00000F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281C"/>
    <w:rsid w:val="0007695B"/>
    <w:rsid w:val="0011281C"/>
    <w:rsid w:val="005615C6"/>
    <w:rsid w:val="005E078B"/>
    <w:rsid w:val="007D4061"/>
    <w:rsid w:val="008B4EED"/>
    <w:rsid w:val="00B03778"/>
    <w:rsid w:val="00CD1A17"/>
    <w:rsid w:val="00EE3FE5"/>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FE4802F-979E-43E2-9081-13252E2811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281C"/>
    <w:rPr>
      <w:rFonts w:eastAsiaTheme="minorEastAsia"/>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322</Words>
  <Characters>1842</Characters>
  <Application>Microsoft Office Word</Application>
  <DocSecurity>0</DocSecurity>
  <Lines>15</Lines>
  <Paragraphs>4</Paragraphs>
  <ScaleCrop>false</ScaleCrop>
  <Company>Springer Nature IT</Company>
  <LinksUpToDate>false</LinksUpToDate>
  <CharactersWithSpaces>2160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2022-02-23T07:16:00Z</dcterms:created>
  <dcterms:modified xsi:type="dcterms:W3CDTF">2022-02-23T07:16:00Z</dcterms:modified>
</cp:coreProperties>
</file>