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5D" w:rsidRDefault="00125A5D" w:rsidP="00125A5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65DC9">
        <w:rPr>
          <w:rFonts w:ascii="Times New Roman" w:hAnsi="Times New Roman" w:cs="Times New Roman"/>
          <w:b/>
          <w:bCs/>
          <w:sz w:val="24"/>
        </w:rPr>
        <w:t>Supplementary material.</w:t>
      </w:r>
    </w:p>
    <w:p w:rsidR="00125A5D" w:rsidRPr="00865DC9" w:rsidRDefault="00125A5D" w:rsidP="00125A5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  <w:lang w:eastAsia="en-US"/>
        </w:rPr>
        <w:drawing>
          <wp:inline distT="0" distB="0" distL="0" distR="0" wp14:anchorId="358BEF38" wp14:editId="546505F1">
            <wp:extent cx="5274310" cy="463994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3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5D" w:rsidRPr="007050BF" w:rsidRDefault="00125A5D" w:rsidP="00125A5D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7050BF">
        <w:rPr>
          <w:rFonts w:ascii="Times New Roman" w:hAnsi="Times New Roman" w:cs="Times New Roman"/>
          <w:sz w:val="24"/>
        </w:rPr>
        <w:t>Figure.S1|Univariate analysis of TCGA-LGG and CGGA-LGG cohorts, conducted to determine risk scores and clinical characteristics other than sex associated with OS (Figure.S1A-B). The multifactorial analysis of the TCGA-LGG and CGGA-LGG cohorts further identified risk score, age, IDH status, WHO classification, and 1p/19q codeletion as independent prognostic factors for OS in LGG patients (Figure.S1C-D).</w:t>
      </w:r>
    </w:p>
    <w:p w:rsidR="00125A5D" w:rsidRPr="007050BF" w:rsidRDefault="00125A5D" w:rsidP="00125A5D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lastRenderedPageBreak/>
        <w:drawing>
          <wp:inline distT="0" distB="0" distL="0" distR="0" wp14:anchorId="42A1DD25" wp14:editId="56ADB22D">
            <wp:extent cx="5274310" cy="602678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5D" w:rsidRPr="007050BF" w:rsidRDefault="00125A5D" w:rsidP="00125A5D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7050BF">
        <w:rPr>
          <w:rFonts w:ascii="Times New Roman" w:hAnsi="Times New Roman" w:cs="Times New Roman"/>
          <w:sz w:val="24"/>
        </w:rPr>
        <w:t>Figure.S2|Expression plot of genes in various tumors involved in the model construction; TCGA combined with GTEx database.</w:t>
      </w:r>
    </w:p>
    <w:p w:rsidR="00125A5D" w:rsidRPr="007050BF" w:rsidRDefault="00125A5D" w:rsidP="00125A5D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lastRenderedPageBreak/>
        <w:drawing>
          <wp:inline distT="0" distB="0" distL="0" distR="0" wp14:anchorId="60994B1A" wp14:editId="73E30DB7">
            <wp:extent cx="5138420" cy="8863330"/>
            <wp:effectExtent l="0" t="0" r="508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5D" w:rsidRPr="007050BF" w:rsidRDefault="00125A5D" w:rsidP="00125A5D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7050BF">
        <w:rPr>
          <w:rFonts w:ascii="Times New Roman" w:hAnsi="Times New Roman" w:cs="Times New Roman"/>
          <w:sz w:val="24"/>
        </w:rPr>
        <w:lastRenderedPageBreak/>
        <w:t>Figure. S3|TIMER database exploring the modeled 12 mRNA gene expression/mutation and immune cell infiltration.</w:t>
      </w:r>
    </w:p>
    <w:p w:rsidR="00125A5D" w:rsidRPr="00865DC9" w:rsidRDefault="00125A5D" w:rsidP="00125A5D">
      <w:pPr>
        <w:spacing w:line="480" w:lineRule="auto"/>
        <w:rPr>
          <w:rFonts w:ascii="Times New Roman" w:hAnsi="Times New Roman" w:cs="Times New Roman"/>
          <w:sz w:val="24"/>
        </w:rPr>
      </w:pPr>
    </w:p>
    <w:p w:rsidR="00000F57" w:rsidRDefault="00125A5D">
      <w:bookmarkStart w:id="0" w:name="_GoBack"/>
      <w:bookmarkEnd w:id="0"/>
    </w:p>
    <w:sectPr w:rsidR="00000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5D"/>
    <w:rsid w:val="0007695B"/>
    <w:rsid w:val="00125A5D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3F23E-8238-4BD5-B026-172E01C5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A5D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2022-02-23T12:32:00Z</dcterms:created>
  <dcterms:modified xsi:type="dcterms:W3CDTF">2022-02-23T12:32:00Z</dcterms:modified>
</cp:coreProperties>
</file>