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9D" w:rsidRPr="00906E2F" w:rsidRDefault="0074209D" w:rsidP="0074209D">
      <w:pPr>
        <w:spacing w:line="480" w:lineRule="auto"/>
        <w:jc w:val="center"/>
        <w:rPr>
          <w:rFonts w:ascii="Trebuchet MS" w:hAnsi="Trebuchet MS" w:cs="Times New Roman"/>
          <w:b/>
          <w:bCs/>
          <w:sz w:val="24"/>
          <w:szCs w:val="24"/>
          <w:u w:val="single"/>
        </w:rPr>
      </w:pPr>
      <w:r w:rsidRPr="00906E2F">
        <w:rPr>
          <w:rFonts w:ascii="Trebuchet MS" w:hAnsi="Trebuchet MS" w:cs="Times New Roman"/>
          <w:b/>
          <w:bCs/>
          <w:sz w:val="24"/>
          <w:szCs w:val="24"/>
          <w:u w:val="single"/>
        </w:rPr>
        <w:t>Supplementary Information</w:t>
      </w:r>
    </w:p>
    <w:p w:rsidR="0074209D" w:rsidRPr="00906E2F" w:rsidRDefault="0074209D" w:rsidP="0074209D">
      <w:pPr>
        <w:spacing w:line="480" w:lineRule="auto"/>
        <w:jc w:val="both"/>
        <w:rPr>
          <w:rFonts w:ascii="Trebuchet MS" w:hAnsi="Trebuchet MS" w:cs="Times New Roman"/>
          <w:sz w:val="24"/>
          <w:szCs w:val="24"/>
        </w:rPr>
      </w:pPr>
      <w:r w:rsidRPr="00906E2F">
        <w:rPr>
          <w:rFonts w:ascii="Trebuchet MS" w:hAnsi="Trebuchet MS" w:cs="Times New Roman"/>
          <w:b/>
          <w:bCs/>
          <w:sz w:val="24"/>
          <w:szCs w:val="24"/>
        </w:rPr>
        <w:t>Materials and methods</w:t>
      </w:r>
      <w:r w:rsidR="00984809" w:rsidRPr="00906E2F">
        <w:rPr>
          <w:rFonts w:ascii="Trebuchet MS" w:hAnsi="Trebuchet MS" w:cs="Times New Roman"/>
          <w:b/>
          <w:bCs/>
          <w:sz w:val="24"/>
          <w:szCs w:val="24"/>
        </w:rPr>
        <w:t xml:space="preserve">: </w:t>
      </w:r>
      <w:r w:rsidRPr="00906E2F">
        <w:rPr>
          <w:rFonts w:ascii="Trebuchet MS" w:hAnsi="Trebuchet MS" w:cs="Times New Roman"/>
          <w:sz w:val="24"/>
          <w:szCs w:val="24"/>
        </w:rPr>
        <w:t xml:space="preserve">This prospective non-randomized control trial was conducted </w:t>
      </w:r>
      <w:proofErr w:type="gramStart"/>
      <w:r w:rsidRPr="00906E2F">
        <w:rPr>
          <w:rFonts w:ascii="Trebuchet MS" w:hAnsi="Trebuchet MS" w:cs="Times New Roman"/>
          <w:sz w:val="24"/>
          <w:szCs w:val="24"/>
        </w:rPr>
        <w:t>between 2018 – 2019</w:t>
      </w:r>
      <w:proofErr w:type="gramEnd"/>
      <w:r w:rsidRPr="00906E2F">
        <w:rPr>
          <w:rFonts w:ascii="Trebuchet MS" w:hAnsi="Trebuchet MS" w:cs="Times New Roman"/>
          <w:sz w:val="24"/>
          <w:szCs w:val="24"/>
        </w:rPr>
        <w:t xml:space="preserve"> and was approved by the Institutional ethical committee, AIIMS Bhubaneswar. </w:t>
      </w:r>
      <w:r w:rsidRPr="00906E2F">
        <w:rPr>
          <w:rFonts w:ascii="Trebuchet MS" w:hAnsi="Trebuchet MS" w:cs="Times New Roman"/>
          <w:b/>
          <w:sz w:val="24"/>
          <w:szCs w:val="24"/>
        </w:rPr>
        <w:t xml:space="preserve">Patient population: </w:t>
      </w:r>
      <w:r w:rsidRPr="00906E2F">
        <w:rPr>
          <w:rFonts w:ascii="Trebuchet MS" w:hAnsi="Trebuchet MS" w:cs="Times New Roman"/>
          <w:sz w:val="24"/>
          <w:szCs w:val="24"/>
        </w:rPr>
        <w:t xml:space="preserve">19 patients were included in this pilot study, after </w:t>
      </w:r>
      <w:r w:rsidR="00B7113B" w:rsidRPr="00906E2F">
        <w:rPr>
          <w:rFonts w:ascii="Trebuchet MS" w:hAnsi="Trebuchet MS" w:cs="Times New Roman"/>
          <w:sz w:val="24"/>
          <w:szCs w:val="24"/>
        </w:rPr>
        <w:t xml:space="preserve">the </w:t>
      </w:r>
      <w:r w:rsidRPr="00906E2F">
        <w:rPr>
          <w:rFonts w:ascii="Trebuchet MS" w:hAnsi="Trebuchet MS" w:cs="Times New Roman"/>
          <w:sz w:val="24"/>
          <w:szCs w:val="24"/>
        </w:rPr>
        <w:t>exclusion of candidates who did not conform to inclusion and exclusion criteria. The patients who were included in the study as per the inclusion and exclusion criteria. Details on patient recruitment, sample collection</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and Follow-up were performed as depicted in Figure-1, CONSORT. Inclusion criteria: (1) more than 18 years, (2) having features of AtR in terms of symptoms and clinical examination</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and (3) patients having the disease bilateral. The exclusion criteria for this study were (1) those having </w:t>
      </w:r>
      <w:r w:rsidR="00B7113B" w:rsidRPr="00906E2F">
        <w:rPr>
          <w:rFonts w:ascii="Trebuchet MS" w:hAnsi="Trebuchet MS" w:cs="Times New Roman"/>
          <w:sz w:val="24"/>
          <w:szCs w:val="24"/>
        </w:rPr>
        <w:t xml:space="preserve">a </w:t>
      </w:r>
      <w:r w:rsidRPr="00906E2F">
        <w:rPr>
          <w:rFonts w:ascii="Trebuchet MS" w:hAnsi="Trebuchet MS" w:cs="Times New Roman"/>
          <w:sz w:val="24"/>
          <w:szCs w:val="24"/>
        </w:rPr>
        <w:t xml:space="preserve">history of nasal surgery, (2) having </w:t>
      </w:r>
      <w:r w:rsidR="00B7113B" w:rsidRPr="00906E2F">
        <w:rPr>
          <w:rFonts w:ascii="Trebuchet MS" w:hAnsi="Trebuchet MS" w:cs="Times New Roman"/>
          <w:sz w:val="24"/>
          <w:szCs w:val="24"/>
        </w:rPr>
        <w:t xml:space="preserve">a </w:t>
      </w:r>
      <w:r w:rsidRPr="00906E2F">
        <w:rPr>
          <w:rFonts w:ascii="Trebuchet MS" w:hAnsi="Trebuchet MS" w:cs="Times New Roman"/>
          <w:sz w:val="24"/>
          <w:szCs w:val="24"/>
        </w:rPr>
        <w:t xml:space="preserve">history of previous nasal trauma or irradiation,  (3) those who had </w:t>
      </w:r>
      <w:r w:rsidR="00B7113B" w:rsidRPr="00906E2F">
        <w:rPr>
          <w:rFonts w:ascii="Trebuchet MS" w:hAnsi="Trebuchet MS" w:cs="Times New Roman"/>
          <w:sz w:val="24"/>
          <w:szCs w:val="24"/>
        </w:rPr>
        <w:t xml:space="preserve">the </w:t>
      </w:r>
      <w:r w:rsidRPr="00906E2F">
        <w:rPr>
          <w:rFonts w:ascii="Trebuchet MS" w:hAnsi="Trebuchet MS" w:cs="Times New Roman"/>
          <w:sz w:val="24"/>
          <w:szCs w:val="24"/>
        </w:rPr>
        <w:t xml:space="preserve">characteristic systemic or nasal granulomatous disease,(4) those who had any history of allergy to honey, (5) known diabetic patients and (6) pregnant and lactating female patients and (7) those lost to follow-up, (8) those unwilling to be part of the study, (8) any nasal douches that he/she might be taking for this condition. </w:t>
      </w:r>
      <w:r w:rsidRPr="00906E2F">
        <w:rPr>
          <w:rFonts w:ascii="Trebuchet MS" w:hAnsi="Trebuchet MS" w:cs="Times New Roman"/>
          <w:b/>
          <w:sz w:val="24"/>
          <w:szCs w:val="24"/>
        </w:rPr>
        <w:t xml:space="preserve">Patient assessment: </w:t>
      </w:r>
      <w:r w:rsidRPr="00906E2F">
        <w:rPr>
          <w:rFonts w:ascii="Trebuchet MS" w:hAnsi="Trebuchet MS" w:cs="Times New Roman"/>
          <w:sz w:val="24"/>
          <w:szCs w:val="24"/>
        </w:rPr>
        <w:t xml:space="preserve">Patients were recruited following the inclusion criteria and exclusion criteria. A complete medical history was taken along with </w:t>
      </w:r>
      <w:r w:rsidR="00B7113B" w:rsidRPr="00906E2F">
        <w:rPr>
          <w:rFonts w:ascii="Trebuchet MS" w:hAnsi="Trebuchet MS" w:cs="Times New Roman"/>
          <w:sz w:val="24"/>
          <w:szCs w:val="24"/>
        </w:rPr>
        <w:t xml:space="preserve">an </w:t>
      </w:r>
      <w:r w:rsidRPr="00906E2F">
        <w:rPr>
          <w:rFonts w:ascii="Trebuchet MS" w:hAnsi="Trebuchet MS" w:cs="Times New Roman"/>
          <w:sz w:val="24"/>
          <w:szCs w:val="24"/>
        </w:rPr>
        <w:t>examination. Special emphasis was given as per the duration of main symptoms, other associated symptoms, any drug history, diabetes, douches that he/she must be using, multivitamins that he/she must be taking, and history of head and neck operation, trauma, any radiation history. Thereafter, patients were investigated: Blood Complete Blood count, ESR, HbA1c, Chest X</w:t>
      </w:r>
      <w:r w:rsidR="00B7113B" w:rsidRPr="00906E2F">
        <w:rPr>
          <w:rFonts w:ascii="Trebuchet MS" w:hAnsi="Trebuchet MS" w:cs="Times New Roman"/>
          <w:sz w:val="24"/>
          <w:szCs w:val="24"/>
        </w:rPr>
        <w:t>-</w:t>
      </w:r>
      <w:r w:rsidRPr="00906E2F">
        <w:rPr>
          <w:rFonts w:ascii="Trebuchet MS" w:hAnsi="Trebuchet MS" w:cs="Times New Roman"/>
          <w:sz w:val="24"/>
          <w:szCs w:val="24"/>
        </w:rPr>
        <w:t>ray, Mantoux test, VDRL, Nasal endoscopy</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and nasal mucosal biopsy, CT scan nose</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and PNS. They were then confirmed as primary AtR. Further patients who did not give </w:t>
      </w:r>
      <w:r w:rsidR="00B7113B" w:rsidRPr="00906E2F">
        <w:rPr>
          <w:rFonts w:ascii="Trebuchet MS" w:hAnsi="Trebuchet MS" w:cs="Times New Roman"/>
          <w:sz w:val="24"/>
          <w:szCs w:val="24"/>
        </w:rPr>
        <w:t xml:space="preserve">a </w:t>
      </w:r>
      <w:r w:rsidRPr="00906E2F">
        <w:rPr>
          <w:rFonts w:ascii="Trebuchet MS" w:hAnsi="Trebuchet MS" w:cs="Times New Roman"/>
          <w:sz w:val="24"/>
          <w:szCs w:val="24"/>
        </w:rPr>
        <w:t xml:space="preserve">prior history of </w:t>
      </w:r>
      <w:r w:rsidRPr="00906E2F">
        <w:rPr>
          <w:rFonts w:ascii="Trebuchet MS" w:hAnsi="Trebuchet MS" w:cs="Times New Roman"/>
          <w:sz w:val="24"/>
          <w:szCs w:val="24"/>
        </w:rPr>
        <w:lastRenderedPageBreak/>
        <w:t xml:space="preserve">diabetes but were found to have HbA1c more than 6.5 were excluded from the study. The rest of the patients fulfilling the criteria for enrolment patients were enrolled for the study with their consent. They were told to not use any other nasal treatment for this condition other than what was being applied topically in the study. They were advised to stop any form of multivitamins if they were taking one week </w:t>
      </w:r>
      <w:r w:rsidR="00B7113B" w:rsidRPr="00906E2F">
        <w:rPr>
          <w:rFonts w:ascii="Trebuchet MS" w:hAnsi="Trebuchet MS" w:cs="Times New Roman"/>
          <w:sz w:val="24"/>
          <w:szCs w:val="24"/>
        </w:rPr>
        <w:t>before</w:t>
      </w:r>
      <w:r w:rsidRPr="00906E2F">
        <w:rPr>
          <w:rFonts w:ascii="Trebuchet MS" w:hAnsi="Trebuchet MS" w:cs="Times New Roman"/>
          <w:sz w:val="24"/>
          <w:szCs w:val="24"/>
        </w:rPr>
        <w:t xml:space="preserve"> start for the duration of the study. The evaluation parameters were taken just before the intervention, and at the end of 8 weeks. Then these parameters were compared statistically.</w:t>
      </w:r>
    </w:p>
    <w:p w:rsidR="0074209D" w:rsidRPr="00906E2F" w:rsidRDefault="0074209D" w:rsidP="0074209D">
      <w:pPr>
        <w:spacing w:line="480" w:lineRule="auto"/>
        <w:jc w:val="both"/>
        <w:rPr>
          <w:rFonts w:ascii="Trebuchet MS" w:hAnsi="Trebuchet MS" w:cs="Times New Roman"/>
          <w:sz w:val="24"/>
          <w:szCs w:val="24"/>
        </w:rPr>
      </w:pPr>
      <w:r w:rsidRPr="00906E2F">
        <w:rPr>
          <w:rFonts w:ascii="Trebuchet MS" w:hAnsi="Trebuchet MS" w:cs="Times New Roman"/>
          <w:b/>
          <w:sz w:val="24"/>
          <w:szCs w:val="24"/>
        </w:rPr>
        <w:t xml:space="preserve">Procedure: </w:t>
      </w:r>
      <w:r w:rsidRPr="00906E2F">
        <w:rPr>
          <w:rFonts w:ascii="Trebuchet MS" w:hAnsi="Trebuchet MS" w:cs="Times New Roman"/>
          <w:sz w:val="24"/>
          <w:szCs w:val="24"/>
        </w:rPr>
        <w:t xml:space="preserve">Nasal endoscopy was done crusts were removed and a nasal mucosal biopsy was taken from both sides on day 1 of the study. The right side of the nasal cavity of each patient was considered as case and the left side was considered as control. After taking the biopsy the right nasal </w:t>
      </w:r>
      <w:proofErr w:type="gramStart"/>
      <w:r w:rsidRPr="00906E2F">
        <w:rPr>
          <w:rFonts w:ascii="Trebuchet MS" w:hAnsi="Trebuchet MS" w:cs="Times New Roman"/>
          <w:sz w:val="24"/>
          <w:szCs w:val="24"/>
        </w:rPr>
        <w:t>cavity(</w:t>
      </w:r>
      <w:proofErr w:type="gramEnd"/>
      <w:r w:rsidRPr="00906E2F">
        <w:rPr>
          <w:rFonts w:ascii="Trebuchet MS" w:hAnsi="Trebuchet MS" w:cs="Times New Roman"/>
          <w:sz w:val="24"/>
          <w:szCs w:val="24"/>
        </w:rPr>
        <w:t xml:space="preserve">case) was sprayed with freshly prepared manuka honey solution and the left nasal cavity(control) was sprayed with normal saline. The spraying of honey preparation was done twice a week for 8 weeks. During this period, they were told not to apply anything else in their nose or take any medications without information </w:t>
      </w:r>
      <w:r w:rsidR="00B7113B" w:rsidRPr="00906E2F">
        <w:rPr>
          <w:rFonts w:ascii="Trebuchet MS" w:hAnsi="Trebuchet MS" w:cs="Times New Roman"/>
          <w:sz w:val="24"/>
          <w:szCs w:val="24"/>
        </w:rPr>
        <w:t>from</w:t>
      </w:r>
      <w:r w:rsidRPr="00906E2F">
        <w:rPr>
          <w:rFonts w:ascii="Trebuchet MS" w:hAnsi="Trebuchet MS" w:cs="Times New Roman"/>
          <w:sz w:val="24"/>
          <w:szCs w:val="24"/>
        </w:rPr>
        <w:t xml:space="preserve"> the Principle Investigator. After 8 weeks of therapy</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the nasal mucosa was again biopsied, from </w:t>
      </w:r>
      <w:r w:rsidR="00B7113B" w:rsidRPr="00906E2F">
        <w:rPr>
          <w:rFonts w:ascii="Trebuchet MS" w:hAnsi="Trebuchet MS" w:cs="Times New Roman"/>
          <w:sz w:val="24"/>
          <w:szCs w:val="24"/>
        </w:rPr>
        <w:t xml:space="preserve">the </w:t>
      </w:r>
      <w:r w:rsidRPr="00906E2F">
        <w:rPr>
          <w:rFonts w:ascii="Trebuchet MS" w:hAnsi="Trebuchet MS" w:cs="Times New Roman"/>
          <w:sz w:val="24"/>
          <w:szCs w:val="24"/>
        </w:rPr>
        <w:t>right and left side</w:t>
      </w:r>
      <w:r w:rsidR="00B7113B" w:rsidRPr="00906E2F">
        <w:rPr>
          <w:rFonts w:ascii="Trebuchet MS" w:hAnsi="Trebuchet MS" w:cs="Times New Roman"/>
          <w:sz w:val="24"/>
          <w:szCs w:val="24"/>
        </w:rPr>
        <w:t>s</w:t>
      </w:r>
      <w:r w:rsidRPr="00906E2F">
        <w:rPr>
          <w:rFonts w:ascii="Trebuchet MS" w:hAnsi="Trebuchet MS" w:cs="Times New Roman"/>
          <w:sz w:val="24"/>
          <w:szCs w:val="24"/>
        </w:rPr>
        <w:t xml:space="preserve"> of the patients. At the beginning of the study</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a score was assigned depending on some clinical feature</w:t>
      </w:r>
      <w:r w:rsidR="00B7113B" w:rsidRPr="00906E2F">
        <w:rPr>
          <w:rFonts w:ascii="Trebuchet MS" w:hAnsi="Trebuchet MS" w:cs="Times New Roman"/>
          <w:sz w:val="24"/>
          <w:szCs w:val="24"/>
        </w:rPr>
        <w:t>sthat</w:t>
      </w:r>
      <w:r w:rsidRPr="00906E2F">
        <w:rPr>
          <w:rFonts w:ascii="Trebuchet MS" w:hAnsi="Trebuchet MS" w:cs="Times New Roman"/>
          <w:sz w:val="24"/>
          <w:szCs w:val="24"/>
        </w:rPr>
        <w:t xml:space="preserve"> could be noted by doing nasal endoscopy. The score was assigned as per the following clinical features: </w:t>
      </w:r>
      <w:r w:rsidRPr="00906E2F">
        <w:rPr>
          <w:rFonts w:ascii="Trebuchet MS" w:hAnsi="Trebuchet MS" w:cs="Times New Roman"/>
          <w:b/>
          <w:bCs/>
          <w:sz w:val="24"/>
          <w:szCs w:val="24"/>
        </w:rPr>
        <w:t>Crusting:</w:t>
      </w:r>
      <w:r w:rsidRPr="00906E2F">
        <w:rPr>
          <w:rFonts w:ascii="Trebuchet MS" w:hAnsi="Trebuchet MS" w:cs="Times New Roman"/>
          <w:sz w:val="24"/>
          <w:szCs w:val="24"/>
        </w:rPr>
        <w:t xml:space="preserve"> Gross – 2; Minimal – 1; Nil – 0; </w:t>
      </w:r>
      <w:r w:rsidRPr="00906E2F">
        <w:rPr>
          <w:rFonts w:ascii="Trebuchet MS" w:hAnsi="Trebuchet MS" w:cs="Times New Roman"/>
          <w:b/>
          <w:bCs/>
          <w:sz w:val="24"/>
          <w:szCs w:val="24"/>
        </w:rPr>
        <w:t>Discharge:</w:t>
      </w:r>
      <w:r w:rsidRPr="00906E2F">
        <w:rPr>
          <w:rFonts w:ascii="Trebuchet MS" w:hAnsi="Trebuchet MS" w:cs="Times New Roman"/>
          <w:sz w:val="24"/>
          <w:szCs w:val="24"/>
        </w:rPr>
        <w:t xml:space="preserve"> Thick – 2; Thin – 1; </w:t>
      </w:r>
      <w:proofErr w:type="gramStart"/>
      <w:r w:rsidRPr="00906E2F">
        <w:rPr>
          <w:rFonts w:ascii="Trebuchet MS" w:hAnsi="Trebuchet MS" w:cs="Times New Roman"/>
          <w:sz w:val="24"/>
          <w:szCs w:val="24"/>
        </w:rPr>
        <w:t>Absent</w:t>
      </w:r>
      <w:proofErr w:type="gramEnd"/>
      <w:r w:rsidRPr="00906E2F">
        <w:rPr>
          <w:rFonts w:ascii="Trebuchet MS" w:hAnsi="Trebuchet MS" w:cs="Times New Roman"/>
          <w:sz w:val="24"/>
          <w:szCs w:val="24"/>
        </w:rPr>
        <w:t xml:space="preserve"> – 0; </w:t>
      </w:r>
      <w:r w:rsidRPr="00906E2F">
        <w:rPr>
          <w:rFonts w:ascii="Trebuchet MS" w:hAnsi="Trebuchet MS" w:cs="Times New Roman"/>
          <w:b/>
          <w:bCs/>
          <w:sz w:val="24"/>
          <w:szCs w:val="24"/>
        </w:rPr>
        <w:t>Nasal mucosa:</w:t>
      </w:r>
      <w:r w:rsidRPr="00906E2F">
        <w:rPr>
          <w:rFonts w:ascii="Trebuchet MS" w:hAnsi="Trebuchet MS" w:cs="Times New Roman"/>
          <w:sz w:val="24"/>
          <w:szCs w:val="24"/>
        </w:rPr>
        <w:t xml:space="preserve"> Congested – 2; Not congested – 1; </w:t>
      </w:r>
      <w:r w:rsidRPr="00906E2F">
        <w:rPr>
          <w:rFonts w:ascii="Trebuchet MS" w:hAnsi="Trebuchet MS" w:cs="Times New Roman"/>
          <w:b/>
          <w:bCs/>
          <w:sz w:val="24"/>
          <w:szCs w:val="24"/>
        </w:rPr>
        <w:t>Atrophic turbinate:</w:t>
      </w:r>
      <w:r w:rsidRPr="00906E2F">
        <w:rPr>
          <w:rFonts w:ascii="Trebuchet MS" w:hAnsi="Trebuchet MS" w:cs="Times New Roman"/>
          <w:sz w:val="24"/>
          <w:szCs w:val="24"/>
        </w:rPr>
        <w:t xml:space="preserve"> Present – 1; Not Present – 0; </w:t>
      </w:r>
      <w:r w:rsidRPr="00906E2F">
        <w:rPr>
          <w:rFonts w:ascii="Trebuchet MS" w:hAnsi="Trebuchet MS" w:cs="Times New Roman"/>
          <w:b/>
          <w:bCs/>
          <w:sz w:val="24"/>
          <w:szCs w:val="24"/>
        </w:rPr>
        <w:t>Size of Nasal cavity:</w:t>
      </w:r>
      <w:r w:rsidRPr="00906E2F">
        <w:rPr>
          <w:rFonts w:ascii="Trebuchet MS" w:hAnsi="Trebuchet MS" w:cs="Times New Roman"/>
          <w:sz w:val="24"/>
          <w:szCs w:val="24"/>
        </w:rPr>
        <w:t xml:space="preserve"> Roomy – 2; Not roomy – 1</w:t>
      </w:r>
    </w:p>
    <w:p w:rsidR="0074209D" w:rsidRPr="00906E2F" w:rsidRDefault="0074209D" w:rsidP="0074209D">
      <w:pPr>
        <w:spacing w:line="480" w:lineRule="auto"/>
        <w:jc w:val="both"/>
        <w:rPr>
          <w:rFonts w:ascii="Trebuchet MS" w:hAnsi="Trebuchet MS" w:cs="Times New Roman"/>
          <w:sz w:val="24"/>
          <w:szCs w:val="24"/>
        </w:rPr>
      </w:pPr>
      <w:r w:rsidRPr="00906E2F">
        <w:rPr>
          <w:rFonts w:ascii="Trebuchet MS" w:hAnsi="Trebuchet MS" w:cs="Times New Roman"/>
          <w:sz w:val="24"/>
          <w:szCs w:val="24"/>
        </w:rPr>
        <w:lastRenderedPageBreak/>
        <w:t>At the end of the study duration following the intervention</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a repeat endoscopic sore was assigned to the nasal cavities (both test and control sides). </w:t>
      </w:r>
    </w:p>
    <w:p w:rsidR="0074209D" w:rsidRDefault="0074209D" w:rsidP="0074209D">
      <w:pPr>
        <w:spacing w:line="480" w:lineRule="auto"/>
        <w:jc w:val="both"/>
        <w:rPr>
          <w:rFonts w:ascii="Trebuchet MS" w:hAnsi="Trebuchet MS" w:cs="Times New Roman"/>
          <w:sz w:val="24"/>
          <w:szCs w:val="24"/>
        </w:rPr>
      </w:pPr>
      <w:r w:rsidRPr="00906E2F">
        <w:rPr>
          <w:rFonts w:ascii="Trebuchet MS" w:hAnsi="Trebuchet MS" w:cs="Times New Roman"/>
          <w:b/>
          <w:i/>
          <w:iCs/>
          <w:sz w:val="24"/>
          <w:szCs w:val="24"/>
        </w:rPr>
        <w:t xml:space="preserve">Honey preparation: </w:t>
      </w:r>
      <w:r w:rsidRPr="00906E2F">
        <w:rPr>
          <w:rFonts w:ascii="Trebuchet MS" w:hAnsi="Trebuchet MS" w:cs="Times New Roman"/>
          <w:sz w:val="24"/>
          <w:szCs w:val="24"/>
        </w:rPr>
        <w:t xml:space="preserve">A concentration </w:t>
      </w:r>
      <w:r w:rsidR="00B7113B" w:rsidRPr="00906E2F">
        <w:rPr>
          <w:rFonts w:ascii="Trebuchet MS" w:hAnsi="Trebuchet MS" w:cs="Times New Roman"/>
          <w:sz w:val="24"/>
          <w:szCs w:val="24"/>
        </w:rPr>
        <w:t xml:space="preserve">of </w:t>
      </w:r>
      <w:r w:rsidRPr="00906E2F">
        <w:rPr>
          <w:rFonts w:ascii="Trebuchet MS" w:hAnsi="Trebuchet MS" w:cs="Times New Roman"/>
          <w:sz w:val="24"/>
          <w:szCs w:val="24"/>
        </w:rPr>
        <w:t xml:space="preserve">10 gm honey was dissolved in 100ml normal saline as the test solution (1:10 concentration). It was prepared freshly each day and sprayed with an applicator in </w:t>
      </w:r>
      <w:r w:rsidR="00B7113B" w:rsidRPr="00906E2F">
        <w:rPr>
          <w:rFonts w:ascii="Trebuchet MS" w:hAnsi="Trebuchet MS" w:cs="Times New Roman"/>
          <w:sz w:val="24"/>
          <w:szCs w:val="24"/>
        </w:rPr>
        <w:t xml:space="preserve">the </w:t>
      </w:r>
      <w:r w:rsidRPr="00906E2F">
        <w:rPr>
          <w:rFonts w:ascii="Trebuchet MS" w:hAnsi="Trebuchet MS" w:cs="Times New Roman"/>
          <w:sz w:val="24"/>
          <w:szCs w:val="24"/>
        </w:rPr>
        <w:t>right nasal cavity after removal of crust. The left nasal cavity was sprayed with normal saline with a separate applicator.</w:t>
      </w:r>
    </w:p>
    <w:p w:rsidR="00906E2F" w:rsidRDefault="00906E2F" w:rsidP="00906E2F">
      <w:pPr>
        <w:rPr>
          <w:rFonts w:ascii="Trebuchet MS" w:hAnsi="Trebuchet MS"/>
          <w:b/>
          <w:noProof/>
          <w:sz w:val="24"/>
          <w:szCs w:val="24"/>
          <w:lang w:val="en-IN" w:eastAsia="en-IN"/>
        </w:rPr>
      </w:pPr>
      <w:r>
        <w:rPr>
          <w:rFonts w:ascii="Trebuchet MS" w:hAnsi="Trebuchet MS" w:cs="Times New Roman"/>
          <w:sz w:val="24"/>
          <w:szCs w:val="24"/>
        </w:rPr>
        <w:t xml:space="preserve">Honey was subjected to </w:t>
      </w:r>
      <w:r>
        <w:rPr>
          <w:rFonts w:ascii="Trebuchet MS" w:hAnsi="Trebuchet MS"/>
          <w:b/>
          <w:noProof/>
          <w:sz w:val="24"/>
          <w:szCs w:val="24"/>
          <w:lang w:val="en-IN" w:eastAsia="en-IN"/>
        </w:rPr>
        <w:t>(FTIR-ATR) spectroscopy.</w:t>
      </w:r>
    </w:p>
    <w:p w:rsidR="0074209D" w:rsidRPr="00906E2F" w:rsidRDefault="0074209D" w:rsidP="0074209D">
      <w:pPr>
        <w:spacing w:line="480" w:lineRule="auto"/>
        <w:jc w:val="both"/>
        <w:rPr>
          <w:rFonts w:ascii="Trebuchet MS" w:hAnsi="Trebuchet MS" w:cs="Times New Roman"/>
          <w:b/>
          <w:bCs/>
          <w:i/>
          <w:iCs/>
          <w:sz w:val="24"/>
          <w:szCs w:val="24"/>
        </w:rPr>
      </w:pPr>
      <w:r w:rsidRPr="00906E2F">
        <w:rPr>
          <w:rFonts w:ascii="Trebuchet MS" w:hAnsi="Trebuchet MS" w:cs="Times New Roman"/>
          <w:b/>
          <w:bCs/>
          <w:i/>
          <w:iCs/>
          <w:sz w:val="24"/>
          <w:szCs w:val="24"/>
        </w:rPr>
        <w:t xml:space="preserve">Histological preparation: </w:t>
      </w:r>
      <w:proofErr w:type="spellStart"/>
      <w:r w:rsidRPr="00906E2F">
        <w:rPr>
          <w:rFonts w:ascii="Trebuchet MS" w:hAnsi="Trebuchet MS" w:cs="Times New Roman"/>
          <w:sz w:val="24"/>
          <w:szCs w:val="24"/>
        </w:rPr>
        <w:t>Hematoxylin</w:t>
      </w:r>
      <w:proofErr w:type="spellEnd"/>
      <w:r w:rsidRPr="00906E2F">
        <w:rPr>
          <w:rFonts w:ascii="Trebuchet MS" w:hAnsi="Trebuchet MS" w:cs="Times New Roman"/>
          <w:sz w:val="24"/>
          <w:szCs w:val="24"/>
        </w:rPr>
        <w:t>-Eosin stain slides prepared from the paraffin</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embedded tissue were assessed for evaluating the histological parameters. The slides were semi-quantitatively assessed for different histological parameters. </w:t>
      </w:r>
      <w:proofErr w:type="gramStart"/>
      <w:r w:rsidRPr="00906E2F">
        <w:rPr>
          <w:rFonts w:ascii="Trebuchet MS" w:hAnsi="Trebuchet MS" w:cs="Times New Roman"/>
          <w:sz w:val="24"/>
          <w:szCs w:val="24"/>
        </w:rPr>
        <w:t>including</w:t>
      </w:r>
      <w:proofErr w:type="gramEnd"/>
      <w:r w:rsidRPr="00906E2F">
        <w:rPr>
          <w:rFonts w:ascii="Trebuchet MS" w:hAnsi="Trebuchet MS" w:cs="Times New Roman"/>
          <w:sz w:val="24"/>
          <w:szCs w:val="24"/>
        </w:rPr>
        <w:t xml:space="preserve"> granulation tissue, </w:t>
      </w:r>
      <w:r w:rsidR="00B7113B" w:rsidRPr="00906E2F">
        <w:rPr>
          <w:rFonts w:ascii="Trebuchet MS" w:hAnsi="Trebuchet MS" w:cs="Times New Roman"/>
          <w:sz w:val="24"/>
          <w:szCs w:val="24"/>
        </w:rPr>
        <w:t xml:space="preserve">the </w:t>
      </w:r>
      <w:r w:rsidRPr="00906E2F">
        <w:rPr>
          <w:rFonts w:ascii="Trebuchet MS" w:hAnsi="Trebuchet MS" w:cs="Times New Roman"/>
          <w:sz w:val="24"/>
          <w:szCs w:val="24"/>
        </w:rPr>
        <w:t>thickness of the basement membrane, fibrosis, mucus gland</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and bacterial colonies. Histologically all the parameters were graded as absent (0), mild (1), moderate (2)</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and marked (3). The assessment was done at a single point of time and during the assessment</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the pathologist was blinded to all clinical data. The grades for each parameter were then compared for initial and post</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treatment biopsies. Improvement in the grade by at least 2 was regarded as </w:t>
      </w:r>
      <w:r w:rsidR="00B7113B" w:rsidRPr="00906E2F">
        <w:rPr>
          <w:rFonts w:ascii="Trebuchet MS" w:hAnsi="Trebuchet MS" w:cs="Times New Roman"/>
          <w:sz w:val="24"/>
          <w:szCs w:val="24"/>
        </w:rPr>
        <w:t xml:space="preserve">an </w:t>
      </w:r>
      <w:r w:rsidRPr="00906E2F">
        <w:rPr>
          <w:rFonts w:ascii="Trebuchet MS" w:hAnsi="Trebuchet MS" w:cs="Times New Roman"/>
          <w:sz w:val="24"/>
          <w:szCs w:val="24"/>
        </w:rPr>
        <w:t xml:space="preserve">improvement. The cases which had </w:t>
      </w:r>
      <w:r w:rsidR="00B7113B" w:rsidRPr="00906E2F">
        <w:rPr>
          <w:rFonts w:ascii="Trebuchet MS" w:hAnsi="Trebuchet MS" w:cs="Times New Roman"/>
          <w:sz w:val="24"/>
          <w:szCs w:val="24"/>
        </w:rPr>
        <w:t xml:space="preserve">a </w:t>
      </w:r>
      <w:r w:rsidRPr="00906E2F">
        <w:rPr>
          <w:rFonts w:ascii="Trebuchet MS" w:hAnsi="Trebuchet MS" w:cs="Times New Roman"/>
          <w:sz w:val="24"/>
          <w:szCs w:val="24"/>
        </w:rPr>
        <w:t xml:space="preserve">score </w:t>
      </w:r>
      <w:r w:rsidR="00B7113B" w:rsidRPr="00906E2F">
        <w:rPr>
          <w:rFonts w:ascii="Trebuchet MS" w:hAnsi="Trebuchet MS" w:cs="Times New Roman"/>
          <w:sz w:val="24"/>
          <w:szCs w:val="24"/>
        </w:rPr>
        <w:t xml:space="preserve">of </w:t>
      </w:r>
      <w:r w:rsidRPr="00906E2F">
        <w:rPr>
          <w:rFonts w:ascii="Trebuchet MS" w:hAnsi="Trebuchet MS" w:cs="Times New Roman"/>
          <w:sz w:val="24"/>
          <w:szCs w:val="24"/>
        </w:rPr>
        <w:t>0 for any given parameter in both initial as well as post-treatment biopsies were excluded from the analysis.</w:t>
      </w:r>
    </w:p>
    <w:p w:rsidR="0074209D" w:rsidRPr="00906E2F" w:rsidRDefault="00B7113B" w:rsidP="0074209D">
      <w:pPr>
        <w:spacing w:line="480" w:lineRule="auto"/>
        <w:jc w:val="both"/>
        <w:rPr>
          <w:rFonts w:ascii="Trebuchet MS" w:hAnsi="Trebuchet MS" w:cs="Times New Roman"/>
          <w:b/>
          <w:bCs/>
          <w:i/>
          <w:iCs/>
          <w:sz w:val="24"/>
          <w:szCs w:val="24"/>
        </w:rPr>
      </w:pPr>
      <w:r w:rsidRPr="00906E2F">
        <w:rPr>
          <w:rFonts w:ascii="Trebuchet MS" w:hAnsi="Trebuchet MS" w:cs="Times New Roman"/>
          <w:b/>
          <w:bCs/>
          <w:i/>
          <w:iCs/>
          <w:sz w:val="24"/>
          <w:szCs w:val="24"/>
        </w:rPr>
        <w:t>I</w:t>
      </w:r>
      <w:r w:rsidRPr="00906E2F">
        <w:rPr>
          <w:rFonts w:ascii="Trebuchet MS" w:hAnsi="Trebuchet MS" w:cs="Times New Roman"/>
          <w:sz w:val="24"/>
          <w:szCs w:val="24"/>
        </w:rPr>
        <w:t>mmunohistochemistry</w:t>
      </w:r>
      <w:r w:rsidR="0074209D" w:rsidRPr="00906E2F">
        <w:rPr>
          <w:rFonts w:ascii="Trebuchet MS" w:hAnsi="Trebuchet MS" w:cs="Times New Roman"/>
          <w:b/>
          <w:bCs/>
          <w:i/>
          <w:iCs/>
          <w:sz w:val="24"/>
          <w:szCs w:val="24"/>
        </w:rPr>
        <w:t xml:space="preserve">: </w:t>
      </w:r>
      <w:r w:rsidR="0074209D" w:rsidRPr="00906E2F">
        <w:rPr>
          <w:rFonts w:ascii="Trebuchet MS" w:hAnsi="Trebuchet MS" w:cs="Times New Roman"/>
          <w:sz w:val="24"/>
          <w:szCs w:val="24"/>
        </w:rPr>
        <w:t xml:space="preserve">3-4 </w:t>
      </w:r>
      <w:proofErr w:type="spellStart"/>
      <w:r w:rsidR="0074209D" w:rsidRPr="00906E2F">
        <w:rPr>
          <w:rFonts w:ascii="Trebuchet MS" w:hAnsi="Trebuchet MS" w:cs="Times New Roman"/>
          <w:sz w:val="24"/>
          <w:szCs w:val="24"/>
        </w:rPr>
        <w:t>μm</w:t>
      </w:r>
      <w:proofErr w:type="spellEnd"/>
      <w:r w:rsidR="0074209D" w:rsidRPr="00906E2F">
        <w:rPr>
          <w:rFonts w:ascii="Trebuchet MS" w:hAnsi="Trebuchet MS" w:cs="Times New Roman"/>
          <w:sz w:val="24"/>
          <w:szCs w:val="24"/>
        </w:rPr>
        <w:t xml:space="preserve"> thick sections were cut from the paraffin block and mounted on poly-L-lysine coated slides followed by fixation in a hot plate. The slides are then deparaffinized by xylene and rehydrated with </w:t>
      </w:r>
      <w:r w:rsidRPr="00906E2F">
        <w:rPr>
          <w:rFonts w:ascii="Trebuchet MS" w:hAnsi="Trebuchet MS" w:cs="Times New Roman"/>
          <w:sz w:val="24"/>
          <w:szCs w:val="24"/>
        </w:rPr>
        <w:t xml:space="preserve">a </w:t>
      </w:r>
      <w:r w:rsidR="0074209D" w:rsidRPr="00906E2F">
        <w:rPr>
          <w:rFonts w:ascii="Trebuchet MS" w:hAnsi="Trebuchet MS" w:cs="Times New Roman"/>
          <w:sz w:val="24"/>
          <w:szCs w:val="24"/>
        </w:rPr>
        <w:t xml:space="preserve">graded concentration of alcohol. Antigen retrieval was done in a 600-watt microwave oven </w:t>
      </w:r>
      <w:r w:rsidR="0074209D" w:rsidRPr="00906E2F">
        <w:rPr>
          <w:rFonts w:ascii="Trebuchet MS" w:hAnsi="Trebuchet MS" w:cs="Times New Roman"/>
          <w:sz w:val="24"/>
          <w:szCs w:val="24"/>
        </w:rPr>
        <w:lastRenderedPageBreak/>
        <w:t>for 30 min using Tris EDTA buffer (pH 9.0). Peroxidase blocking was performed with 3% H</w:t>
      </w:r>
      <w:r w:rsidR="0074209D" w:rsidRPr="00906E2F">
        <w:rPr>
          <w:rFonts w:ascii="Trebuchet MS" w:hAnsi="Trebuchet MS" w:cs="Times New Roman"/>
          <w:sz w:val="24"/>
          <w:szCs w:val="24"/>
          <w:vertAlign w:val="subscript"/>
        </w:rPr>
        <w:t>2</w:t>
      </w:r>
      <w:r w:rsidR="0074209D" w:rsidRPr="00906E2F">
        <w:rPr>
          <w:rFonts w:ascii="Trebuchet MS" w:hAnsi="Trebuchet MS" w:cs="Times New Roman"/>
          <w:sz w:val="24"/>
          <w:szCs w:val="24"/>
        </w:rPr>
        <w:t>O</w:t>
      </w:r>
      <w:r w:rsidR="0074209D" w:rsidRPr="00906E2F">
        <w:rPr>
          <w:rFonts w:ascii="Trebuchet MS" w:hAnsi="Trebuchet MS" w:cs="Times New Roman"/>
          <w:sz w:val="24"/>
          <w:szCs w:val="24"/>
          <w:vertAlign w:val="subscript"/>
        </w:rPr>
        <w:t>2</w:t>
      </w:r>
      <w:r w:rsidR="0074209D" w:rsidRPr="00906E2F">
        <w:rPr>
          <w:rFonts w:ascii="Trebuchet MS" w:hAnsi="Trebuchet MS" w:cs="Times New Roman"/>
          <w:sz w:val="24"/>
          <w:szCs w:val="24"/>
        </w:rPr>
        <w:t xml:space="preserve"> in methanol for 30 minutes. The sections were then incubated with anti-GPR 43 antibody (Invitrogen, Dilution 1:200) in a humidity chamber for 2 hours. Sections were then washed in Tris-buffer and treated with the biotin-labeled secondary antibody for 60 minutes. The sections were washed and then incubated with peroxidase-conjugated streptavidin for 30 minutes at room temperature. Then the slides were rinsed with three changes of Tris-HCl buffer and followed by diaminobenzidine staining under microscopic control. The slides were then washed with distilled water, counterstained in hematoxylin for 1 min, and mounted. Skeletal muscle tissue was used as a positive control.</w:t>
      </w:r>
    </w:p>
    <w:p w:rsidR="0074209D" w:rsidRDefault="0074209D" w:rsidP="0074209D">
      <w:pPr>
        <w:spacing w:line="480" w:lineRule="auto"/>
        <w:jc w:val="both"/>
        <w:rPr>
          <w:rFonts w:ascii="Trebuchet MS" w:hAnsi="Trebuchet MS" w:cs="Times New Roman"/>
          <w:sz w:val="24"/>
          <w:szCs w:val="24"/>
        </w:rPr>
      </w:pPr>
      <w:r w:rsidRPr="00906E2F">
        <w:rPr>
          <w:rFonts w:ascii="Trebuchet MS" w:hAnsi="Trebuchet MS" w:cs="Times New Roman"/>
          <w:b/>
          <w:bCs/>
          <w:sz w:val="24"/>
          <w:szCs w:val="24"/>
          <w:shd w:val="clear" w:color="auto" w:fill="FFFFFF"/>
        </w:rPr>
        <w:t xml:space="preserve">DNA extraction: </w:t>
      </w:r>
      <w:r w:rsidRPr="00906E2F">
        <w:rPr>
          <w:rFonts w:ascii="Trebuchet MS" w:hAnsi="Trebuchet MS" w:cs="Times New Roman"/>
          <w:sz w:val="24"/>
          <w:szCs w:val="24"/>
          <w:shd w:val="clear" w:color="auto" w:fill="FFFFFF"/>
        </w:rPr>
        <w:t xml:space="preserve">Tissues were processed paraffin-embedded tissues using routine pathological laboratory procedure. 10 µm of sections were cut from each paraffin-embedded tissue and were placed into 2ml microcentrifuge tubes and kept at room temperature until analysis.  </w:t>
      </w:r>
      <w:r w:rsidR="00B7113B" w:rsidRPr="00906E2F">
        <w:rPr>
          <w:rFonts w:ascii="Trebuchet MS" w:hAnsi="Trebuchet MS" w:cs="Times New Roman"/>
          <w:sz w:val="24"/>
          <w:szCs w:val="24"/>
          <w:shd w:val="clear" w:color="auto" w:fill="FFFFFF"/>
        </w:rPr>
        <w:t xml:space="preserve">The </w:t>
      </w:r>
      <w:r w:rsidRPr="00906E2F">
        <w:rPr>
          <w:rFonts w:ascii="Trebuchet MS" w:hAnsi="Trebuchet MS" w:cs="Times New Roman"/>
          <w:sz w:val="24"/>
          <w:szCs w:val="24"/>
          <w:shd w:val="clear" w:color="auto" w:fill="FFFFFF"/>
        </w:rPr>
        <w:t>First 2 to 3 sections were discarded as samples have been exposed to air. DNA w</w:t>
      </w:r>
      <w:r w:rsidR="00B7113B" w:rsidRPr="00906E2F">
        <w:rPr>
          <w:rFonts w:ascii="Trebuchet MS" w:hAnsi="Trebuchet MS" w:cs="Times New Roman"/>
          <w:sz w:val="24"/>
          <w:szCs w:val="24"/>
          <w:shd w:val="clear" w:color="auto" w:fill="FFFFFF"/>
        </w:rPr>
        <w:t>as</w:t>
      </w:r>
      <w:r w:rsidRPr="00906E2F">
        <w:rPr>
          <w:rFonts w:ascii="Trebuchet MS" w:hAnsi="Trebuchet MS" w:cs="Times New Roman"/>
          <w:sz w:val="24"/>
          <w:szCs w:val="24"/>
          <w:shd w:val="clear" w:color="auto" w:fill="FFFFFF"/>
        </w:rPr>
        <w:t xml:space="preserve"> extracted using QIAGEN’s QIAamp DNA FFPE Tissue kit following the manufacturer’s guidelines for DNA Purification from Tissue. In brief, 10 µm of 8-10 sections from each sample were used for the DNA extraction. Added 1ml of xylene into the sample vial and mixed vigorously for 30 seconds and centrifuged at full speed for 2min. The supernatant was discarded and added 1ml of ethanol to the pellet and mixed thoroughly using a vortex. A pipette was used to remove the supernatant from the vial and incubated at 37°C until all residual ethanol evaporated completely. Pellet was resuspended using an appropriate buffer and added proteinase K and incubated at 56°C for 3hrs and we then </w:t>
      </w:r>
      <w:proofErr w:type="gramStart"/>
      <w:r w:rsidRPr="00906E2F">
        <w:rPr>
          <w:rFonts w:ascii="Trebuchet MS" w:hAnsi="Trebuchet MS" w:cs="Times New Roman"/>
          <w:sz w:val="24"/>
          <w:szCs w:val="24"/>
          <w:shd w:val="clear" w:color="auto" w:fill="FFFFFF"/>
        </w:rPr>
        <w:t>proceed</w:t>
      </w:r>
      <w:proofErr w:type="gramEnd"/>
      <w:r w:rsidRPr="00906E2F">
        <w:rPr>
          <w:rFonts w:ascii="Trebuchet MS" w:hAnsi="Trebuchet MS" w:cs="Times New Roman"/>
          <w:sz w:val="24"/>
          <w:szCs w:val="24"/>
          <w:shd w:val="clear" w:color="auto" w:fill="FFFFFF"/>
        </w:rPr>
        <w:t xml:space="preserve"> according to the manufacture instructions.  </w:t>
      </w:r>
      <w:r w:rsidRPr="00906E2F">
        <w:rPr>
          <w:rFonts w:ascii="Trebuchet MS" w:hAnsi="Trebuchet MS" w:cs="Times New Roman"/>
          <w:sz w:val="24"/>
          <w:szCs w:val="24"/>
        </w:rPr>
        <w:t xml:space="preserve">The elution volume for DNA was 100µl using with nuclease-free water and stored in </w:t>
      </w:r>
      <w:r w:rsidR="00B7113B" w:rsidRPr="00906E2F">
        <w:rPr>
          <w:rFonts w:ascii="Trebuchet MS" w:hAnsi="Trebuchet MS" w:cs="Times New Roman"/>
          <w:sz w:val="24"/>
          <w:szCs w:val="24"/>
        </w:rPr>
        <w:t xml:space="preserve">a </w:t>
      </w:r>
      <w:r w:rsidRPr="00906E2F">
        <w:rPr>
          <w:rFonts w:ascii="Trebuchet MS" w:hAnsi="Trebuchet MS" w:cs="Times New Roman"/>
          <w:sz w:val="24"/>
          <w:szCs w:val="24"/>
        </w:rPr>
        <w:t>-20</w:t>
      </w:r>
      <w:r w:rsidRPr="00906E2F">
        <w:rPr>
          <w:rFonts w:ascii="Trebuchet MS" w:hAnsi="Trebuchet MS" w:cs="Times New Roman"/>
          <w:sz w:val="24"/>
          <w:szCs w:val="24"/>
          <w:shd w:val="clear" w:color="auto" w:fill="FFFFFF"/>
        </w:rPr>
        <w:t>°C</w:t>
      </w:r>
      <w:r w:rsidRPr="00906E2F">
        <w:rPr>
          <w:rFonts w:ascii="Trebuchet MS" w:hAnsi="Trebuchet MS" w:cs="Times New Roman"/>
          <w:sz w:val="24"/>
          <w:szCs w:val="24"/>
        </w:rPr>
        <w:t xml:space="preserve"> freezer for </w:t>
      </w:r>
      <w:r w:rsidRPr="00906E2F">
        <w:rPr>
          <w:rFonts w:ascii="Trebuchet MS" w:hAnsi="Trebuchet MS" w:cs="Times New Roman"/>
          <w:sz w:val="24"/>
          <w:szCs w:val="24"/>
        </w:rPr>
        <w:lastRenderedPageBreak/>
        <w:t>long term storage until amplification and sequencing analysis. DNA was quantitated using Nanodrop and 1% agarose gel electrophoresis for the quality check.</w:t>
      </w:r>
      <w:r w:rsidRPr="00906E2F">
        <w:rPr>
          <w:rFonts w:ascii="Trebuchet MS" w:hAnsi="Trebuchet MS" w:cs="Times New Roman"/>
          <w:b/>
          <w:bCs/>
          <w:sz w:val="24"/>
          <w:szCs w:val="24"/>
        </w:rPr>
        <w:t xml:space="preserve">Sequencing Methodology: </w:t>
      </w:r>
      <w:r w:rsidRPr="00906E2F">
        <w:rPr>
          <w:rFonts w:ascii="Trebuchet MS" w:hAnsi="Trebuchet MS" w:cs="Times New Roman"/>
          <w:sz w:val="24"/>
          <w:szCs w:val="24"/>
        </w:rPr>
        <w:t xml:space="preserve">25 ng of DNA was used to amplify 16S rRNA hypervariable region V3-V4. The reaction includes </w:t>
      </w:r>
      <w:r w:rsidR="00B7113B" w:rsidRPr="00906E2F">
        <w:rPr>
          <w:rFonts w:ascii="Trebuchet MS" w:hAnsi="Trebuchet MS" w:cs="Times New Roman"/>
          <w:sz w:val="24"/>
          <w:szCs w:val="24"/>
        </w:rPr>
        <w:t xml:space="preserve">the </w:t>
      </w:r>
      <w:r w:rsidRPr="00906E2F">
        <w:rPr>
          <w:rFonts w:ascii="Trebuchet MS" w:hAnsi="Trebuchet MS" w:cs="Times New Roman"/>
          <w:sz w:val="24"/>
          <w:szCs w:val="24"/>
        </w:rPr>
        <w:t xml:space="preserve">KAPA HiFi HotStart Ready Mix and 100 nm final </w:t>
      </w:r>
      <w:proofErr w:type="gramStart"/>
      <w:r w:rsidRPr="00906E2F">
        <w:rPr>
          <w:rFonts w:ascii="Trebuchet MS" w:hAnsi="Trebuchet MS" w:cs="Times New Roman"/>
          <w:sz w:val="24"/>
          <w:szCs w:val="24"/>
        </w:rPr>
        <w:t>concentration</w:t>
      </w:r>
      <w:proofErr w:type="gramEnd"/>
      <w:r w:rsidRPr="00906E2F">
        <w:rPr>
          <w:rFonts w:ascii="Trebuchet MS" w:hAnsi="Trebuchet MS" w:cs="Times New Roman"/>
          <w:sz w:val="24"/>
          <w:szCs w:val="24"/>
        </w:rPr>
        <w:t xml:space="preserve"> of modified 341F and 785R primers. The PCR involved an initial denaturation of 95°C for 5 min followed by 25 cycles of 95°C for 30s, 55°C for 45s and 72°C for 30s</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and a final extension at 72°C for 7 min. The amplicons were purified using Ampure beads to remove unused primers. Additional 8 cycles of PCR were performed using Illumina barcoded adapters to prepare the sequencing libraries. The libraries were quantitated using Qubit DNA HS quantitation assay (Thermo Scientific) which specifically quantitates dsDNA assay.</w:t>
      </w:r>
      <w:r w:rsidRPr="00906E2F">
        <w:rPr>
          <w:rFonts w:ascii="Trebuchet MS" w:hAnsi="Trebuchet MS" w:cs="Times New Roman"/>
          <w:b/>
          <w:bCs/>
          <w:sz w:val="24"/>
          <w:szCs w:val="24"/>
        </w:rPr>
        <w:t xml:space="preserve">V3-V4 primer sequences. </w:t>
      </w:r>
      <w:proofErr w:type="gramStart"/>
      <w:r w:rsidRPr="00906E2F">
        <w:rPr>
          <w:rFonts w:ascii="Trebuchet MS" w:hAnsi="Trebuchet MS" w:cs="Times New Roman"/>
          <w:sz w:val="24"/>
          <w:szCs w:val="24"/>
        </w:rPr>
        <w:t xml:space="preserve">V3V4F-5'CCTACGGGNGGCWGCAG 3', V3V4R- 5'GACTACHVGGGTATCTAATCC3' and an </w:t>
      </w:r>
      <w:r w:rsidRPr="00906E2F">
        <w:rPr>
          <w:rFonts w:ascii="Trebuchet MS" w:hAnsi="Trebuchet MS" w:cs="Times New Roman"/>
          <w:b/>
          <w:bCs/>
          <w:sz w:val="24"/>
          <w:szCs w:val="24"/>
        </w:rPr>
        <w:t xml:space="preserve">Adapter Sequence </w:t>
      </w:r>
      <w:r w:rsidRPr="00906E2F">
        <w:rPr>
          <w:rFonts w:ascii="Trebuchet MS" w:hAnsi="Trebuchet MS" w:cs="Times New Roman"/>
          <w:sz w:val="24"/>
          <w:szCs w:val="24"/>
        </w:rPr>
        <w:t>P7 adapter read1 AGATCGGAAGAGCACACGTCTGAACTCCAGTCAP5 adapter read2 AGATCGGAAGAGCGTCGTGTAGGGAAAGAGTGT</w:t>
      </w:r>
      <w:r w:rsidRPr="00906E2F">
        <w:rPr>
          <w:rFonts w:ascii="Trebuchet MS" w:hAnsi="Trebuchet MS" w:cs="Times New Roman"/>
          <w:b/>
          <w:bCs/>
          <w:sz w:val="24"/>
          <w:szCs w:val="24"/>
        </w:rPr>
        <w:t>.</w:t>
      </w:r>
      <w:proofErr w:type="gramEnd"/>
      <w:r w:rsidRPr="00906E2F">
        <w:rPr>
          <w:rFonts w:ascii="Trebuchet MS" w:hAnsi="Trebuchet MS" w:cs="Times New Roman"/>
          <w:b/>
          <w:bCs/>
          <w:sz w:val="24"/>
          <w:szCs w:val="24"/>
        </w:rPr>
        <w:t xml:space="preserve"> Sequence Data QC: </w:t>
      </w:r>
      <w:r w:rsidRPr="00906E2F">
        <w:rPr>
          <w:rFonts w:ascii="Trebuchet MS" w:hAnsi="Trebuchet MS" w:cs="Times New Roman"/>
          <w:sz w:val="24"/>
          <w:szCs w:val="24"/>
        </w:rPr>
        <w:t xml:space="preserve">The sequence data were generated using Illumina MiSeq. Data quality was checked using FastQC and </w:t>
      </w:r>
      <w:proofErr w:type="spellStart"/>
      <w:r w:rsidRPr="00906E2F">
        <w:rPr>
          <w:rFonts w:ascii="Trebuchet MS" w:hAnsi="Trebuchet MS" w:cs="Times New Roman"/>
          <w:sz w:val="24"/>
          <w:szCs w:val="24"/>
        </w:rPr>
        <w:t>MultiQC</w:t>
      </w:r>
      <w:proofErr w:type="spellEnd"/>
      <w:r w:rsidRPr="00906E2F">
        <w:rPr>
          <w:rFonts w:ascii="Trebuchet MS" w:hAnsi="Trebuchet MS" w:cs="Times New Roman"/>
          <w:sz w:val="24"/>
          <w:szCs w:val="24"/>
        </w:rPr>
        <w:t xml:space="preserve"> software. The data was checked for base call quality distribution, % bases above Q20, Q30, %GC, and sequencing adapter contamination. All the samples have passed </w:t>
      </w:r>
      <w:r w:rsidR="00B7113B" w:rsidRPr="00906E2F">
        <w:rPr>
          <w:rFonts w:ascii="Trebuchet MS" w:hAnsi="Trebuchet MS" w:cs="Times New Roman"/>
          <w:sz w:val="24"/>
          <w:szCs w:val="24"/>
        </w:rPr>
        <w:t xml:space="preserve">the </w:t>
      </w:r>
      <w:r w:rsidRPr="00906E2F">
        <w:rPr>
          <w:rFonts w:ascii="Trebuchet MS" w:hAnsi="Trebuchet MS" w:cs="Times New Roman"/>
          <w:sz w:val="24"/>
          <w:szCs w:val="24"/>
        </w:rPr>
        <w:t xml:space="preserve">QC threshold (Q20&gt;95%). </w:t>
      </w:r>
      <w:r w:rsidRPr="00906E2F">
        <w:rPr>
          <w:rFonts w:ascii="Trebuchet MS" w:hAnsi="Trebuchet MS" w:cs="Times New Roman"/>
          <w:b/>
          <w:bCs/>
          <w:sz w:val="24"/>
          <w:szCs w:val="24"/>
        </w:rPr>
        <w:t xml:space="preserve">Data Analysis: </w:t>
      </w:r>
      <w:r w:rsidRPr="00906E2F">
        <w:rPr>
          <w:rFonts w:ascii="Trebuchet MS" w:hAnsi="Trebuchet MS" w:cs="Times New Roman"/>
          <w:sz w:val="24"/>
          <w:szCs w:val="24"/>
        </w:rPr>
        <w:t xml:space="preserve">The reads were trimmed (20bp) from </w:t>
      </w:r>
      <w:r w:rsidR="00B7113B" w:rsidRPr="00906E2F">
        <w:rPr>
          <w:rFonts w:ascii="Trebuchet MS" w:hAnsi="Trebuchet MS" w:cs="Times New Roman"/>
          <w:sz w:val="24"/>
          <w:szCs w:val="24"/>
        </w:rPr>
        <w:t xml:space="preserve">the </w:t>
      </w:r>
      <w:r w:rsidRPr="00906E2F">
        <w:rPr>
          <w:rFonts w:ascii="Trebuchet MS" w:hAnsi="Trebuchet MS" w:cs="Times New Roman"/>
          <w:sz w:val="24"/>
          <w:szCs w:val="24"/>
        </w:rPr>
        <w:t xml:space="preserve">5’ end to remove the degenerate primers. The trimmed reads were processed to remove adapter sequences and low-quality bases using </w:t>
      </w:r>
      <w:proofErr w:type="spellStart"/>
      <w:r w:rsidRPr="00906E2F">
        <w:rPr>
          <w:rFonts w:ascii="Trebuchet MS" w:hAnsi="Trebuchet MS" w:cs="Times New Roman"/>
          <w:sz w:val="24"/>
          <w:szCs w:val="24"/>
        </w:rPr>
        <w:t>Trimgalore</w:t>
      </w:r>
      <w:proofErr w:type="spellEnd"/>
      <w:r w:rsidRPr="00906E2F">
        <w:rPr>
          <w:rFonts w:ascii="Trebuchet MS" w:hAnsi="Trebuchet MS" w:cs="Times New Roman"/>
          <w:sz w:val="24"/>
          <w:szCs w:val="24"/>
        </w:rPr>
        <w:t xml:space="preserve">. The QC passed reads were imported into Mothur, and the pairs were aligned with each other to form contigs. The contigs were screened for errors, and only those between 300bp and 532bp were retained. Any contig with ambiguous base calls was rejected. The high-quality contigs were checked for identical </w:t>
      </w:r>
      <w:r w:rsidRPr="00906E2F">
        <w:rPr>
          <w:rFonts w:ascii="Trebuchet MS" w:hAnsi="Trebuchet MS" w:cs="Times New Roman"/>
          <w:sz w:val="24"/>
          <w:szCs w:val="24"/>
        </w:rPr>
        <w:lastRenderedPageBreak/>
        <w:t xml:space="preserve">sequences, and duplicates were merged. Although the primers for the experiment were designed for 16s bacterial rRNA, there are good chances for nonspecific amplification of other regions. To correct for this, we align the contigs to a known database for 16s rRNA. Depending on the variable region being amplified, most of the contigs will align to </w:t>
      </w:r>
      <w:r w:rsidR="00B7113B" w:rsidRPr="00906E2F">
        <w:rPr>
          <w:rFonts w:ascii="Trebuchet MS" w:hAnsi="Trebuchet MS" w:cs="Times New Roman"/>
          <w:sz w:val="24"/>
          <w:szCs w:val="24"/>
        </w:rPr>
        <w:t>their</w:t>
      </w:r>
      <w:r w:rsidRPr="00906E2F">
        <w:rPr>
          <w:rFonts w:ascii="Trebuchet MS" w:hAnsi="Trebuchet MS" w:cs="Times New Roman"/>
          <w:sz w:val="24"/>
          <w:szCs w:val="24"/>
        </w:rPr>
        <w:t xml:space="preserve"> respective region on the database. Any ambiguous contigs aligning to other regions on the database were discarded. After this process</w:t>
      </w:r>
      <w:r w:rsidR="00B7113B" w:rsidRPr="00906E2F">
        <w:rPr>
          <w:rFonts w:ascii="Trebuchet MS" w:hAnsi="Trebuchet MS" w:cs="Times New Roman"/>
          <w:sz w:val="24"/>
          <w:szCs w:val="24"/>
        </w:rPr>
        <w:t>,</w:t>
      </w:r>
      <w:r w:rsidRPr="00906E2F">
        <w:rPr>
          <w:rFonts w:ascii="Trebuchet MS" w:hAnsi="Trebuchet MS" w:cs="Times New Roman"/>
          <w:sz w:val="24"/>
          <w:szCs w:val="24"/>
        </w:rPr>
        <w:t xml:space="preserve"> the gaps and the overhang at the ends from the contigs were removed and processed for chimera removal which may have formed due to </w:t>
      </w:r>
      <w:r w:rsidR="00B7113B" w:rsidRPr="00906E2F">
        <w:rPr>
          <w:rFonts w:ascii="Trebuchet MS" w:hAnsi="Trebuchet MS" w:cs="Times New Roman"/>
          <w:sz w:val="24"/>
          <w:szCs w:val="24"/>
        </w:rPr>
        <w:t>PCR</w:t>
      </w:r>
      <w:r w:rsidRPr="00906E2F">
        <w:rPr>
          <w:rFonts w:ascii="Trebuchet MS" w:hAnsi="Trebuchet MS" w:cs="Times New Roman"/>
          <w:sz w:val="24"/>
          <w:szCs w:val="24"/>
        </w:rPr>
        <w:t xml:space="preserve"> errors. UCHIME algorithm was used to flag contigs with chimeric regions. A known reference of all the chimeric sequences was used to identify and remove possible chimeric sequences. The filtered contigs were processed and classified into taxonomical outlines based on the GREENGENES v.13.8-99 database. The contigs were then clustered into OTUs (Operational Taxonomic Unit). After the classification, OTU abundance was estimated. PICRUSt was used to predict gene family abundance. PICRUSt program was designed to estimate the gene families contributing to a metagenome by bacteria or archaea identified using 16S rRNA sequencing. The </w:t>
      </w:r>
      <w:proofErr w:type="spellStart"/>
      <w:r w:rsidRPr="00906E2F">
        <w:rPr>
          <w:rFonts w:ascii="Trebuchet MS" w:hAnsi="Trebuchet MS" w:cs="Times New Roman"/>
          <w:sz w:val="24"/>
          <w:szCs w:val="24"/>
        </w:rPr>
        <w:t>metagenomes</w:t>
      </w:r>
      <w:proofErr w:type="spellEnd"/>
      <w:r w:rsidRPr="00906E2F">
        <w:rPr>
          <w:rFonts w:ascii="Trebuchet MS" w:hAnsi="Trebuchet MS" w:cs="Times New Roman"/>
          <w:sz w:val="24"/>
          <w:szCs w:val="24"/>
        </w:rPr>
        <w:t xml:space="preserve"> were predicted using </w:t>
      </w:r>
      <w:r w:rsidR="00B7113B" w:rsidRPr="00906E2F">
        <w:rPr>
          <w:rFonts w:ascii="Trebuchet MS" w:hAnsi="Trebuchet MS" w:cs="Times New Roman"/>
          <w:sz w:val="24"/>
          <w:szCs w:val="24"/>
        </w:rPr>
        <w:t xml:space="preserve">the </w:t>
      </w:r>
      <w:r w:rsidRPr="00906E2F">
        <w:rPr>
          <w:rFonts w:ascii="Trebuchet MS" w:hAnsi="Trebuchet MS" w:cs="Times New Roman"/>
          <w:sz w:val="24"/>
          <w:szCs w:val="24"/>
        </w:rPr>
        <w:t>predict_metagenomes.py script. The predicted pathways were collapsed into higher categories. OTU contributions for the particular functions were estimated by metagenome_contributions.py script.</w:t>
      </w:r>
      <w:r w:rsidRPr="00906E2F">
        <w:rPr>
          <w:rFonts w:ascii="Trebuchet MS" w:hAnsi="Trebuchet MS" w:cs="Times New Roman"/>
          <w:b/>
          <w:bCs/>
          <w:sz w:val="24"/>
          <w:szCs w:val="24"/>
        </w:rPr>
        <w:t xml:space="preserve"> Statistical analysis: </w:t>
      </w:r>
      <w:r w:rsidRPr="00906E2F">
        <w:rPr>
          <w:rFonts w:ascii="Trebuchet MS" w:hAnsi="Trebuchet MS" w:cs="Times New Roman"/>
          <w:sz w:val="24"/>
          <w:szCs w:val="24"/>
        </w:rPr>
        <w:t xml:space="preserve">Continuous variables have been presented as Mean ±S.D. and categorical variables as a percentage. Comparison of means of continuous variables (parametric) between two groups has been done using </w:t>
      </w:r>
      <w:r w:rsidR="00B7113B" w:rsidRPr="00906E2F">
        <w:rPr>
          <w:rFonts w:ascii="Trebuchet MS" w:hAnsi="Trebuchet MS" w:cs="Times New Roman"/>
          <w:sz w:val="24"/>
          <w:szCs w:val="24"/>
        </w:rPr>
        <w:t xml:space="preserve">a </w:t>
      </w:r>
      <w:r w:rsidRPr="00906E2F">
        <w:rPr>
          <w:rFonts w:ascii="Trebuchet MS" w:hAnsi="Trebuchet MS" w:cs="Times New Roman"/>
          <w:sz w:val="24"/>
          <w:szCs w:val="24"/>
        </w:rPr>
        <w:t xml:space="preserve">two-sided unpaired </w:t>
      </w:r>
      <w:r w:rsidRPr="00906E2F">
        <w:rPr>
          <w:rFonts w:ascii="Trebuchet MS" w:hAnsi="Trebuchet MS" w:cs="Times New Roman"/>
          <w:i/>
          <w:iCs/>
          <w:sz w:val="24"/>
          <w:szCs w:val="24"/>
        </w:rPr>
        <w:t>t</w:t>
      </w:r>
      <w:r w:rsidRPr="00906E2F">
        <w:rPr>
          <w:rFonts w:ascii="Trebuchet MS" w:hAnsi="Trebuchet MS" w:cs="Times New Roman"/>
          <w:sz w:val="24"/>
          <w:szCs w:val="24"/>
        </w:rPr>
        <w:t xml:space="preserve">-test. Fisher’s exact test has been used for categorical variables. The histopathological feature pre and post-operative period is expressed in median and </w:t>
      </w:r>
      <w:r w:rsidRPr="00906E2F">
        <w:rPr>
          <w:rFonts w:ascii="Trebuchet MS" w:hAnsi="Trebuchet MS" w:cs="Times New Roman"/>
          <w:sz w:val="24"/>
          <w:szCs w:val="24"/>
        </w:rPr>
        <w:lastRenderedPageBreak/>
        <w:t xml:space="preserve">Interquartile range.Statistical analyses were performed using statistical software SPSS 22.0 (IBM, NY USA) considering a significance level of </w:t>
      </w:r>
      <w:r w:rsidRPr="00906E2F">
        <w:rPr>
          <w:rFonts w:ascii="Trebuchet MS" w:hAnsi="Trebuchet MS" w:cs="Times New Roman"/>
          <w:i/>
          <w:iCs/>
          <w:sz w:val="24"/>
          <w:szCs w:val="24"/>
        </w:rPr>
        <w:t xml:space="preserve">P </w:t>
      </w:r>
      <w:r w:rsidRPr="00906E2F">
        <w:rPr>
          <w:rFonts w:ascii="Trebuchet MS" w:hAnsi="Trebuchet MS" w:cs="Times New Roman"/>
          <w:sz w:val="24"/>
          <w:szCs w:val="24"/>
        </w:rPr>
        <w:t>&lt; 0 ·05.</w:t>
      </w:r>
    </w:p>
    <w:p w:rsidR="005C2282" w:rsidRPr="00906E2F" w:rsidRDefault="005C2282" w:rsidP="0074209D">
      <w:pPr>
        <w:spacing w:line="480" w:lineRule="auto"/>
        <w:jc w:val="both"/>
        <w:rPr>
          <w:rFonts w:ascii="Trebuchet MS" w:hAnsi="Trebuchet MS" w:cs="Times New Roman"/>
          <w:sz w:val="24"/>
          <w:szCs w:val="24"/>
        </w:rPr>
      </w:pPr>
      <w:r w:rsidRPr="00A43C16">
        <w:rPr>
          <w:rFonts w:ascii="Trebuchet MS" w:hAnsi="Trebuchet MS" w:cs="Times New Roman"/>
          <w:color w:val="000000" w:themeColor="text1"/>
          <w:sz w:val="24"/>
          <w:szCs w:val="24"/>
        </w:rPr>
        <w:t>The alpha diversity is</w:t>
      </w:r>
      <w:r>
        <w:rPr>
          <w:rFonts w:ascii="Trebuchet MS" w:hAnsi="Trebuchet MS" w:cs="Times New Roman"/>
          <w:color w:val="000000" w:themeColor="text1"/>
          <w:sz w:val="24"/>
          <w:szCs w:val="24"/>
        </w:rPr>
        <w:t xml:space="preserve"> </w:t>
      </w:r>
      <w:r w:rsidRPr="00A43C16">
        <w:rPr>
          <w:rFonts w:ascii="Trebuchet MS" w:hAnsi="Trebuchet MS" w:cs="Times New Roman"/>
          <w:color w:val="000000" w:themeColor="text1"/>
          <w:sz w:val="24"/>
          <w:szCs w:val="24"/>
        </w:rPr>
        <w:t xml:space="preserve">found to be increased post-treatment </w:t>
      </w:r>
      <w:r>
        <w:rPr>
          <w:rFonts w:ascii="Trebuchet MS" w:hAnsi="Trebuchet MS" w:cs="Times New Roman"/>
          <w:color w:val="000000" w:themeColor="text1"/>
          <w:sz w:val="24"/>
          <w:szCs w:val="24"/>
        </w:rPr>
        <w:t>o</w:t>
      </w:r>
      <w:r w:rsidRPr="00A43C16">
        <w:rPr>
          <w:rFonts w:ascii="Trebuchet MS" w:hAnsi="Trebuchet MS" w:cs="Times New Roman"/>
          <w:color w:val="000000" w:themeColor="text1"/>
          <w:sz w:val="24"/>
          <w:szCs w:val="24"/>
        </w:rPr>
        <w:t>n the test</w:t>
      </w:r>
      <w:r>
        <w:rPr>
          <w:rFonts w:ascii="Trebuchet MS" w:hAnsi="Trebuchet MS" w:cs="Times New Roman"/>
          <w:color w:val="000000" w:themeColor="text1"/>
          <w:sz w:val="24"/>
          <w:szCs w:val="24"/>
        </w:rPr>
        <w:t xml:space="preserve"> (right)</w:t>
      </w:r>
      <w:r w:rsidRPr="00A43C16">
        <w:rPr>
          <w:rFonts w:ascii="Trebuchet MS" w:hAnsi="Trebuchet MS" w:cs="Times New Roman"/>
          <w:color w:val="000000" w:themeColor="text1"/>
          <w:sz w:val="24"/>
          <w:szCs w:val="24"/>
        </w:rPr>
        <w:t xml:space="preserve"> side compared to the control side.</w:t>
      </w:r>
    </w:p>
    <w:p w:rsidR="00B7113B" w:rsidRPr="00906E2F" w:rsidRDefault="00906E2F" w:rsidP="0074209D">
      <w:pPr>
        <w:spacing w:line="480" w:lineRule="auto"/>
        <w:jc w:val="both"/>
        <w:rPr>
          <w:rFonts w:ascii="Trebuchet MS" w:hAnsi="Trebuchet MS" w:cs="Times New Roman"/>
          <w:sz w:val="24"/>
          <w:szCs w:val="24"/>
        </w:rPr>
      </w:pPr>
      <w:r>
        <w:rPr>
          <w:rFonts w:ascii="Trebuchet MS" w:hAnsi="Trebuchet MS" w:cs="Times New Roman"/>
          <w:noProof/>
          <w:sz w:val="24"/>
          <w:szCs w:val="24"/>
          <w:lang w:val="en-IN" w:eastAsia="en-IN"/>
        </w:rPr>
        <w:drawing>
          <wp:anchor distT="0" distB="0" distL="114300" distR="114300" simplePos="0" relativeHeight="251661312" behindDoc="0" locked="0" layoutInCell="1" allowOverlap="1">
            <wp:simplePos x="0" y="0"/>
            <wp:positionH relativeFrom="column">
              <wp:posOffset>-133350</wp:posOffset>
            </wp:positionH>
            <wp:positionV relativeFrom="paragraph">
              <wp:posOffset>53975</wp:posOffset>
            </wp:positionV>
            <wp:extent cx="3892550" cy="388620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92550" cy="3886200"/>
                    </a:xfrm>
                    <a:prstGeom prst="rect">
                      <a:avLst/>
                    </a:prstGeom>
                    <a:noFill/>
                    <a:ln>
                      <a:noFill/>
                    </a:ln>
                  </pic:spPr>
                </pic:pic>
              </a:graphicData>
            </a:graphic>
          </wp:anchor>
        </w:drawing>
      </w:r>
    </w:p>
    <w:p w:rsidR="00B7113B" w:rsidRPr="00906E2F" w:rsidRDefault="00B7113B" w:rsidP="0074209D">
      <w:pPr>
        <w:spacing w:line="480" w:lineRule="auto"/>
        <w:jc w:val="both"/>
        <w:rPr>
          <w:rFonts w:ascii="Trebuchet MS" w:hAnsi="Trebuchet MS" w:cs="Times New Roman"/>
          <w:sz w:val="24"/>
          <w:szCs w:val="24"/>
        </w:rPr>
      </w:pPr>
    </w:p>
    <w:p w:rsidR="00B7113B" w:rsidRPr="00906E2F" w:rsidRDefault="00B7113B" w:rsidP="0074209D">
      <w:pPr>
        <w:spacing w:line="480" w:lineRule="auto"/>
        <w:jc w:val="both"/>
        <w:rPr>
          <w:rFonts w:ascii="Trebuchet MS" w:hAnsi="Trebuchet MS" w:cs="Times New Roman"/>
          <w:sz w:val="24"/>
          <w:szCs w:val="24"/>
        </w:rPr>
      </w:pPr>
    </w:p>
    <w:p w:rsidR="00B7113B" w:rsidRPr="00906E2F" w:rsidRDefault="00B7113B" w:rsidP="0074209D">
      <w:pPr>
        <w:spacing w:line="480" w:lineRule="auto"/>
        <w:jc w:val="both"/>
        <w:rPr>
          <w:rFonts w:ascii="Trebuchet MS" w:hAnsi="Trebuchet MS" w:cs="Times New Roman"/>
          <w:sz w:val="24"/>
          <w:szCs w:val="24"/>
        </w:rPr>
      </w:pPr>
    </w:p>
    <w:p w:rsidR="00B7113B" w:rsidRPr="00906E2F" w:rsidRDefault="00B7113B" w:rsidP="0074209D">
      <w:pPr>
        <w:spacing w:line="480" w:lineRule="auto"/>
        <w:jc w:val="both"/>
        <w:rPr>
          <w:rFonts w:ascii="Trebuchet MS" w:hAnsi="Trebuchet MS" w:cs="Times New Roman"/>
          <w:sz w:val="24"/>
          <w:szCs w:val="24"/>
        </w:rPr>
      </w:pPr>
    </w:p>
    <w:p w:rsidR="00DD5405" w:rsidRPr="00906E2F" w:rsidRDefault="00DD5405" w:rsidP="0074209D">
      <w:pPr>
        <w:spacing w:line="480" w:lineRule="auto"/>
        <w:jc w:val="both"/>
        <w:rPr>
          <w:rFonts w:ascii="Trebuchet MS" w:hAnsi="Trebuchet MS" w:cs="Times New Roman"/>
          <w:sz w:val="24"/>
          <w:szCs w:val="24"/>
        </w:rPr>
      </w:pPr>
    </w:p>
    <w:p w:rsidR="00DD5405" w:rsidRPr="00906E2F" w:rsidRDefault="00DD5405" w:rsidP="0074209D">
      <w:pPr>
        <w:spacing w:line="480" w:lineRule="auto"/>
        <w:jc w:val="both"/>
        <w:rPr>
          <w:rFonts w:ascii="Trebuchet MS" w:hAnsi="Trebuchet MS" w:cs="Times New Roman"/>
          <w:sz w:val="24"/>
          <w:szCs w:val="24"/>
        </w:rPr>
      </w:pPr>
    </w:p>
    <w:p w:rsidR="00B7113B" w:rsidRPr="00906E2F" w:rsidRDefault="00B7113B" w:rsidP="0074209D">
      <w:pPr>
        <w:spacing w:line="480" w:lineRule="auto"/>
        <w:jc w:val="both"/>
        <w:rPr>
          <w:rFonts w:ascii="Trebuchet MS" w:hAnsi="Trebuchet MS" w:cs="Times New Roman"/>
          <w:sz w:val="24"/>
          <w:szCs w:val="24"/>
        </w:rPr>
      </w:pPr>
    </w:p>
    <w:p w:rsidR="00B7113B" w:rsidRPr="00906E2F" w:rsidRDefault="005C2282" w:rsidP="0074209D">
      <w:pPr>
        <w:spacing w:line="480" w:lineRule="auto"/>
        <w:jc w:val="both"/>
        <w:rPr>
          <w:rFonts w:ascii="Trebuchet MS" w:hAnsi="Trebuchet MS" w:cs="Times New Roman"/>
          <w:sz w:val="24"/>
          <w:szCs w:val="24"/>
        </w:rPr>
      </w:pPr>
      <w:r>
        <w:rPr>
          <w:rFonts w:ascii="Trebuchet MS" w:hAnsi="Trebuchet MS" w:cs="Times New Roman"/>
          <w:noProof/>
          <w:sz w:val="24"/>
          <w:szCs w:val="24"/>
          <w:lang w:val="en-IN" w:eastAsia="en-IN"/>
        </w:rPr>
        <w:drawing>
          <wp:anchor distT="0" distB="0" distL="114300" distR="114300" simplePos="0" relativeHeight="251660288" behindDoc="0" locked="0" layoutInCell="1" allowOverlap="1">
            <wp:simplePos x="0" y="0"/>
            <wp:positionH relativeFrom="column">
              <wp:posOffset>-3714750</wp:posOffset>
            </wp:positionH>
            <wp:positionV relativeFrom="paragraph">
              <wp:posOffset>363220</wp:posOffset>
            </wp:positionV>
            <wp:extent cx="3333750" cy="33528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14"/>
                    <a:stretch/>
                  </pic:blipFill>
                  <pic:spPr bwMode="auto">
                    <a:xfrm>
                      <a:off x="0" y="0"/>
                      <a:ext cx="3333750" cy="33528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D1C61" w:rsidRPr="00906E2F" w:rsidRDefault="005D1C61" w:rsidP="0074209D">
      <w:pPr>
        <w:spacing w:line="480" w:lineRule="auto"/>
        <w:jc w:val="both"/>
        <w:rPr>
          <w:rFonts w:ascii="Trebuchet MS" w:hAnsi="Trebuchet MS" w:cs="Times New Roman"/>
          <w:sz w:val="24"/>
          <w:szCs w:val="24"/>
        </w:rPr>
      </w:pPr>
    </w:p>
    <w:p w:rsidR="005D1C61" w:rsidRPr="00906E2F" w:rsidRDefault="005D1C61" w:rsidP="0074209D">
      <w:pPr>
        <w:spacing w:line="480" w:lineRule="auto"/>
        <w:jc w:val="both"/>
        <w:rPr>
          <w:rFonts w:ascii="Trebuchet MS" w:hAnsi="Trebuchet MS" w:cs="Times New Roman"/>
          <w:sz w:val="24"/>
          <w:szCs w:val="24"/>
        </w:rPr>
      </w:pPr>
    </w:p>
    <w:p w:rsidR="005D1C61" w:rsidRPr="00906E2F" w:rsidRDefault="005D1C61" w:rsidP="0074209D">
      <w:pPr>
        <w:spacing w:line="480" w:lineRule="auto"/>
        <w:jc w:val="both"/>
        <w:rPr>
          <w:rFonts w:ascii="Trebuchet MS" w:hAnsi="Trebuchet MS" w:cs="Times New Roman"/>
          <w:sz w:val="24"/>
          <w:szCs w:val="24"/>
        </w:rPr>
      </w:pPr>
    </w:p>
    <w:p w:rsidR="00DD5405" w:rsidRPr="00906E2F" w:rsidRDefault="00DD5405" w:rsidP="0074209D">
      <w:pPr>
        <w:spacing w:line="480" w:lineRule="auto"/>
        <w:jc w:val="both"/>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C2282" w:rsidP="0074209D">
      <w:pPr>
        <w:rPr>
          <w:rFonts w:ascii="Trebuchet MS" w:hAnsi="Trebuchet MS"/>
          <w:sz w:val="24"/>
          <w:szCs w:val="24"/>
        </w:rPr>
      </w:pPr>
      <w:r w:rsidRPr="00A43C16">
        <w:rPr>
          <w:rFonts w:ascii="Trebuchet MS" w:hAnsi="Trebuchet MS" w:cs="Times New Roman"/>
          <w:color w:val="000000" w:themeColor="text1"/>
          <w:sz w:val="24"/>
          <w:szCs w:val="24"/>
        </w:rPr>
        <w:lastRenderedPageBreak/>
        <w:t>The beta diversity of the samples collected before and after</w:t>
      </w:r>
      <w:r>
        <w:rPr>
          <w:rFonts w:ascii="Trebuchet MS" w:hAnsi="Trebuchet MS" w:cs="Times New Roman"/>
          <w:color w:val="000000" w:themeColor="text1"/>
          <w:sz w:val="24"/>
          <w:szCs w:val="24"/>
        </w:rPr>
        <w:t xml:space="preserve"> </w:t>
      </w:r>
      <w:r w:rsidRPr="00A43C16">
        <w:rPr>
          <w:rFonts w:ascii="Trebuchet MS" w:hAnsi="Trebuchet MS" w:cs="Times New Roman"/>
          <w:color w:val="000000" w:themeColor="text1"/>
          <w:sz w:val="24"/>
          <w:szCs w:val="24"/>
        </w:rPr>
        <w:t xml:space="preserve">treatment in the </w:t>
      </w:r>
      <w:r>
        <w:rPr>
          <w:rFonts w:ascii="Trebuchet MS" w:hAnsi="Trebuchet MS" w:cs="Times New Roman"/>
          <w:color w:val="000000" w:themeColor="text1"/>
          <w:sz w:val="24"/>
          <w:szCs w:val="24"/>
        </w:rPr>
        <w:t xml:space="preserve">test and </w:t>
      </w:r>
      <w:proofErr w:type="gramStart"/>
      <w:r>
        <w:rPr>
          <w:rFonts w:ascii="Trebuchet MS" w:hAnsi="Trebuchet MS" w:cs="Times New Roman"/>
          <w:color w:val="000000" w:themeColor="text1"/>
          <w:sz w:val="24"/>
          <w:szCs w:val="24"/>
        </w:rPr>
        <w:t xml:space="preserve">control </w:t>
      </w:r>
      <w:r w:rsidRPr="00A43C16">
        <w:rPr>
          <w:rFonts w:ascii="Trebuchet MS" w:hAnsi="Trebuchet MS" w:cs="Times New Roman"/>
          <w:color w:val="000000" w:themeColor="text1"/>
          <w:sz w:val="24"/>
          <w:szCs w:val="24"/>
        </w:rPr>
        <w:t xml:space="preserve"> side</w:t>
      </w:r>
      <w:proofErr w:type="gramEnd"/>
      <w:r>
        <w:rPr>
          <w:rFonts w:ascii="Trebuchet MS" w:hAnsi="Trebuchet MS" w:cs="Times New Roman"/>
          <w:color w:val="000000" w:themeColor="text1"/>
          <w:sz w:val="24"/>
          <w:szCs w:val="24"/>
        </w:rPr>
        <w:t>.</w:t>
      </w:r>
    </w:p>
    <w:p w:rsidR="005D1C61" w:rsidRPr="00906E2F" w:rsidRDefault="00906E2F" w:rsidP="0074209D">
      <w:pPr>
        <w:rPr>
          <w:rFonts w:ascii="Trebuchet MS" w:hAnsi="Trebuchet MS"/>
          <w:sz w:val="24"/>
          <w:szCs w:val="24"/>
        </w:rPr>
      </w:pPr>
      <w:r>
        <w:rPr>
          <w:rFonts w:ascii="Trebuchet MS" w:hAnsi="Trebuchet MS"/>
          <w:noProof/>
          <w:sz w:val="24"/>
          <w:szCs w:val="24"/>
          <w:lang w:val="en-IN" w:eastAsia="en-IN"/>
        </w:rPr>
        <w:drawing>
          <wp:anchor distT="0" distB="0" distL="114300" distR="114300" simplePos="0" relativeHeight="251663360" behindDoc="0" locked="0" layoutInCell="1" allowOverlap="1">
            <wp:simplePos x="0" y="0"/>
            <wp:positionH relativeFrom="column">
              <wp:posOffset>-133350</wp:posOffset>
            </wp:positionH>
            <wp:positionV relativeFrom="paragraph">
              <wp:posOffset>12700</wp:posOffset>
            </wp:positionV>
            <wp:extent cx="4273550" cy="4102100"/>
            <wp:effectExtent l="19050" t="0" r="0" b="0"/>
            <wp:wrapSquare wrapText="bothSides"/>
            <wp:docPr id="5" name="Picture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851ADC2-C106-443F-9A43-9524E957B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851ADC2-C106-443F-9A43-9524E957BF3D}"/>
                        </a:ext>
                      </a:extLst>
                    </pic:cNvPr>
                    <pic:cNvPicPr>
                      <a:picLocks noChangeAspect="1"/>
                    </pic:cNvPicPr>
                  </pic:nvPicPr>
                  <pic:blipFill>
                    <a:blip r:embed="rId7"/>
                    <a:stretch>
                      <a:fillRect/>
                    </a:stretch>
                  </pic:blipFill>
                  <pic:spPr>
                    <a:xfrm>
                      <a:off x="0" y="0"/>
                      <a:ext cx="4273550" cy="4102100"/>
                    </a:xfrm>
                    <a:prstGeom prst="rect">
                      <a:avLst/>
                    </a:prstGeom>
                  </pic:spPr>
                </pic:pic>
              </a:graphicData>
            </a:graphic>
          </wp:anchor>
        </w:drawing>
      </w: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Default="005D1C61"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r>
        <w:rPr>
          <w:rFonts w:ascii="Trebuchet MS" w:hAnsi="Trebuchet MS"/>
          <w:noProof/>
          <w:sz w:val="24"/>
          <w:szCs w:val="24"/>
          <w:lang w:val="en-IN" w:eastAsia="en-IN"/>
        </w:rPr>
        <w:drawing>
          <wp:anchor distT="0" distB="0" distL="114300" distR="114300" simplePos="0" relativeHeight="251662336" behindDoc="0" locked="0" layoutInCell="1" allowOverlap="1">
            <wp:simplePos x="0" y="0"/>
            <wp:positionH relativeFrom="column">
              <wp:posOffset>-6350</wp:posOffset>
            </wp:positionH>
            <wp:positionV relativeFrom="paragraph">
              <wp:posOffset>147955</wp:posOffset>
            </wp:positionV>
            <wp:extent cx="4667250" cy="4572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30"/>
                    <a:stretch/>
                  </pic:blipFill>
                  <pic:spPr bwMode="auto">
                    <a:xfrm>
                      <a:off x="0" y="0"/>
                      <a:ext cx="4667250" cy="4572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906E2F" w:rsidRDefault="00906E2F" w:rsidP="0074209D">
      <w:pPr>
        <w:rPr>
          <w:rFonts w:ascii="Trebuchet MS" w:hAnsi="Trebuchet MS"/>
          <w:sz w:val="24"/>
          <w:szCs w:val="24"/>
        </w:rPr>
      </w:pPr>
    </w:p>
    <w:p w:rsidR="005D1C61" w:rsidRPr="00906E2F" w:rsidRDefault="004D11B3" w:rsidP="004D11B3">
      <w:pPr>
        <w:jc w:val="both"/>
        <w:rPr>
          <w:rFonts w:ascii="Trebuchet MS" w:hAnsi="Trebuchet MS"/>
          <w:sz w:val="24"/>
          <w:szCs w:val="24"/>
        </w:rPr>
      </w:pPr>
      <w:r>
        <w:rPr>
          <w:rFonts w:ascii="Trebuchet MS" w:hAnsi="Trebuchet MS"/>
          <w:color w:val="222222"/>
          <w:sz w:val="24"/>
          <w:szCs w:val="24"/>
          <w:shd w:val="clear" w:color="auto" w:fill="FFFFFF"/>
        </w:rPr>
        <w:lastRenderedPageBreak/>
        <w:t>Netw</w:t>
      </w:r>
      <w:r w:rsidR="005C2282">
        <w:rPr>
          <w:rFonts w:ascii="Trebuchet MS" w:hAnsi="Trebuchet MS"/>
          <w:color w:val="222222"/>
          <w:sz w:val="24"/>
          <w:szCs w:val="24"/>
          <w:shd w:val="clear" w:color="auto" w:fill="FFFFFF"/>
        </w:rPr>
        <w:t>ork</w:t>
      </w:r>
      <w:r>
        <w:rPr>
          <w:rFonts w:ascii="Trebuchet MS" w:hAnsi="Trebuchet MS"/>
          <w:color w:val="222222"/>
          <w:sz w:val="24"/>
          <w:szCs w:val="24"/>
          <w:shd w:val="clear" w:color="auto" w:fill="FFFFFF"/>
        </w:rPr>
        <w:t xml:space="preserve"> analysis: </w:t>
      </w:r>
      <w:r w:rsidR="005D1C61" w:rsidRPr="00906E2F">
        <w:rPr>
          <w:rFonts w:ascii="Trebuchet MS" w:hAnsi="Trebuchet MS"/>
          <w:color w:val="222222"/>
          <w:sz w:val="24"/>
          <w:szCs w:val="24"/>
          <w:shd w:val="clear" w:color="auto" w:fill="FFFFFF"/>
        </w:rPr>
        <w:t>In community-analyzer these abundance values of the taxonomic group are then normalized with respect to the before and after treated right and left nostrils of individuals samples. A hierarchical clustering methodology is used to rank</w:t>
      </w:r>
      <w:proofErr w:type="gramStart"/>
      <w:r w:rsidR="005D1C61" w:rsidRPr="00906E2F">
        <w:rPr>
          <w:rFonts w:ascii="Trebuchet MS" w:hAnsi="Trebuchet MS"/>
          <w:color w:val="222222"/>
          <w:sz w:val="24"/>
          <w:szCs w:val="24"/>
          <w:shd w:val="clear" w:color="auto" w:fill="FFFFFF"/>
        </w:rPr>
        <w:t>  the</w:t>
      </w:r>
      <w:proofErr w:type="gramEnd"/>
      <w:r w:rsidR="005D1C61" w:rsidRPr="00906E2F">
        <w:rPr>
          <w:rFonts w:ascii="Trebuchet MS" w:hAnsi="Trebuchet MS"/>
          <w:color w:val="222222"/>
          <w:sz w:val="24"/>
          <w:szCs w:val="24"/>
          <w:shd w:val="clear" w:color="auto" w:fill="FFFFFF"/>
        </w:rPr>
        <w:t xml:space="preserve"> taxonomic groups according to their </w:t>
      </w:r>
      <w:proofErr w:type="spellStart"/>
      <w:r w:rsidR="005D1C61" w:rsidRPr="00906E2F">
        <w:rPr>
          <w:rFonts w:ascii="Trebuchet MS" w:hAnsi="Trebuchet MS"/>
          <w:color w:val="222222"/>
          <w:sz w:val="24"/>
          <w:szCs w:val="24"/>
          <w:shd w:val="clear" w:color="auto" w:fill="FFFFFF"/>
        </w:rPr>
        <w:t>pairwise</w:t>
      </w:r>
      <w:proofErr w:type="spellEnd"/>
      <w:r w:rsidR="005D1C61" w:rsidRPr="00906E2F">
        <w:rPr>
          <w:rFonts w:ascii="Trebuchet MS" w:hAnsi="Trebuchet MS"/>
          <w:color w:val="222222"/>
          <w:sz w:val="24"/>
          <w:szCs w:val="24"/>
          <w:shd w:val="clear" w:color="auto" w:fill="FFFFFF"/>
        </w:rPr>
        <w:t xml:space="preserve"> correlations. Based on the relative abundances</w:t>
      </w:r>
      <w:proofErr w:type="gramStart"/>
      <w:r w:rsidR="005D1C61" w:rsidRPr="00906E2F">
        <w:rPr>
          <w:rFonts w:ascii="Trebuchet MS" w:hAnsi="Trebuchet MS"/>
          <w:color w:val="222222"/>
          <w:sz w:val="24"/>
          <w:szCs w:val="24"/>
          <w:shd w:val="clear" w:color="auto" w:fill="FFFFFF"/>
        </w:rPr>
        <w:t>  of</w:t>
      </w:r>
      <w:proofErr w:type="gramEnd"/>
      <w:r w:rsidR="005D1C61" w:rsidRPr="00906E2F">
        <w:rPr>
          <w:rFonts w:ascii="Trebuchet MS" w:hAnsi="Trebuchet MS"/>
          <w:color w:val="222222"/>
          <w:sz w:val="24"/>
          <w:szCs w:val="24"/>
          <w:shd w:val="clear" w:color="auto" w:fill="FFFFFF"/>
        </w:rPr>
        <w:t xml:space="preserve"> various microbial groups in each metagenomic sample, a </w:t>
      </w:r>
      <w:proofErr w:type="spellStart"/>
      <w:r w:rsidR="005D1C61" w:rsidRPr="00906E2F">
        <w:rPr>
          <w:rFonts w:ascii="Trebuchet MS" w:hAnsi="Trebuchet MS"/>
          <w:color w:val="222222"/>
          <w:sz w:val="24"/>
          <w:szCs w:val="24"/>
          <w:shd w:val="clear" w:color="auto" w:fill="FFFFFF"/>
        </w:rPr>
        <w:t>hooke's</w:t>
      </w:r>
      <w:proofErr w:type="spellEnd"/>
      <w:r w:rsidR="005D1C61" w:rsidRPr="00906E2F">
        <w:rPr>
          <w:rFonts w:ascii="Trebuchet MS" w:hAnsi="Trebuchet MS"/>
          <w:color w:val="222222"/>
          <w:sz w:val="24"/>
          <w:szCs w:val="24"/>
          <w:shd w:val="clear" w:color="auto" w:fill="FFFFFF"/>
        </w:rPr>
        <w:t xml:space="preserve"> law based algorithm is applied in order to place sample on the same graphical layout.</w:t>
      </w:r>
      <w:r>
        <w:rPr>
          <w:rFonts w:ascii="Trebuchet MS" w:hAnsi="Trebuchet MS"/>
          <w:color w:val="222222"/>
          <w:sz w:val="24"/>
          <w:szCs w:val="24"/>
          <w:shd w:val="clear" w:color="auto" w:fill="FFFFFF"/>
        </w:rPr>
        <w:t xml:space="preserve"> </w:t>
      </w:r>
      <w:proofErr w:type="gramStart"/>
      <w:r>
        <w:rPr>
          <w:rFonts w:ascii="Trebuchet MS" w:hAnsi="Trebuchet MS"/>
          <w:color w:val="222222"/>
          <w:sz w:val="24"/>
          <w:szCs w:val="24"/>
          <w:shd w:val="clear" w:color="auto" w:fill="FFFFFF"/>
        </w:rPr>
        <w:t>though</w:t>
      </w:r>
      <w:proofErr w:type="gramEnd"/>
      <w:r>
        <w:rPr>
          <w:rFonts w:ascii="Trebuchet MS" w:hAnsi="Trebuchet MS"/>
          <w:color w:val="222222"/>
          <w:sz w:val="24"/>
          <w:szCs w:val="24"/>
          <w:shd w:val="clear" w:color="auto" w:fill="FFFFFF"/>
        </w:rPr>
        <w:t xml:space="preserve"> Statistically not significant.</w:t>
      </w:r>
    </w:p>
    <w:p w:rsidR="005D1C61" w:rsidRPr="00906E2F" w:rsidRDefault="004D11B3" w:rsidP="0074209D">
      <w:pPr>
        <w:rPr>
          <w:rFonts w:ascii="Trebuchet MS" w:hAnsi="Trebuchet MS"/>
          <w:sz w:val="24"/>
          <w:szCs w:val="24"/>
        </w:rPr>
      </w:pPr>
      <w:r>
        <w:rPr>
          <w:rFonts w:ascii="Trebuchet MS" w:hAnsi="Trebuchet MS"/>
          <w:noProof/>
          <w:sz w:val="24"/>
          <w:szCs w:val="24"/>
          <w:lang w:val="en-IN" w:eastAsia="en-IN"/>
        </w:rPr>
        <w:drawing>
          <wp:anchor distT="0" distB="0" distL="114300" distR="114300" simplePos="0" relativeHeight="251658240" behindDoc="0" locked="0" layoutInCell="1" allowOverlap="1">
            <wp:simplePos x="0" y="0"/>
            <wp:positionH relativeFrom="column">
              <wp:posOffset>869950</wp:posOffset>
            </wp:positionH>
            <wp:positionV relativeFrom="paragraph">
              <wp:posOffset>106045</wp:posOffset>
            </wp:positionV>
            <wp:extent cx="4610100" cy="3124200"/>
            <wp:effectExtent l="38100" t="57150" r="114300" b="95250"/>
            <wp:wrapSquare wrapText="bothSides"/>
            <wp:docPr id="6" name="Picture 2" descr="C:\Users\user\Downloads\Lef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Left.tiff"/>
                    <pic:cNvPicPr>
                      <a:picLocks noChangeAspect="1" noChangeArrowheads="1"/>
                    </pic:cNvPicPr>
                  </pic:nvPicPr>
                  <pic:blipFill>
                    <a:blip r:embed="rId9"/>
                    <a:srcRect/>
                    <a:stretch>
                      <a:fillRect/>
                    </a:stretch>
                  </pic:blipFill>
                  <pic:spPr bwMode="auto">
                    <a:xfrm>
                      <a:off x="0" y="0"/>
                      <a:ext cx="4610100" cy="3124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74209D" w:rsidRPr="00906E2F" w:rsidRDefault="0074209D"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5D1C61" w:rsidP="0074209D">
      <w:pPr>
        <w:rPr>
          <w:rFonts w:ascii="Trebuchet MS" w:hAnsi="Trebuchet MS"/>
          <w:sz w:val="24"/>
          <w:szCs w:val="24"/>
        </w:rPr>
      </w:pPr>
    </w:p>
    <w:p w:rsidR="005D1C61" w:rsidRPr="00906E2F" w:rsidRDefault="004D11B3" w:rsidP="0074209D">
      <w:pPr>
        <w:rPr>
          <w:rFonts w:ascii="Trebuchet MS" w:hAnsi="Trebuchet MS"/>
          <w:b/>
          <w:sz w:val="24"/>
          <w:szCs w:val="24"/>
        </w:rPr>
      </w:pPr>
      <w:r>
        <w:rPr>
          <w:rFonts w:ascii="Trebuchet MS" w:hAnsi="Trebuchet MS"/>
          <w:b/>
          <w:noProof/>
          <w:sz w:val="24"/>
          <w:szCs w:val="24"/>
          <w:lang w:val="en-IN" w:eastAsia="en-IN"/>
        </w:rPr>
        <w:drawing>
          <wp:anchor distT="0" distB="0" distL="114300" distR="114300" simplePos="0" relativeHeight="251659264" behindDoc="0" locked="0" layoutInCell="1" allowOverlap="1">
            <wp:simplePos x="0" y="0"/>
            <wp:positionH relativeFrom="column">
              <wp:posOffset>800100</wp:posOffset>
            </wp:positionH>
            <wp:positionV relativeFrom="paragraph">
              <wp:posOffset>140970</wp:posOffset>
            </wp:positionV>
            <wp:extent cx="4870450" cy="3416300"/>
            <wp:effectExtent l="38100" t="57150" r="120650" b="88900"/>
            <wp:wrapSquare wrapText="bothSides"/>
            <wp:docPr id="4" name="Picture 1" descr="C:\Users\user\Downloads\Righ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Right.tiff"/>
                    <pic:cNvPicPr>
                      <a:picLocks noChangeAspect="1" noChangeArrowheads="1"/>
                    </pic:cNvPicPr>
                  </pic:nvPicPr>
                  <pic:blipFill>
                    <a:blip r:embed="rId10"/>
                    <a:srcRect/>
                    <a:stretch>
                      <a:fillRect/>
                    </a:stretch>
                  </pic:blipFill>
                  <pic:spPr bwMode="auto">
                    <a:xfrm>
                      <a:off x="0" y="0"/>
                      <a:ext cx="4870450" cy="3416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984809" w:rsidRPr="00906E2F" w:rsidRDefault="00984809" w:rsidP="0074209D">
      <w:pPr>
        <w:rPr>
          <w:rFonts w:ascii="Trebuchet MS" w:hAnsi="Trebuchet MS"/>
          <w:b/>
          <w:sz w:val="24"/>
          <w:szCs w:val="24"/>
        </w:rPr>
      </w:pPr>
    </w:p>
    <w:p w:rsidR="00984809" w:rsidRPr="00906E2F" w:rsidRDefault="00984809" w:rsidP="0074209D">
      <w:pPr>
        <w:rPr>
          <w:rFonts w:ascii="Trebuchet MS" w:hAnsi="Trebuchet MS"/>
          <w:b/>
          <w:sz w:val="24"/>
          <w:szCs w:val="24"/>
        </w:rPr>
      </w:pPr>
    </w:p>
    <w:p w:rsidR="00984809" w:rsidRPr="00906E2F" w:rsidRDefault="00984809" w:rsidP="0074209D">
      <w:pPr>
        <w:rPr>
          <w:rFonts w:ascii="Trebuchet MS" w:hAnsi="Trebuchet MS"/>
          <w:b/>
          <w:sz w:val="24"/>
          <w:szCs w:val="24"/>
        </w:rPr>
      </w:pPr>
    </w:p>
    <w:p w:rsidR="00984809" w:rsidRPr="00906E2F" w:rsidRDefault="00984809" w:rsidP="0074209D">
      <w:pPr>
        <w:rPr>
          <w:rFonts w:ascii="Trebuchet MS" w:hAnsi="Trebuchet MS"/>
          <w:b/>
          <w:sz w:val="24"/>
          <w:szCs w:val="24"/>
        </w:rPr>
      </w:pPr>
    </w:p>
    <w:p w:rsidR="00984809" w:rsidRPr="00906E2F" w:rsidRDefault="00984809" w:rsidP="0074209D">
      <w:pPr>
        <w:rPr>
          <w:rFonts w:ascii="Trebuchet MS" w:hAnsi="Trebuchet MS"/>
          <w:b/>
          <w:sz w:val="24"/>
          <w:szCs w:val="24"/>
        </w:rPr>
      </w:pPr>
    </w:p>
    <w:p w:rsidR="00984809" w:rsidRPr="00906E2F" w:rsidRDefault="00984809" w:rsidP="0074209D">
      <w:pPr>
        <w:rPr>
          <w:rFonts w:ascii="Trebuchet MS" w:hAnsi="Trebuchet MS"/>
          <w:b/>
          <w:sz w:val="24"/>
          <w:szCs w:val="24"/>
        </w:rPr>
      </w:pPr>
    </w:p>
    <w:p w:rsidR="00906E2F" w:rsidRDefault="00906E2F" w:rsidP="0074209D">
      <w:pPr>
        <w:rPr>
          <w:rFonts w:ascii="Trebuchet MS" w:hAnsi="Trebuchet MS"/>
          <w:b/>
          <w:sz w:val="24"/>
          <w:szCs w:val="24"/>
        </w:rPr>
      </w:pPr>
    </w:p>
    <w:p w:rsidR="00906E2F" w:rsidRDefault="00906E2F" w:rsidP="0074209D">
      <w:pPr>
        <w:rPr>
          <w:rFonts w:ascii="Trebuchet MS" w:hAnsi="Trebuchet MS"/>
          <w:b/>
          <w:sz w:val="24"/>
          <w:szCs w:val="24"/>
        </w:rPr>
      </w:pPr>
    </w:p>
    <w:p w:rsidR="00906E2F" w:rsidRPr="00906E2F" w:rsidRDefault="00906E2F" w:rsidP="00906E2F">
      <w:pPr>
        <w:rPr>
          <w:rFonts w:ascii="Trebuchet MS" w:hAnsi="Trebuchet MS"/>
          <w:noProof/>
          <w:sz w:val="24"/>
          <w:szCs w:val="24"/>
          <w:lang w:val="en-IN" w:eastAsia="en-IN"/>
        </w:rPr>
      </w:pPr>
      <w:r>
        <w:rPr>
          <w:rFonts w:ascii="Trebuchet MS" w:hAnsi="Trebuchet MS"/>
          <w:noProof/>
          <w:sz w:val="24"/>
          <w:szCs w:val="24"/>
          <w:lang w:val="en-IN" w:eastAsia="en-IN"/>
        </w:rPr>
        <w:lastRenderedPageBreak/>
        <w:drawing>
          <wp:anchor distT="0" distB="0" distL="114300" distR="114300" simplePos="0" relativeHeight="251665408" behindDoc="1" locked="0" layoutInCell="1" allowOverlap="1">
            <wp:simplePos x="0" y="0"/>
            <wp:positionH relativeFrom="column">
              <wp:posOffset>-137795</wp:posOffset>
            </wp:positionH>
            <wp:positionV relativeFrom="paragraph">
              <wp:posOffset>1130300</wp:posOffset>
            </wp:positionV>
            <wp:extent cx="6373495" cy="2959100"/>
            <wp:effectExtent l="19050" t="0" r="8255" b="0"/>
            <wp:wrapTight wrapText="bothSides">
              <wp:wrapPolygon edited="0">
                <wp:start x="-65" y="0"/>
                <wp:lineTo x="-65" y="21415"/>
                <wp:lineTo x="21628" y="21415"/>
                <wp:lineTo x="21628" y="0"/>
                <wp:lineTo x="-65" y="0"/>
              </wp:wrapPolygon>
            </wp:wrapTight>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r="3096"/>
                    <a:stretch>
                      <a:fillRect/>
                    </a:stretch>
                  </pic:blipFill>
                  <pic:spPr bwMode="auto">
                    <a:xfrm>
                      <a:off x="0" y="0"/>
                      <a:ext cx="6373495" cy="2959100"/>
                    </a:xfrm>
                    <a:prstGeom prst="rect">
                      <a:avLst/>
                    </a:prstGeom>
                    <a:noFill/>
                    <a:ln w="9525">
                      <a:noFill/>
                      <a:miter lim="800000"/>
                      <a:headEnd/>
                      <a:tailEnd/>
                    </a:ln>
                  </pic:spPr>
                </pic:pic>
              </a:graphicData>
            </a:graphic>
          </wp:anchor>
        </w:drawing>
      </w:r>
      <w:r w:rsidRPr="00906E2F">
        <w:rPr>
          <w:rFonts w:ascii="Trebuchet MS" w:hAnsi="Trebuchet MS"/>
          <w:sz w:val="24"/>
          <w:szCs w:val="24"/>
        </w:rPr>
        <w:t xml:space="preserve">From FTIR-ATR Spectroscopy, presence of </w:t>
      </w:r>
      <w:r w:rsidRPr="00906E2F">
        <w:rPr>
          <w:rFonts w:ascii="Trebuchet MS" w:hAnsi="Trebuchet MS"/>
          <w:noProof/>
          <w:sz w:val="24"/>
          <w:szCs w:val="24"/>
          <w:lang w:val="en-IN" w:eastAsia="en-IN"/>
        </w:rPr>
        <w:t xml:space="preserve">complex carbohydrates in manuka honey were identified, and the predominant carbohydrates were: </w:t>
      </w:r>
      <w:proofErr w:type="spellStart"/>
      <w:r w:rsidRPr="00906E2F">
        <w:rPr>
          <w:rFonts w:ascii="Trebuchet MS" w:hAnsi="Trebuchet MS"/>
          <w:sz w:val="24"/>
          <w:szCs w:val="24"/>
          <w:lang w:val="en-IN"/>
        </w:rPr>
        <w:t>Zymosan</w:t>
      </w:r>
      <w:proofErr w:type="spellEnd"/>
      <w:r w:rsidRPr="00906E2F">
        <w:rPr>
          <w:rFonts w:ascii="Trebuchet MS" w:hAnsi="Trebuchet MS"/>
          <w:sz w:val="24"/>
          <w:szCs w:val="24"/>
          <w:lang w:val="en-IN"/>
        </w:rPr>
        <w:t xml:space="preserve"> A from </w:t>
      </w:r>
      <w:proofErr w:type="spellStart"/>
      <w:r w:rsidRPr="00906E2F">
        <w:rPr>
          <w:rFonts w:ascii="Trebuchet MS" w:hAnsi="Trebuchet MS"/>
          <w:sz w:val="24"/>
          <w:szCs w:val="24"/>
          <w:lang w:val="en-IN"/>
        </w:rPr>
        <w:t>Saccharomyces</w:t>
      </w:r>
      <w:proofErr w:type="spellEnd"/>
      <w:r w:rsidRPr="00906E2F">
        <w:rPr>
          <w:rFonts w:ascii="Trebuchet MS" w:hAnsi="Trebuchet MS"/>
          <w:sz w:val="24"/>
          <w:szCs w:val="24"/>
          <w:lang w:val="en-IN"/>
        </w:rPr>
        <w:t xml:space="preserve">, </w:t>
      </w:r>
      <w:proofErr w:type="spellStart"/>
      <w:r w:rsidRPr="00906E2F">
        <w:rPr>
          <w:rFonts w:ascii="Trebuchet MS" w:hAnsi="Trebuchet MS"/>
          <w:sz w:val="24"/>
          <w:szCs w:val="24"/>
          <w:lang w:val="en-IN"/>
        </w:rPr>
        <w:t>Laminarin</w:t>
      </w:r>
      <w:proofErr w:type="spellEnd"/>
      <w:r w:rsidRPr="00906E2F">
        <w:rPr>
          <w:rFonts w:ascii="Trebuchet MS" w:hAnsi="Trebuchet MS"/>
          <w:sz w:val="24"/>
          <w:szCs w:val="24"/>
          <w:lang w:val="en-IN"/>
        </w:rPr>
        <w:t xml:space="preserve"> from L </w:t>
      </w:r>
      <w:proofErr w:type="spellStart"/>
      <w:r w:rsidRPr="00906E2F">
        <w:rPr>
          <w:rFonts w:ascii="Trebuchet MS" w:hAnsi="Trebuchet MS"/>
          <w:sz w:val="24"/>
          <w:szCs w:val="24"/>
          <w:lang w:val="en-IN"/>
        </w:rPr>
        <w:t>digitata</w:t>
      </w:r>
      <w:proofErr w:type="spellEnd"/>
      <w:r w:rsidRPr="00906E2F">
        <w:rPr>
          <w:rFonts w:ascii="Trebuchet MS" w:hAnsi="Trebuchet MS"/>
          <w:sz w:val="24"/>
          <w:szCs w:val="24"/>
          <w:lang w:val="en-IN"/>
        </w:rPr>
        <w:t xml:space="preserve">, </w:t>
      </w:r>
      <w:proofErr w:type="spellStart"/>
      <w:r w:rsidRPr="00906E2F">
        <w:rPr>
          <w:rFonts w:ascii="Trebuchet MS" w:hAnsi="Trebuchet MS"/>
          <w:sz w:val="24"/>
          <w:szCs w:val="24"/>
          <w:lang w:val="en-IN"/>
        </w:rPr>
        <w:t>Cellotriose</w:t>
      </w:r>
      <w:proofErr w:type="spellEnd"/>
      <w:r w:rsidRPr="00906E2F">
        <w:rPr>
          <w:rFonts w:ascii="Trebuchet MS" w:hAnsi="Trebuchet MS"/>
          <w:sz w:val="24"/>
          <w:szCs w:val="24"/>
          <w:lang w:val="en-IN"/>
        </w:rPr>
        <w:t>, Cellulose, Milk sugars like Lacto-N-</w:t>
      </w:r>
      <w:proofErr w:type="spellStart"/>
      <w:r w:rsidRPr="00906E2F">
        <w:rPr>
          <w:rFonts w:ascii="Trebuchet MS" w:hAnsi="Trebuchet MS"/>
          <w:sz w:val="24"/>
          <w:szCs w:val="24"/>
          <w:lang w:val="en-IN"/>
        </w:rPr>
        <w:t>Fucopentaose</w:t>
      </w:r>
      <w:proofErr w:type="spellEnd"/>
      <w:r w:rsidRPr="00906E2F">
        <w:rPr>
          <w:rFonts w:ascii="Trebuchet MS" w:hAnsi="Trebuchet MS"/>
          <w:sz w:val="24"/>
          <w:szCs w:val="24"/>
          <w:lang w:val="en-IN"/>
        </w:rPr>
        <w:t xml:space="preserve"> I &amp; Lacto-N-</w:t>
      </w:r>
      <w:proofErr w:type="spellStart"/>
      <w:r w:rsidRPr="00906E2F">
        <w:rPr>
          <w:rFonts w:ascii="Trebuchet MS" w:hAnsi="Trebuchet MS"/>
          <w:sz w:val="24"/>
          <w:szCs w:val="24"/>
          <w:lang w:val="en-IN"/>
        </w:rPr>
        <w:t>DiFucohexaose</w:t>
      </w:r>
      <w:proofErr w:type="spellEnd"/>
      <w:r w:rsidRPr="00906E2F">
        <w:rPr>
          <w:rFonts w:ascii="Trebuchet MS" w:hAnsi="Trebuchet MS"/>
          <w:sz w:val="24"/>
          <w:szCs w:val="24"/>
          <w:lang w:val="en-IN"/>
        </w:rPr>
        <w:t xml:space="preserve"> II and </w:t>
      </w:r>
      <w:proofErr w:type="spellStart"/>
      <w:r w:rsidRPr="00906E2F">
        <w:rPr>
          <w:rFonts w:ascii="Trebuchet MS" w:hAnsi="Trebuchet MS"/>
          <w:sz w:val="24"/>
          <w:szCs w:val="24"/>
          <w:lang w:val="en-IN"/>
        </w:rPr>
        <w:t>Cyclohexylmethyl</w:t>
      </w:r>
      <w:proofErr w:type="spellEnd"/>
      <w:r w:rsidRPr="00906E2F">
        <w:rPr>
          <w:rFonts w:ascii="Trebuchet MS" w:hAnsi="Trebuchet MS"/>
          <w:sz w:val="24"/>
          <w:szCs w:val="24"/>
          <w:lang w:val="en-IN"/>
        </w:rPr>
        <w:t xml:space="preserve">-Beta-D- </w:t>
      </w:r>
      <w:proofErr w:type="spellStart"/>
      <w:r w:rsidRPr="00906E2F">
        <w:rPr>
          <w:rFonts w:ascii="Trebuchet MS" w:hAnsi="Trebuchet MS"/>
          <w:sz w:val="24"/>
          <w:szCs w:val="24"/>
          <w:lang w:val="en-IN"/>
        </w:rPr>
        <w:t>Maltoside</w:t>
      </w:r>
      <w:proofErr w:type="spellEnd"/>
      <w:r w:rsidRPr="00906E2F">
        <w:rPr>
          <w:rFonts w:ascii="Trebuchet MS" w:hAnsi="Trebuchet MS"/>
          <w:sz w:val="24"/>
          <w:szCs w:val="24"/>
          <w:lang w:val="en-IN"/>
        </w:rPr>
        <w:t>.</w:t>
      </w:r>
    </w:p>
    <w:p w:rsidR="00906E2F" w:rsidRDefault="00906E2F" w:rsidP="0074209D">
      <w:pPr>
        <w:rPr>
          <w:rFonts w:ascii="Trebuchet MS" w:hAnsi="Trebuchet MS"/>
          <w:b/>
          <w:sz w:val="24"/>
          <w:szCs w:val="24"/>
        </w:rPr>
      </w:pPr>
    </w:p>
    <w:p w:rsidR="00984809" w:rsidRPr="00906E2F" w:rsidRDefault="00906E2F" w:rsidP="0074209D">
      <w:pPr>
        <w:rPr>
          <w:rFonts w:ascii="Trebuchet MS" w:hAnsi="Trebuchet MS"/>
          <w:b/>
          <w:sz w:val="24"/>
          <w:szCs w:val="24"/>
        </w:rPr>
      </w:pPr>
      <w:r>
        <w:rPr>
          <w:rFonts w:ascii="Trebuchet MS" w:hAnsi="Trebuchet MS"/>
          <w:b/>
          <w:noProof/>
          <w:sz w:val="24"/>
          <w:szCs w:val="24"/>
          <w:lang w:val="en-IN" w:eastAsia="en-IN"/>
        </w:rPr>
        <w:drawing>
          <wp:anchor distT="0" distB="0" distL="114300" distR="114300" simplePos="0" relativeHeight="251666432" behindDoc="1" locked="0" layoutInCell="1" allowOverlap="1">
            <wp:simplePos x="0" y="0"/>
            <wp:positionH relativeFrom="column">
              <wp:posOffset>260350</wp:posOffset>
            </wp:positionH>
            <wp:positionV relativeFrom="paragraph">
              <wp:posOffset>190500</wp:posOffset>
            </wp:positionV>
            <wp:extent cx="5731510" cy="2286000"/>
            <wp:effectExtent l="19050" t="0" r="2540" b="0"/>
            <wp:wrapTight wrapText="bothSides">
              <wp:wrapPolygon edited="0">
                <wp:start x="-72" y="0"/>
                <wp:lineTo x="-72" y="21420"/>
                <wp:lineTo x="21610" y="21420"/>
                <wp:lineTo x="21610" y="0"/>
                <wp:lineTo x="-72" y="0"/>
              </wp:wrapPolygon>
            </wp:wrapTight>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731510" cy="2286000"/>
                    </a:xfrm>
                    <a:prstGeom prst="rect">
                      <a:avLst/>
                    </a:prstGeom>
                    <a:noFill/>
                    <a:ln w="9525">
                      <a:noFill/>
                      <a:miter lim="800000"/>
                      <a:headEnd/>
                      <a:tailEnd/>
                    </a:ln>
                  </pic:spPr>
                </pic:pic>
              </a:graphicData>
            </a:graphic>
          </wp:anchor>
        </w:drawing>
      </w:r>
    </w:p>
    <w:sectPr w:rsidR="00984809" w:rsidRPr="00906E2F" w:rsidSect="00F64EC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TQ1NrE0Mze0MDY3MzJS0lEKTi0uzszPAykwqgUAvt0poiwAAAA="/>
  </w:docVars>
  <w:rsids>
    <w:rsidRoot w:val="0074209D"/>
    <w:rsid w:val="001C1A5F"/>
    <w:rsid w:val="00221BAE"/>
    <w:rsid w:val="004D11B3"/>
    <w:rsid w:val="005C2282"/>
    <w:rsid w:val="005D1C61"/>
    <w:rsid w:val="0074209D"/>
    <w:rsid w:val="00906E2F"/>
    <w:rsid w:val="00984809"/>
    <w:rsid w:val="00B7113B"/>
    <w:rsid w:val="00DD5405"/>
    <w:rsid w:val="00F64EC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9D"/>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C61"/>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5167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tiff"/><Relationship Id="rId4" Type="http://schemas.openxmlformats.org/officeDocument/2006/relationships/webSettings" Target="webSettings.xml"/><Relationship Id="rId9" Type="http://schemas.openxmlformats.org/officeDocument/2006/relationships/image" Target="media/image5.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3C9A-CC55-4EA9-BDF2-C9AEB51E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10</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 Ramadass</dc:creator>
  <cp:keywords/>
  <dc:description/>
  <cp:lastModifiedBy>Bala</cp:lastModifiedBy>
  <cp:revision>4</cp:revision>
  <dcterms:created xsi:type="dcterms:W3CDTF">2020-12-04T05:56:00Z</dcterms:created>
  <dcterms:modified xsi:type="dcterms:W3CDTF">2020-12-28T09:42:00Z</dcterms:modified>
</cp:coreProperties>
</file>