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8EBB" w14:textId="77777777" w:rsidR="00862114" w:rsidRDefault="005C5AA6">
      <w:pPr>
        <w:tabs>
          <w:tab w:val="left" w:pos="4111"/>
        </w:tabs>
        <w:rPr>
          <w:b/>
          <w:sz w:val="22"/>
          <w:szCs w:val="22"/>
        </w:rPr>
      </w:pPr>
      <w:r>
        <w:rPr>
          <w:b/>
          <w:sz w:val="22"/>
          <w:szCs w:val="22"/>
        </w:rPr>
        <w:t>Supplementary Data</w:t>
      </w:r>
    </w:p>
    <w:p w14:paraId="5B0668E2" w14:textId="77777777" w:rsidR="00862114" w:rsidRDefault="00862114">
      <w:pPr>
        <w:rPr>
          <w:b/>
          <w:sz w:val="22"/>
          <w:szCs w:val="22"/>
        </w:rPr>
      </w:pPr>
      <w:bookmarkStart w:id="0" w:name="_heading=h.o70r2dhf2c7e" w:colFirst="0" w:colLast="0"/>
      <w:bookmarkEnd w:id="0"/>
    </w:p>
    <w:p w14:paraId="1FF294D9" w14:textId="25E34736" w:rsidR="00862114" w:rsidRDefault="005C5AA6">
      <w:pPr>
        <w:jc w:val="center"/>
        <w:rPr>
          <w:b/>
          <w:sz w:val="22"/>
          <w:szCs w:val="22"/>
        </w:rPr>
      </w:pPr>
      <w:r>
        <w:rPr>
          <w:b/>
          <w:sz w:val="22"/>
          <w:szCs w:val="22"/>
        </w:rPr>
        <w:t>Copper supported on cellulosic beads as a potential catalyst for environmental remediation reactions</w:t>
      </w:r>
    </w:p>
    <w:p w14:paraId="1B2F9AD1" w14:textId="77777777" w:rsidR="00DF570E" w:rsidRDefault="00DF570E">
      <w:pPr>
        <w:jc w:val="center"/>
        <w:rPr>
          <w:color w:val="000000"/>
          <w:sz w:val="24"/>
          <w:szCs w:val="24"/>
        </w:rPr>
      </w:pPr>
    </w:p>
    <w:p w14:paraId="38450E24" w14:textId="77777777" w:rsidR="00862114" w:rsidRDefault="00862114">
      <w:pPr>
        <w:jc w:val="center"/>
        <w:rPr>
          <w:b/>
          <w:sz w:val="22"/>
          <w:szCs w:val="22"/>
        </w:rPr>
      </w:pPr>
    </w:p>
    <w:p w14:paraId="4C3C5597" w14:textId="77777777" w:rsidR="00862114" w:rsidRPr="008319B7" w:rsidRDefault="005C5AA6">
      <w:pPr>
        <w:jc w:val="center"/>
        <w:rPr>
          <w:sz w:val="22"/>
          <w:szCs w:val="22"/>
          <w:lang w:val="es-AR"/>
        </w:rPr>
      </w:pPr>
      <w:r w:rsidRPr="008319B7">
        <w:rPr>
          <w:sz w:val="22"/>
          <w:szCs w:val="22"/>
          <w:lang w:val="es-AR"/>
        </w:rPr>
        <w:t>Alejandra Devard</w:t>
      </w:r>
      <w:r w:rsidRPr="008319B7">
        <w:rPr>
          <w:sz w:val="22"/>
          <w:szCs w:val="22"/>
          <w:vertAlign w:val="superscript"/>
          <w:lang w:val="es-AR"/>
        </w:rPr>
        <w:t>a</w:t>
      </w:r>
      <w:r w:rsidRPr="008319B7">
        <w:rPr>
          <w:sz w:val="22"/>
          <w:szCs w:val="22"/>
          <w:lang w:val="es-AR"/>
        </w:rPr>
        <w:t>, M. Claudia Taleb</w:t>
      </w:r>
      <w:r w:rsidRPr="008319B7">
        <w:rPr>
          <w:sz w:val="22"/>
          <w:szCs w:val="22"/>
          <w:vertAlign w:val="superscript"/>
          <w:lang w:val="es-AR"/>
        </w:rPr>
        <w:t>b</w:t>
      </w:r>
      <w:r w:rsidRPr="008319B7">
        <w:rPr>
          <w:sz w:val="22"/>
          <w:szCs w:val="22"/>
          <w:lang w:val="es-AR"/>
        </w:rPr>
        <w:t>, Graciela V. Olmos</w:t>
      </w:r>
      <w:r w:rsidRPr="008319B7">
        <w:rPr>
          <w:sz w:val="22"/>
          <w:szCs w:val="22"/>
          <w:vertAlign w:val="superscript"/>
          <w:lang w:val="es-AR"/>
        </w:rPr>
        <w:t>b</w:t>
      </w:r>
      <w:r w:rsidRPr="008319B7">
        <w:rPr>
          <w:sz w:val="22"/>
          <w:szCs w:val="22"/>
          <w:lang w:val="es-AR"/>
        </w:rPr>
        <w:t>, F. Albana Marchesini</w:t>
      </w:r>
      <w:r w:rsidRPr="008319B7">
        <w:rPr>
          <w:sz w:val="22"/>
          <w:szCs w:val="22"/>
          <w:vertAlign w:val="superscript"/>
          <w:lang w:val="es-AR"/>
        </w:rPr>
        <w:t>a</w:t>
      </w:r>
      <w:r w:rsidRPr="008319B7">
        <w:rPr>
          <w:sz w:val="22"/>
          <w:szCs w:val="22"/>
          <w:lang w:val="es-AR"/>
        </w:rPr>
        <w:t>, Laura B. Gutierrez</w:t>
      </w:r>
      <w:r w:rsidRPr="008319B7">
        <w:rPr>
          <w:sz w:val="22"/>
          <w:szCs w:val="22"/>
          <w:vertAlign w:val="superscript"/>
          <w:lang w:val="es-AR"/>
        </w:rPr>
        <w:t>a*</w:t>
      </w:r>
    </w:p>
    <w:p w14:paraId="41AC6BE1" w14:textId="77777777" w:rsidR="00862114" w:rsidRPr="008319B7" w:rsidRDefault="00862114">
      <w:pPr>
        <w:jc w:val="center"/>
        <w:rPr>
          <w:sz w:val="22"/>
          <w:szCs w:val="22"/>
          <w:lang w:val="es-AR"/>
        </w:rPr>
      </w:pPr>
    </w:p>
    <w:p w14:paraId="0EB37168" w14:textId="77777777" w:rsidR="00862114" w:rsidRPr="008319B7" w:rsidRDefault="005C5AA6">
      <w:pPr>
        <w:jc w:val="center"/>
        <w:rPr>
          <w:sz w:val="22"/>
          <w:szCs w:val="22"/>
          <w:lang w:val="es-AR"/>
        </w:rPr>
      </w:pPr>
      <w:r w:rsidRPr="008319B7">
        <w:rPr>
          <w:sz w:val="22"/>
          <w:szCs w:val="22"/>
          <w:vertAlign w:val="superscript"/>
          <w:lang w:val="es-AR"/>
        </w:rPr>
        <w:t>a</w:t>
      </w:r>
      <w:r w:rsidRPr="008319B7">
        <w:rPr>
          <w:sz w:val="22"/>
          <w:szCs w:val="22"/>
          <w:lang w:val="es-AR"/>
        </w:rPr>
        <w:t>Instituto de Investigaciones en Catálisis y Petroquímica, INCAPE, (FIQ, UNL-CONICET), Santiago del Estero 2829, S3000 Santa Fe, Argentina</w:t>
      </w:r>
    </w:p>
    <w:p w14:paraId="15124E05" w14:textId="77777777" w:rsidR="00862114" w:rsidRPr="008319B7" w:rsidRDefault="005C5AA6">
      <w:pPr>
        <w:jc w:val="center"/>
        <w:rPr>
          <w:sz w:val="22"/>
          <w:szCs w:val="22"/>
          <w:lang w:val="es-AR"/>
        </w:rPr>
      </w:pPr>
      <w:r w:rsidRPr="008319B7">
        <w:rPr>
          <w:sz w:val="22"/>
          <w:szCs w:val="22"/>
          <w:vertAlign w:val="superscript"/>
          <w:lang w:val="es-AR"/>
        </w:rPr>
        <w:t>b</w:t>
      </w:r>
      <w:r w:rsidRPr="008319B7">
        <w:rPr>
          <w:sz w:val="22"/>
          <w:szCs w:val="22"/>
          <w:lang w:val="es-AR"/>
        </w:rPr>
        <w:t>Instituto de Tecnología Celulósica, ITC, (FIQ, UNL), Santiago del Estero 2654, S3000 Santa Fe, Argentina</w:t>
      </w:r>
    </w:p>
    <w:p w14:paraId="7A47C1DF" w14:textId="77777777" w:rsidR="00862114" w:rsidRPr="008319B7" w:rsidRDefault="00862114">
      <w:pPr>
        <w:tabs>
          <w:tab w:val="left" w:pos="3828"/>
        </w:tabs>
        <w:rPr>
          <w:sz w:val="22"/>
          <w:szCs w:val="22"/>
          <w:lang w:val="es-AR"/>
        </w:rPr>
      </w:pPr>
    </w:p>
    <w:p w14:paraId="2DE580B9" w14:textId="77777777" w:rsidR="00862114" w:rsidRPr="008319B7" w:rsidRDefault="00862114">
      <w:pPr>
        <w:pBdr>
          <w:top w:val="nil"/>
          <w:left w:val="nil"/>
          <w:bottom w:val="nil"/>
          <w:right w:val="nil"/>
          <w:between w:val="nil"/>
        </w:pBdr>
        <w:spacing w:before="120" w:after="120" w:line="360" w:lineRule="auto"/>
        <w:ind w:firstLine="426"/>
        <w:jc w:val="both"/>
        <w:rPr>
          <w:b/>
          <w:sz w:val="22"/>
          <w:szCs w:val="22"/>
          <w:lang w:val="es-AR"/>
        </w:rPr>
      </w:pPr>
      <w:bookmarkStart w:id="1" w:name="_heading=h.w03n6i1kmuuq" w:colFirst="0" w:colLast="0"/>
      <w:bookmarkEnd w:id="1"/>
    </w:p>
    <w:p w14:paraId="588804A9" w14:textId="77777777" w:rsidR="00862114" w:rsidRDefault="005C5AA6">
      <w:pPr>
        <w:pBdr>
          <w:top w:val="nil"/>
          <w:left w:val="nil"/>
          <w:bottom w:val="nil"/>
          <w:right w:val="nil"/>
          <w:between w:val="nil"/>
        </w:pBdr>
        <w:spacing w:before="120" w:after="120" w:line="360" w:lineRule="auto"/>
        <w:ind w:firstLine="426"/>
        <w:jc w:val="both"/>
        <w:rPr>
          <w:b/>
          <w:sz w:val="22"/>
          <w:szCs w:val="22"/>
        </w:rPr>
      </w:pPr>
      <w:r>
        <w:rPr>
          <w:b/>
          <w:sz w:val="22"/>
          <w:szCs w:val="22"/>
        </w:rPr>
        <w:t>Reaction processes observed during the CuNPs formation</w:t>
      </w:r>
    </w:p>
    <w:p w14:paraId="75279DDC" w14:textId="5F58CC80" w:rsidR="00862114" w:rsidRDefault="005C5AA6">
      <w:pPr>
        <w:spacing w:before="120" w:after="120" w:line="360" w:lineRule="auto"/>
        <w:ind w:firstLine="426"/>
        <w:jc w:val="both"/>
        <w:rPr>
          <w:sz w:val="22"/>
          <w:szCs w:val="22"/>
        </w:rPr>
      </w:pPr>
      <w:r>
        <w:rPr>
          <w:sz w:val="22"/>
          <w:szCs w:val="22"/>
        </w:rPr>
        <w:t>The pH of the copper (II) acetate monohydrate solution was adjusted to 5-7 because at this point the Acid Ascorbic (AA) presents an optimal reducing effect. In this step the solution is slightly blue (Fig. S1-a). When the AA solution was added to the RC support, the pH dropped to 3.2 and the solution turned to yellow (Fig. S1-b), this is associated with the reduction of Cu</w:t>
      </w:r>
      <w:r>
        <w:rPr>
          <w:sz w:val="22"/>
          <w:szCs w:val="22"/>
          <w:vertAlign w:val="superscript"/>
        </w:rPr>
        <w:t xml:space="preserve">2+ </w:t>
      </w:r>
      <w:r>
        <w:rPr>
          <w:sz w:val="22"/>
          <w:szCs w:val="22"/>
        </w:rPr>
        <w:t>to the Cu</w:t>
      </w:r>
      <w:r>
        <w:rPr>
          <w:sz w:val="22"/>
          <w:szCs w:val="22"/>
          <w:vertAlign w:val="subscript"/>
        </w:rPr>
        <w:t>2</w:t>
      </w:r>
      <w:r>
        <w:rPr>
          <w:sz w:val="22"/>
          <w:szCs w:val="22"/>
        </w:rPr>
        <w:t>O intermediate species (Eq. 3).</w:t>
      </w:r>
      <w:r w:rsidR="00542673">
        <w:rPr>
          <w:sz w:val="22"/>
          <w:szCs w:val="22"/>
        </w:rPr>
        <w:t xml:space="preserve"> Afterwards, </w:t>
      </w:r>
      <w:r>
        <w:rPr>
          <w:sz w:val="22"/>
          <w:szCs w:val="22"/>
        </w:rPr>
        <w:t>Cu</w:t>
      </w:r>
      <w:r>
        <w:rPr>
          <w:sz w:val="22"/>
          <w:szCs w:val="22"/>
          <w:vertAlign w:val="superscript"/>
        </w:rPr>
        <w:t>+</w:t>
      </w:r>
      <w:r>
        <w:rPr>
          <w:sz w:val="22"/>
          <w:szCs w:val="22"/>
        </w:rPr>
        <w:t xml:space="preserve"> was reduced to metallic copper (Eq. 4) and the solution became reddish (Fig. S1-c). After a few minutes the vessel content ended dark red (Fig. S1-d). Meanwhile, the AA was oxidized to dehydroascorbic acid (Eq. 5) giving rise to more H</w:t>
      </w:r>
      <w:r>
        <w:rPr>
          <w:sz w:val="22"/>
          <w:szCs w:val="22"/>
          <w:vertAlign w:val="superscript"/>
        </w:rPr>
        <w:t>+</w:t>
      </w:r>
      <w:r>
        <w:rPr>
          <w:sz w:val="22"/>
          <w:szCs w:val="22"/>
        </w:rPr>
        <w:t xml:space="preserve"> reducing entities. It should be taken into </w:t>
      </w:r>
      <w:r w:rsidRPr="00C87B2C">
        <w:rPr>
          <w:sz w:val="22"/>
          <w:szCs w:val="22"/>
        </w:rPr>
        <w:t xml:space="preserve">account that the presence of aldehyde groups in the RC supports could also promote the copper reduction </w:t>
      </w:r>
      <w:r w:rsidR="008319B7" w:rsidRPr="00C87B2C">
        <w:rPr>
          <w:sz w:val="22"/>
          <w:szCs w:val="22"/>
        </w:rPr>
        <w:fldChar w:fldCharType="begin" w:fldLock="1"/>
      </w:r>
      <w:r w:rsidR="002268F8" w:rsidRPr="00C87B2C">
        <w:rPr>
          <w:sz w:val="22"/>
          <w:szCs w:val="22"/>
        </w:rPr>
        <w:instrText>ADDIN CSL_CITATION {"citationItems":[{"id":"ITEM-1","itemData":{"DOI":"10.1186/s11671-016-1240-0","ISBN":"1931-7573 (Print)\\r1556-276X (Linking)","ISSN":"1556276X","PMID":"26781286","abstract":"Effective method of obtaining of the bactericidal bandage materials by impregnation of cotton fabric by aqueous solutions of silver and copper salts followed by a certain regime of heat treatment is developed. The study of obtained materials by methods of optical spectroscopy, electron microscopy, and X-ray phase analysis showed the formation of crystalline silver nanoparticles (NPs) and bimetallic Ag/Cu composites with the corresponding surface plasmon resonance (SPR) bands in the absorption spectra. High antimicrobial and antimycotic properties of tissues with low concentrations of Ag and Ag/Cu nanoparticles (Ag/Cu NPs) (in the range 0.06-0.25 weight percent (wt%) for Ag and 0.015-0.13 wt% for Ag/Cu) is confirmed in experiments with a wide range of multidrug-resistant bacteria and fungi: Escherichia coli, Enterobacter aerogenes, Proteus mirabilis, Klebsiella pneumoniae, Candida albicans yeasts, and micromycetes. Textile materials with Ag NPs demonstrate high antibacterial activity, while fabrics doped with bimetallic composite Ag/Cu have pronounced antimycotic properties. Bactericidal and antifungal properties of the obtained materials do not change after a washing. Production of such materials is extremely fast, convenient, and cost-effective.","author":[{"dropping-particle":"","family":"Eremenko","given":"A. M.","non-dropping-particle":"","parse-names":false,"suffix":""},{"dropping-particle":"","family":"Petrik","given":"I. S.","non-dropping-particle":"","parse-names":false,"suffix":""},{"dropping-particle":"","family":"Smirnova","given":"N. P.","non-dropping-particle":"","parse-names":false,"suffix":""},{"dropping-particle":"V.","family":"Rudenko","given":"A.","non-dropping-particle":"","parse-names":false,"suffix":""},{"dropping-particle":"","family":"Marikvas","given":"Y. S.","non-dropping-particle":"","parse-names":false,"suffix":""}],"container-title":"Nanoscale Research Letters","id":"ITEM-1","issue":"1","issued":{"date-parts":[["2016"]]},"page":"1-9","title":"Antibacterial and antimycotic activity of cotton fabrics, impregnated with silver and binary silver/copper nanoparticles","type":"article-journal","volume":"11"},"uris":["http://www.mendeley.com/documents/?uuid=69929970-4356-424b-a1eb-5c21346aa198"]}],"mendeley":{"formattedCitation":"[1]","plainTextFormattedCitation":"[1]","previouslyFormattedCitation":"[1]"},"properties":{"noteIndex":0},"schema":"https://github.com/citation-style-language/schema/raw/master/csl-citation.json"}</w:instrText>
      </w:r>
      <w:r w:rsidR="008319B7" w:rsidRPr="00C87B2C">
        <w:rPr>
          <w:sz w:val="22"/>
          <w:szCs w:val="22"/>
        </w:rPr>
        <w:fldChar w:fldCharType="separate"/>
      </w:r>
      <w:r w:rsidR="00D97CD7" w:rsidRPr="00C87B2C">
        <w:rPr>
          <w:noProof/>
          <w:sz w:val="22"/>
          <w:szCs w:val="22"/>
        </w:rPr>
        <w:t>[1]</w:t>
      </w:r>
      <w:r w:rsidR="008319B7" w:rsidRPr="00C87B2C">
        <w:rPr>
          <w:sz w:val="22"/>
          <w:szCs w:val="22"/>
        </w:rPr>
        <w:fldChar w:fldCharType="end"/>
      </w:r>
      <w:r w:rsidRPr="00C87B2C">
        <w:rPr>
          <w:sz w:val="22"/>
          <w:szCs w:val="22"/>
        </w:rPr>
        <w:t>.</w:t>
      </w:r>
      <w:r>
        <w:rPr>
          <w:sz w:val="22"/>
          <w:szCs w:val="22"/>
        </w:rPr>
        <w:t xml:space="preserve"> </w:t>
      </w:r>
    </w:p>
    <w:p w14:paraId="0BDFF24B" w14:textId="77777777" w:rsidR="00862114" w:rsidRDefault="005C5AA6">
      <w:pPr>
        <w:pBdr>
          <w:top w:val="nil"/>
          <w:left w:val="nil"/>
          <w:bottom w:val="nil"/>
          <w:right w:val="nil"/>
          <w:between w:val="nil"/>
        </w:pBdr>
        <w:spacing w:before="120" w:after="120" w:line="360" w:lineRule="auto"/>
        <w:ind w:firstLine="426"/>
        <w:jc w:val="both"/>
        <w:rPr>
          <w:sz w:val="22"/>
          <w:szCs w:val="22"/>
        </w:rPr>
      </w:pPr>
      <w:r>
        <w:rPr>
          <w:sz w:val="22"/>
          <w:szCs w:val="22"/>
        </w:rPr>
        <w:t xml:space="preserve">Eq. 1 </w:t>
      </w:r>
      <w:proofErr w:type="gramStart"/>
      <w:r>
        <w:rPr>
          <w:sz w:val="22"/>
          <w:szCs w:val="22"/>
        </w:rPr>
        <w:tab/>
        <w:t xml:space="preserve">  2</w:t>
      </w:r>
      <w:proofErr w:type="gramEnd"/>
      <w:r>
        <w:rPr>
          <w:sz w:val="22"/>
          <w:szCs w:val="22"/>
        </w:rPr>
        <w:t xml:space="preserve"> (Cu(CH</w:t>
      </w:r>
      <w:r>
        <w:rPr>
          <w:sz w:val="22"/>
          <w:szCs w:val="22"/>
          <w:vertAlign w:val="subscript"/>
        </w:rPr>
        <w:t>3</w:t>
      </w:r>
      <w:r>
        <w:rPr>
          <w:sz w:val="22"/>
          <w:szCs w:val="22"/>
        </w:rPr>
        <w:t>COO)</w:t>
      </w:r>
      <w:r>
        <w:rPr>
          <w:sz w:val="22"/>
          <w:szCs w:val="22"/>
          <w:vertAlign w:val="subscript"/>
        </w:rPr>
        <w:t>2</w:t>
      </w:r>
      <w:r>
        <w:rPr>
          <w:sz w:val="22"/>
          <w:szCs w:val="22"/>
        </w:rPr>
        <w:t xml:space="preserve"> </w:t>
      </w:r>
      <m:oMath>
        <m:r>
          <w:rPr>
            <w:rFonts w:ascii="Cambria Math" w:hAnsi="Cambria Math"/>
          </w:rPr>
          <m:t>→</m:t>
        </m:r>
      </m:oMath>
      <w:r>
        <w:rPr>
          <w:sz w:val="22"/>
          <w:szCs w:val="22"/>
        </w:rPr>
        <w:t xml:space="preserve">   2 Cu</w:t>
      </w:r>
      <w:r>
        <w:rPr>
          <w:sz w:val="22"/>
          <w:szCs w:val="22"/>
          <w:vertAlign w:val="superscript"/>
        </w:rPr>
        <w:t>2+</w:t>
      </w:r>
      <w:r>
        <w:rPr>
          <w:sz w:val="22"/>
          <w:szCs w:val="22"/>
        </w:rPr>
        <w:t xml:space="preserve">   +  4 CH</w:t>
      </w:r>
      <w:r>
        <w:rPr>
          <w:sz w:val="22"/>
          <w:szCs w:val="22"/>
          <w:vertAlign w:val="subscript"/>
        </w:rPr>
        <w:t>3</w:t>
      </w:r>
      <w:r>
        <w:rPr>
          <w:sz w:val="22"/>
          <w:szCs w:val="22"/>
        </w:rPr>
        <w:t>COO- + 2 H</w:t>
      </w:r>
      <w:r>
        <w:rPr>
          <w:sz w:val="22"/>
          <w:szCs w:val="22"/>
          <w:vertAlign w:val="superscript"/>
        </w:rPr>
        <w:t>+</w:t>
      </w:r>
      <w:r>
        <w:rPr>
          <w:sz w:val="22"/>
          <w:szCs w:val="22"/>
        </w:rPr>
        <w:t>)</w:t>
      </w:r>
    </w:p>
    <w:p w14:paraId="295ED3FB" w14:textId="77777777" w:rsidR="00862114" w:rsidRDefault="005C5AA6">
      <w:pPr>
        <w:pBdr>
          <w:top w:val="nil"/>
          <w:left w:val="nil"/>
          <w:bottom w:val="nil"/>
          <w:right w:val="nil"/>
          <w:between w:val="nil"/>
        </w:pBdr>
        <w:spacing w:before="120" w:after="120" w:line="360" w:lineRule="auto"/>
        <w:ind w:firstLine="426"/>
        <w:jc w:val="both"/>
        <w:rPr>
          <w:sz w:val="22"/>
          <w:szCs w:val="22"/>
        </w:rPr>
      </w:pPr>
      <w:r>
        <w:rPr>
          <w:sz w:val="22"/>
          <w:szCs w:val="22"/>
        </w:rPr>
        <w:t>Eq. 2</w:t>
      </w:r>
      <w:r>
        <w:rPr>
          <w:sz w:val="22"/>
          <w:szCs w:val="22"/>
        </w:rPr>
        <w:tab/>
        <w:t xml:space="preserve"> 4 (CH</w:t>
      </w:r>
      <w:r>
        <w:rPr>
          <w:sz w:val="22"/>
          <w:szCs w:val="22"/>
          <w:vertAlign w:val="subscript"/>
        </w:rPr>
        <w:t>3</w:t>
      </w:r>
      <w:r>
        <w:rPr>
          <w:sz w:val="22"/>
          <w:szCs w:val="22"/>
        </w:rPr>
        <w:t>COO</w:t>
      </w:r>
      <w:r>
        <w:rPr>
          <w:sz w:val="22"/>
          <w:szCs w:val="22"/>
          <w:vertAlign w:val="superscript"/>
        </w:rPr>
        <w:t>-</w:t>
      </w:r>
      <w:r>
        <w:rPr>
          <w:sz w:val="22"/>
          <w:szCs w:val="22"/>
        </w:rPr>
        <w:t xml:space="preserve"> </w:t>
      </w:r>
      <w:proofErr w:type="gramStart"/>
      <w:r>
        <w:rPr>
          <w:sz w:val="22"/>
          <w:szCs w:val="22"/>
        </w:rPr>
        <w:t>+  H</w:t>
      </w:r>
      <w:r>
        <w:rPr>
          <w:sz w:val="22"/>
          <w:szCs w:val="22"/>
          <w:vertAlign w:val="subscript"/>
        </w:rPr>
        <w:t>2</w:t>
      </w:r>
      <w:r>
        <w:rPr>
          <w:sz w:val="22"/>
          <w:szCs w:val="22"/>
        </w:rPr>
        <w:t>O</w:t>
      </w:r>
      <w:proofErr w:type="gramEnd"/>
      <w:r>
        <w:rPr>
          <w:sz w:val="22"/>
          <w:szCs w:val="22"/>
        </w:rPr>
        <w:t xml:space="preserve"> </w:t>
      </w:r>
      <m:oMath>
        <m:r>
          <w:rPr>
            <w:rFonts w:ascii="Cambria Math" w:hAnsi="Cambria Math"/>
          </w:rPr>
          <m:t>→</m:t>
        </m:r>
      </m:oMath>
      <w:r>
        <w:rPr>
          <w:sz w:val="22"/>
          <w:szCs w:val="22"/>
        </w:rPr>
        <w:t xml:space="preserve">  CH</w:t>
      </w:r>
      <w:r>
        <w:rPr>
          <w:sz w:val="22"/>
          <w:szCs w:val="22"/>
          <w:vertAlign w:val="subscript"/>
        </w:rPr>
        <w:t>3</w:t>
      </w:r>
      <w:r>
        <w:rPr>
          <w:sz w:val="22"/>
          <w:szCs w:val="22"/>
        </w:rPr>
        <w:t>COOH  +  OH</w:t>
      </w:r>
      <w:r>
        <w:rPr>
          <w:sz w:val="22"/>
          <w:szCs w:val="22"/>
          <w:vertAlign w:val="superscript"/>
        </w:rPr>
        <w:t>-</w:t>
      </w:r>
      <w:r>
        <w:rPr>
          <w:sz w:val="22"/>
          <w:szCs w:val="22"/>
        </w:rPr>
        <w:t>)</w:t>
      </w:r>
    </w:p>
    <w:p w14:paraId="35F70885" w14:textId="77777777" w:rsidR="00862114" w:rsidRPr="008319B7" w:rsidRDefault="005C5AA6">
      <w:pPr>
        <w:pBdr>
          <w:top w:val="nil"/>
          <w:left w:val="nil"/>
          <w:bottom w:val="nil"/>
          <w:right w:val="nil"/>
          <w:between w:val="nil"/>
        </w:pBdr>
        <w:spacing w:before="120" w:after="120" w:line="360" w:lineRule="auto"/>
        <w:ind w:firstLine="426"/>
        <w:jc w:val="both"/>
        <w:rPr>
          <w:sz w:val="22"/>
          <w:szCs w:val="22"/>
          <w:lang w:val="es-AR"/>
        </w:rPr>
      </w:pPr>
      <w:r w:rsidRPr="008319B7">
        <w:rPr>
          <w:sz w:val="22"/>
          <w:szCs w:val="22"/>
          <w:lang w:val="es-AR"/>
        </w:rPr>
        <w:t>Eq. 3           2 Cu</w:t>
      </w:r>
      <w:r w:rsidRPr="008319B7">
        <w:rPr>
          <w:sz w:val="22"/>
          <w:szCs w:val="22"/>
          <w:vertAlign w:val="superscript"/>
          <w:lang w:val="es-AR"/>
        </w:rPr>
        <w:t>2+</w:t>
      </w:r>
      <w:r w:rsidRPr="008319B7">
        <w:rPr>
          <w:sz w:val="22"/>
          <w:szCs w:val="22"/>
          <w:lang w:val="es-AR"/>
        </w:rPr>
        <w:t xml:space="preserve">   + 2e</w:t>
      </w:r>
      <w:r w:rsidRPr="008319B7">
        <w:rPr>
          <w:sz w:val="22"/>
          <w:szCs w:val="22"/>
          <w:vertAlign w:val="superscript"/>
          <w:lang w:val="es-AR"/>
        </w:rPr>
        <w:t>-</w:t>
      </w:r>
      <w:r w:rsidRPr="008319B7">
        <w:rPr>
          <w:sz w:val="22"/>
          <w:szCs w:val="22"/>
          <w:lang w:val="es-AR"/>
        </w:rPr>
        <w:t xml:space="preserve"> + H</w:t>
      </w:r>
      <w:r w:rsidRPr="008319B7">
        <w:rPr>
          <w:sz w:val="22"/>
          <w:szCs w:val="22"/>
          <w:vertAlign w:val="subscript"/>
          <w:lang w:val="es-AR"/>
        </w:rPr>
        <w:t>2</w:t>
      </w:r>
      <w:r w:rsidRPr="008319B7">
        <w:rPr>
          <w:sz w:val="22"/>
          <w:szCs w:val="22"/>
          <w:lang w:val="es-AR"/>
        </w:rPr>
        <w:t xml:space="preserve">O </w:t>
      </w:r>
      <m:oMath>
        <m:r>
          <w:rPr>
            <w:rFonts w:ascii="Cambria Math" w:hAnsi="Cambria Math"/>
            <w:lang w:val="es-AR"/>
          </w:rPr>
          <m:t>→</m:t>
        </m:r>
      </m:oMath>
      <w:r w:rsidRPr="008319B7">
        <w:rPr>
          <w:sz w:val="22"/>
          <w:szCs w:val="22"/>
          <w:lang w:val="es-AR"/>
        </w:rPr>
        <w:t xml:space="preserve">  Cu</w:t>
      </w:r>
      <w:r w:rsidRPr="008319B7">
        <w:rPr>
          <w:sz w:val="22"/>
          <w:szCs w:val="22"/>
          <w:vertAlign w:val="subscript"/>
          <w:lang w:val="es-AR"/>
        </w:rPr>
        <w:t>2</w:t>
      </w:r>
      <w:r w:rsidRPr="008319B7">
        <w:rPr>
          <w:sz w:val="22"/>
          <w:szCs w:val="22"/>
          <w:lang w:val="es-AR"/>
        </w:rPr>
        <w:t xml:space="preserve">O </w:t>
      </w:r>
      <w:proofErr w:type="gramStart"/>
      <w:r w:rsidRPr="008319B7">
        <w:rPr>
          <w:sz w:val="22"/>
          <w:szCs w:val="22"/>
          <w:lang w:val="es-AR"/>
        </w:rPr>
        <w:t>+  2</w:t>
      </w:r>
      <w:proofErr w:type="gramEnd"/>
      <w:r w:rsidRPr="008319B7">
        <w:rPr>
          <w:sz w:val="22"/>
          <w:szCs w:val="22"/>
          <w:lang w:val="es-AR"/>
        </w:rPr>
        <w:t>H</w:t>
      </w:r>
      <w:r w:rsidRPr="008319B7">
        <w:rPr>
          <w:sz w:val="22"/>
          <w:szCs w:val="22"/>
          <w:vertAlign w:val="superscript"/>
          <w:lang w:val="es-AR"/>
        </w:rPr>
        <w:t>+</w:t>
      </w:r>
      <w:r w:rsidRPr="008319B7">
        <w:rPr>
          <w:sz w:val="22"/>
          <w:szCs w:val="22"/>
          <w:lang w:val="es-AR"/>
        </w:rPr>
        <w:t xml:space="preserve"> </w:t>
      </w:r>
    </w:p>
    <w:p w14:paraId="610EA2F7" w14:textId="77777777" w:rsidR="00862114" w:rsidRPr="008319B7" w:rsidRDefault="005C5AA6">
      <w:pPr>
        <w:pBdr>
          <w:top w:val="nil"/>
          <w:left w:val="nil"/>
          <w:bottom w:val="nil"/>
          <w:right w:val="nil"/>
          <w:between w:val="nil"/>
        </w:pBdr>
        <w:spacing w:before="120" w:after="120" w:line="360" w:lineRule="auto"/>
        <w:ind w:firstLine="426"/>
        <w:jc w:val="both"/>
        <w:rPr>
          <w:sz w:val="22"/>
          <w:szCs w:val="22"/>
          <w:lang w:val="es-AR"/>
        </w:rPr>
      </w:pPr>
      <w:r w:rsidRPr="008319B7">
        <w:rPr>
          <w:sz w:val="22"/>
          <w:szCs w:val="22"/>
          <w:lang w:val="es-AR"/>
        </w:rPr>
        <w:t>Eq. 4              Cu</w:t>
      </w:r>
      <w:r w:rsidRPr="008319B7">
        <w:rPr>
          <w:sz w:val="22"/>
          <w:szCs w:val="22"/>
          <w:vertAlign w:val="subscript"/>
          <w:lang w:val="es-AR"/>
        </w:rPr>
        <w:t>2</w:t>
      </w:r>
      <w:proofErr w:type="gramStart"/>
      <w:r w:rsidRPr="008319B7">
        <w:rPr>
          <w:sz w:val="22"/>
          <w:szCs w:val="22"/>
          <w:lang w:val="es-AR"/>
        </w:rPr>
        <w:t>O  +</w:t>
      </w:r>
      <w:proofErr w:type="gramEnd"/>
      <w:r w:rsidRPr="008319B7">
        <w:rPr>
          <w:sz w:val="22"/>
          <w:szCs w:val="22"/>
          <w:lang w:val="es-AR"/>
        </w:rPr>
        <w:t xml:space="preserve">  2e</w:t>
      </w:r>
      <w:r w:rsidRPr="008319B7">
        <w:rPr>
          <w:sz w:val="22"/>
          <w:szCs w:val="22"/>
          <w:vertAlign w:val="superscript"/>
          <w:lang w:val="es-AR"/>
        </w:rPr>
        <w:t>-</w:t>
      </w:r>
      <w:r w:rsidRPr="008319B7">
        <w:rPr>
          <w:sz w:val="22"/>
          <w:szCs w:val="22"/>
          <w:lang w:val="es-AR"/>
        </w:rPr>
        <w:t xml:space="preserve"> + 2H</w:t>
      </w:r>
      <w:r w:rsidRPr="008319B7">
        <w:rPr>
          <w:sz w:val="22"/>
          <w:szCs w:val="22"/>
          <w:vertAlign w:val="superscript"/>
          <w:lang w:val="es-AR"/>
        </w:rPr>
        <w:t>+</w:t>
      </w:r>
      <w:r w:rsidRPr="008319B7">
        <w:rPr>
          <w:sz w:val="22"/>
          <w:szCs w:val="22"/>
          <w:lang w:val="es-AR"/>
        </w:rPr>
        <w:t xml:space="preserve"> </w:t>
      </w:r>
      <m:oMath>
        <m:r>
          <w:rPr>
            <w:rFonts w:ascii="Cambria Math" w:hAnsi="Cambria Math"/>
            <w:lang w:val="es-AR"/>
          </w:rPr>
          <m:t>→</m:t>
        </m:r>
      </m:oMath>
      <w:r w:rsidRPr="008319B7">
        <w:rPr>
          <w:sz w:val="22"/>
          <w:szCs w:val="22"/>
          <w:lang w:val="es-AR"/>
        </w:rPr>
        <w:t xml:space="preserve">  2 Cu</w:t>
      </w:r>
      <w:r w:rsidRPr="008319B7">
        <w:rPr>
          <w:sz w:val="22"/>
          <w:szCs w:val="22"/>
          <w:vertAlign w:val="superscript"/>
          <w:lang w:val="es-AR"/>
        </w:rPr>
        <w:t>0</w:t>
      </w:r>
      <w:r w:rsidRPr="008319B7">
        <w:rPr>
          <w:sz w:val="22"/>
          <w:szCs w:val="22"/>
          <w:lang w:val="es-AR"/>
        </w:rPr>
        <w:t xml:space="preserve"> + H</w:t>
      </w:r>
      <w:r w:rsidRPr="008319B7">
        <w:rPr>
          <w:sz w:val="22"/>
          <w:szCs w:val="22"/>
          <w:vertAlign w:val="subscript"/>
          <w:lang w:val="es-AR"/>
        </w:rPr>
        <w:t>2</w:t>
      </w:r>
      <w:r w:rsidRPr="008319B7">
        <w:rPr>
          <w:sz w:val="22"/>
          <w:szCs w:val="22"/>
          <w:lang w:val="es-AR"/>
        </w:rPr>
        <w:t>O</w:t>
      </w:r>
    </w:p>
    <w:p w14:paraId="098ED6F8" w14:textId="77777777" w:rsidR="00862114" w:rsidRPr="008319B7" w:rsidRDefault="005C5AA6">
      <w:pPr>
        <w:pBdr>
          <w:top w:val="nil"/>
          <w:left w:val="nil"/>
          <w:bottom w:val="nil"/>
          <w:right w:val="nil"/>
          <w:between w:val="nil"/>
        </w:pBdr>
        <w:spacing w:before="120" w:after="120" w:line="360" w:lineRule="auto"/>
        <w:ind w:firstLine="426"/>
        <w:jc w:val="both"/>
        <w:rPr>
          <w:sz w:val="22"/>
          <w:szCs w:val="22"/>
          <w:lang w:val="es-AR"/>
        </w:rPr>
      </w:pPr>
      <w:r w:rsidRPr="008319B7">
        <w:rPr>
          <w:sz w:val="22"/>
          <w:szCs w:val="22"/>
          <w:lang w:val="es-AR"/>
        </w:rPr>
        <w:t>Eq. 5                    2 (C</w:t>
      </w:r>
      <w:r w:rsidRPr="008319B7">
        <w:rPr>
          <w:sz w:val="22"/>
          <w:szCs w:val="22"/>
          <w:vertAlign w:val="subscript"/>
          <w:lang w:val="es-AR"/>
        </w:rPr>
        <w:t>6</w:t>
      </w:r>
      <w:r w:rsidRPr="008319B7">
        <w:rPr>
          <w:sz w:val="22"/>
          <w:szCs w:val="22"/>
          <w:lang w:val="es-AR"/>
        </w:rPr>
        <w:t>H</w:t>
      </w:r>
      <w:r w:rsidRPr="008319B7">
        <w:rPr>
          <w:sz w:val="22"/>
          <w:szCs w:val="22"/>
          <w:vertAlign w:val="subscript"/>
          <w:lang w:val="es-AR"/>
        </w:rPr>
        <w:t>8</w:t>
      </w:r>
      <w:r w:rsidRPr="008319B7">
        <w:rPr>
          <w:sz w:val="22"/>
          <w:szCs w:val="22"/>
          <w:lang w:val="es-AR"/>
        </w:rPr>
        <w:t>O</w:t>
      </w:r>
      <w:r w:rsidRPr="008319B7">
        <w:rPr>
          <w:sz w:val="22"/>
          <w:szCs w:val="22"/>
          <w:vertAlign w:val="subscript"/>
          <w:lang w:val="es-AR"/>
        </w:rPr>
        <w:t>6</w:t>
      </w:r>
      <w:r w:rsidRPr="008319B7">
        <w:rPr>
          <w:sz w:val="22"/>
          <w:szCs w:val="22"/>
          <w:lang w:val="es-AR"/>
        </w:rPr>
        <w:t xml:space="preserve"> </w:t>
      </w:r>
      <m:oMath>
        <m:r>
          <w:rPr>
            <w:rFonts w:ascii="Cambria Math" w:hAnsi="Cambria Math"/>
            <w:lang w:val="es-AR"/>
          </w:rPr>
          <m:t>→</m:t>
        </m:r>
      </m:oMath>
      <w:r w:rsidRPr="008319B7">
        <w:rPr>
          <w:sz w:val="22"/>
          <w:szCs w:val="22"/>
          <w:lang w:val="es-AR"/>
        </w:rPr>
        <w:t xml:space="preserve">  C</w:t>
      </w:r>
      <w:r w:rsidRPr="008319B7">
        <w:rPr>
          <w:sz w:val="22"/>
          <w:szCs w:val="22"/>
          <w:vertAlign w:val="subscript"/>
          <w:lang w:val="es-AR"/>
        </w:rPr>
        <w:t>6</w:t>
      </w:r>
      <w:r w:rsidRPr="008319B7">
        <w:rPr>
          <w:sz w:val="22"/>
          <w:szCs w:val="22"/>
          <w:lang w:val="es-AR"/>
        </w:rPr>
        <w:t>H</w:t>
      </w:r>
      <w:r w:rsidRPr="008319B7">
        <w:rPr>
          <w:sz w:val="22"/>
          <w:szCs w:val="22"/>
          <w:vertAlign w:val="subscript"/>
          <w:lang w:val="es-AR"/>
        </w:rPr>
        <w:t>6</w:t>
      </w:r>
      <w:r w:rsidRPr="008319B7">
        <w:rPr>
          <w:sz w:val="22"/>
          <w:szCs w:val="22"/>
          <w:lang w:val="es-AR"/>
        </w:rPr>
        <w:t>O</w:t>
      </w:r>
      <w:proofErr w:type="gramStart"/>
      <w:r w:rsidRPr="008319B7">
        <w:rPr>
          <w:sz w:val="22"/>
          <w:szCs w:val="22"/>
          <w:vertAlign w:val="subscript"/>
          <w:lang w:val="es-AR"/>
        </w:rPr>
        <w:t>6</w:t>
      </w:r>
      <w:r w:rsidRPr="008319B7">
        <w:rPr>
          <w:sz w:val="22"/>
          <w:szCs w:val="22"/>
          <w:lang w:val="es-AR"/>
        </w:rPr>
        <w:t xml:space="preserve">  +</w:t>
      </w:r>
      <w:proofErr w:type="gramEnd"/>
      <w:r w:rsidRPr="008319B7">
        <w:rPr>
          <w:sz w:val="22"/>
          <w:szCs w:val="22"/>
          <w:lang w:val="es-AR"/>
        </w:rPr>
        <w:t xml:space="preserve"> 2H</w:t>
      </w:r>
      <w:r w:rsidRPr="008319B7">
        <w:rPr>
          <w:sz w:val="22"/>
          <w:szCs w:val="22"/>
          <w:vertAlign w:val="superscript"/>
          <w:lang w:val="es-AR"/>
        </w:rPr>
        <w:t>+</w:t>
      </w:r>
      <w:r w:rsidRPr="008319B7">
        <w:rPr>
          <w:sz w:val="22"/>
          <w:szCs w:val="22"/>
          <w:lang w:val="es-AR"/>
        </w:rPr>
        <w:t xml:space="preserve">  + 2e-) </w:t>
      </w:r>
    </w:p>
    <w:p w14:paraId="47D99786" w14:textId="77777777" w:rsidR="00862114" w:rsidRDefault="005C5AA6">
      <w:pPr>
        <w:pBdr>
          <w:top w:val="nil"/>
          <w:left w:val="nil"/>
          <w:bottom w:val="nil"/>
          <w:right w:val="nil"/>
          <w:between w:val="nil"/>
        </w:pBdr>
        <w:spacing w:before="120" w:after="120" w:line="360" w:lineRule="auto"/>
        <w:ind w:firstLine="426"/>
        <w:jc w:val="both"/>
        <w:rPr>
          <w:sz w:val="22"/>
          <w:szCs w:val="22"/>
        </w:rPr>
      </w:pPr>
      <w:r>
        <w:rPr>
          <w:sz w:val="22"/>
          <w:szCs w:val="22"/>
        </w:rPr>
        <w:t>Resulting</w:t>
      </w:r>
    </w:p>
    <w:p w14:paraId="0196C8B3" w14:textId="77777777" w:rsidR="00862114" w:rsidRDefault="005C5AA6">
      <w:pPr>
        <w:pBdr>
          <w:top w:val="nil"/>
          <w:left w:val="nil"/>
          <w:bottom w:val="nil"/>
          <w:right w:val="nil"/>
          <w:between w:val="nil"/>
        </w:pBdr>
        <w:spacing w:before="120" w:after="120" w:line="360" w:lineRule="auto"/>
        <w:ind w:firstLine="426"/>
        <w:jc w:val="both"/>
        <w:rPr>
          <w:sz w:val="22"/>
          <w:szCs w:val="22"/>
          <w:vertAlign w:val="subscript"/>
        </w:rPr>
      </w:pPr>
      <w:r>
        <w:rPr>
          <w:sz w:val="22"/>
          <w:szCs w:val="22"/>
        </w:rPr>
        <w:t xml:space="preserve">Eq.6      2 </w:t>
      </w:r>
      <w:proofErr w:type="gramStart"/>
      <w:r>
        <w:rPr>
          <w:sz w:val="22"/>
          <w:szCs w:val="22"/>
        </w:rPr>
        <w:t>Cu(</w:t>
      </w:r>
      <w:proofErr w:type="gramEnd"/>
      <w:r>
        <w:rPr>
          <w:sz w:val="22"/>
          <w:szCs w:val="22"/>
        </w:rPr>
        <w:t>CH</w:t>
      </w:r>
      <w:r>
        <w:rPr>
          <w:sz w:val="22"/>
          <w:szCs w:val="22"/>
          <w:vertAlign w:val="subscript"/>
        </w:rPr>
        <w:t>3</w:t>
      </w:r>
      <w:r>
        <w:rPr>
          <w:sz w:val="22"/>
          <w:szCs w:val="22"/>
        </w:rPr>
        <w:t>COOH)</w:t>
      </w:r>
      <w:r>
        <w:rPr>
          <w:sz w:val="22"/>
          <w:szCs w:val="22"/>
          <w:vertAlign w:val="subscript"/>
        </w:rPr>
        <w:t>2</w:t>
      </w:r>
      <w:r>
        <w:rPr>
          <w:sz w:val="22"/>
          <w:szCs w:val="22"/>
        </w:rPr>
        <w:t xml:space="preserve"> + 2 C</w:t>
      </w:r>
      <w:r>
        <w:rPr>
          <w:sz w:val="22"/>
          <w:szCs w:val="22"/>
          <w:vertAlign w:val="subscript"/>
        </w:rPr>
        <w:t>6</w:t>
      </w:r>
      <w:r>
        <w:rPr>
          <w:sz w:val="22"/>
          <w:szCs w:val="22"/>
        </w:rPr>
        <w:t>H</w:t>
      </w:r>
      <w:r>
        <w:rPr>
          <w:sz w:val="22"/>
          <w:szCs w:val="22"/>
          <w:vertAlign w:val="subscript"/>
        </w:rPr>
        <w:t>8</w:t>
      </w:r>
      <w:r>
        <w:rPr>
          <w:sz w:val="22"/>
          <w:szCs w:val="22"/>
        </w:rPr>
        <w:t>O</w:t>
      </w:r>
      <w:r>
        <w:rPr>
          <w:sz w:val="22"/>
          <w:szCs w:val="22"/>
          <w:vertAlign w:val="subscript"/>
        </w:rPr>
        <w:t>6</w:t>
      </w:r>
      <w:r>
        <w:rPr>
          <w:sz w:val="22"/>
          <w:szCs w:val="22"/>
        </w:rPr>
        <w:t xml:space="preserve"> </w:t>
      </w:r>
      <m:oMath>
        <m:r>
          <w:rPr>
            <w:rFonts w:ascii="Cambria Math" w:hAnsi="Cambria Math"/>
          </w:rPr>
          <m:t>→</m:t>
        </m:r>
      </m:oMath>
      <w:r>
        <w:rPr>
          <w:sz w:val="22"/>
          <w:szCs w:val="22"/>
        </w:rPr>
        <w:t xml:space="preserve">  2H</w:t>
      </w:r>
      <w:r>
        <w:rPr>
          <w:sz w:val="22"/>
          <w:szCs w:val="22"/>
          <w:vertAlign w:val="superscript"/>
        </w:rPr>
        <w:t>+</w:t>
      </w:r>
      <w:r>
        <w:rPr>
          <w:sz w:val="22"/>
          <w:szCs w:val="22"/>
        </w:rPr>
        <w:t xml:space="preserve"> + 4 CH</w:t>
      </w:r>
      <w:r>
        <w:rPr>
          <w:sz w:val="22"/>
          <w:szCs w:val="22"/>
          <w:vertAlign w:val="subscript"/>
        </w:rPr>
        <w:t>3</w:t>
      </w:r>
      <w:r>
        <w:rPr>
          <w:sz w:val="22"/>
          <w:szCs w:val="22"/>
        </w:rPr>
        <w:t>COOH + 2 Cu</w:t>
      </w:r>
      <w:r>
        <w:rPr>
          <w:sz w:val="22"/>
          <w:szCs w:val="22"/>
          <w:vertAlign w:val="superscript"/>
        </w:rPr>
        <w:t>0</w:t>
      </w:r>
      <w:r>
        <w:rPr>
          <w:sz w:val="22"/>
          <w:szCs w:val="22"/>
        </w:rPr>
        <w:t xml:space="preserve"> + 2 C</w:t>
      </w:r>
      <w:r>
        <w:rPr>
          <w:sz w:val="22"/>
          <w:szCs w:val="22"/>
          <w:vertAlign w:val="subscript"/>
        </w:rPr>
        <w:t>6</w:t>
      </w:r>
      <w:r>
        <w:rPr>
          <w:sz w:val="22"/>
          <w:szCs w:val="22"/>
        </w:rPr>
        <w:t>H</w:t>
      </w:r>
      <w:r>
        <w:rPr>
          <w:sz w:val="22"/>
          <w:szCs w:val="22"/>
          <w:vertAlign w:val="subscript"/>
        </w:rPr>
        <w:t>6</w:t>
      </w:r>
      <w:r>
        <w:rPr>
          <w:sz w:val="22"/>
          <w:szCs w:val="22"/>
        </w:rPr>
        <w:t>O</w:t>
      </w:r>
      <w:r>
        <w:rPr>
          <w:sz w:val="22"/>
          <w:szCs w:val="22"/>
          <w:vertAlign w:val="subscript"/>
        </w:rPr>
        <w:t>6</w:t>
      </w:r>
    </w:p>
    <w:p w14:paraId="109E266A" w14:textId="77777777" w:rsidR="00862114" w:rsidRDefault="00862114">
      <w:pPr>
        <w:pBdr>
          <w:top w:val="nil"/>
          <w:left w:val="nil"/>
          <w:bottom w:val="nil"/>
          <w:right w:val="nil"/>
          <w:between w:val="nil"/>
        </w:pBdr>
        <w:spacing w:before="120" w:after="120" w:line="360" w:lineRule="auto"/>
        <w:ind w:firstLine="70"/>
        <w:jc w:val="center"/>
        <w:rPr>
          <w:sz w:val="22"/>
          <w:szCs w:val="22"/>
        </w:rPr>
      </w:pPr>
    </w:p>
    <w:p w14:paraId="1E346A82" w14:textId="77777777" w:rsidR="00862114" w:rsidRDefault="005C5AA6">
      <w:pPr>
        <w:pBdr>
          <w:top w:val="nil"/>
          <w:left w:val="nil"/>
          <w:bottom w:val="nil"/>
          <w:right w:val="nil"/>
          <w:between w:val="nil"/>
        </w:pBdr>
        <w:spacing w:before="120" w:after="120" w:line="360" w:lineRule="auto"/>
        <w:ind w:firstLine="70"/>
        <w:jc w:val="center"/>
        <w:rPr>
          <w:sz w:val="22"/>
          <w:szCs w:val="22"/>
        </w:rPr>
      </w:pPr>
      <w:r>
        <w:rPr>
          <w:noProof/>
          <w:sz w:val="22"/>
          <w:szCs w:val="22"/>
        </w:rPr>
        <w:drawing>
          <wp:inline distT="114300" distB="114300" distL="114300" distR="114300" wp14:anchorId="0C6FD268" wp14:editId="38E7A2EB">
            <wp:extent cx="5597850" cy="10541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597850" cy="1054100"/>
                    </a:xfrm>
                    <a:prstGeom prst="rect">
                      <a:avLst/>
                    </a:prstGeom>
                    <a:ln/>
                  </pic:spPr>
                </pic:pic>
              </a:graphicData>
            </a:graphic>
          </wp:inline>
        </w:drawing>
      </w:r>
    </w:p>
    <w:p w14:paraId="5BE6AC78" w14:textId="77777777" w:rsidR="00862114" w:rsidRDefault="005C5AA6">
      <w:pPr>
        <w:pBdr>
          <w:top w:val="nil"/>
          <w:left w:val="nil"/>
          <w:bottom w:val="nil"/>
          <w:right w:val="nil"/>
          <w:between w:val="nil"/>
        </w:pBdr>
        <w:spacing w:before="120" w:after="120" w:line="360" w:lineRule="auto"/>
        <w:ind w:firstLine="70"/>
        <w:jc w:val="center"/>
        <w:rPr>
          <w:sz w:val="22"/>
          <w:szCs w:val="22"/>
        </w:rPr>
      </w:pPr>
      <w:r>
        <w:rPr>
          <w:b/>
          <w:sz w:val="22"/>
          <w:szCs w:val="22"/>
        </w:rPr>
        <w:t xml:space="preserve"> Figure S1.</w:t>
      </w:r>
      <w:r>
        <w:rPr>
          <w:sz w:val="22"/>
          <w:szCs w:val="22"/>
        </w:rPr>
        <w:t xml:space="preserve"> Colour evolution during the in situ CuNPs synthesis on the cellulose beads.</w:t>
      </w:r>
    </w:p>
    <w:p w14:paraId="3B73525F" w14:textId="77777777" w:rsidR="00862114" w:rsidRDefault="00862114">
      <w:pPr>
        <w:pBdr>
          <w:top w:val="nil"/>
          <w:left w:val="nil"/>
          <w:bottom w:val="nil"/>
          <w:right w:val="nil"/>
          <w:between w:val="nil"/>
        </w:pBdr>
        <w:spacing w:before="120" w:after="120" w:line="360" w:lineRule="auto"/>
        <w:ind w:firstLine="70"/>
        <w:jc w:val="center"/>
        <w:rPr>
          <w:sz w:val="22"/>
          <w:szCs w:val="22"/>
        </w:rPr>
      </w:pPr>
    </w:p>
    <w:p w14:paraId="75BE2BB9" w14:textId="77777777" w:rsidR="00862114" w:rsidRDefault="005C5AA6">
      <w:pPr>
        <w:spacing w:before="240" w:after="240" w:line="276" w:lineRule="auto"/>
        <w:ind w:firstLine="280"/>
        <w:jc w:val="both"/>
        <w:rPr>
          <w:strike/>
          <w:sz w:val="22"/>
          <w:szCs w:val="22"/>
        </w:rPr>
      </w:pPr>
      <w:r>
        <w:rPr>
          <w:b/>
        </w:rPr>
        <w:t>Table</w:t>
      </w:r>
      <w:r>
        <w:rPr>
          <w:b/>
          <w:sz w:val="22"/>
          <w:szCs w:val="22"/>
        </w:rPr>
        <w:t xml:space="preserve"> S1.</w:t>
      </w:r>
      <w:r>
        <w:rPr>
          <w:sz w:val="22"/>
          <w:szCs w:val="22"/>
        </w:rPr>
        <w:t xml:space="preserve"> Preliminary reported and not-reported own results</w:t>
      </w:r>
    </w:p>
    <w:tbl>
      <w:tblPr>
        <w:tblStyle w:val="a5"/>
        <w:tblW w:w="9795"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198"/>
        <w:gridCol w:w="1701"/>
        <w:gridCol w:w="1701"/>
        <w:gridCol w:w="1418"/>
        <w:gridCol w:w="2777"/>
      </w:tblGrid>
      <w:tr w:rsidR="00862114" w14:paraId="13AD87C4" w14:textId="77777777" w:rsidTr="00DF570E">
        <w:trPr>
          <w:trHeight w:val="1072"/>
        </w:trPr>
        <w:tc>
          <w:tcPr>
            <w:tcW w:w="2198"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1BA0405C" w14:textId="77777777" w:rsidR="00862114" w:rsidRDefault="005C5AA6" w:rsidP="008319B7">
            <w:pPr>
              <w:spacing w:before="120" w:line="276" w:lineRule="auto"/>
              <w:jc w:val="center"/>
              <w:rPr>
                <w:b/>
                <w:sz w:val="24"/>
                <w:szCs w:val="24"/>
              </w:rPr>
            </w:pPr>
            <w:r>
              <w:rPr>
                <w:b/>
                <w:sz w:val="24"/>
                <w:szCs w:val="24"/>
              </w:rPr>
              <w:lastRenderedPageBreak/>
              <w:t>Catalysts</w:t>
            </w:r>
          </w:p>
        </w:tc>
        <w:tc>
          <w:tcPr>
            <w:tcW w:w="1701"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6DD1CF7A" w14:textId="77777777" w:rsidR="00862114" w:rsidRDefault="005C5AA6" w:rsidP="008319B7">
            <w:pPr>
              <w:spacing w:before="120" w:line="276" w:lineRule="auto"/>
              <w:jc w:val="center"/>
              <w:rPr>
                <w:b/>
                <w:sz w:val="24"/>
                <w:szCs w:val="24"/>
              </w:rPr>
            </w:pPr>
            <w:r>
              <w:rPr>
                <w:b/>
                <w:sz w:val="24"/>
                <w:szCs w:val="24"/>
              </w:rPr>
              <w:t>Phenol conversion (%)</w:t>
            </w:r>
          </w:p>
        </w:tc>
        <w:tc>
          <w:tcPr>
            <w:tcW w:w="1701"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25117528" w14:textId="77777777" w:rsidR="00862114" w:rsidRDefault="005C5AA6" w:rsidP="008319B7">
            <w:pPr>
              <w:spacing w:before="120" w:line="276" w:lineRule="auto"/>
              <w:jc w:val="center"/>
              <w:rPr>
                <w:b/>
                <w:sz w:val="24"/>
                <w:szCs w:val="24"/>
              </w:rPr>
            </w:pPr>
            <w:r>
              <w:rPr>
                <w:b/>
                <w:sz w:val="24"/>
                <w:szCs w:val="24"/>
              </w:rPr>
              <w:t>TOC conversion (%)</w:t>
            </w:r>
          </w:p>
        </w:tc>
        <w:tc>
          <w:tcPr>
            <w:tcW w:w="1418"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29C8407F" w14:textId="77777777" w:rsidR="00862114" w:rsidRDefault="005C5AA6" w:rsidP="008319B7">
            <w:pPr>
              <w:spacing w:before="120" w:line="276" w:lineRule="auto"/>
              <w:jc w:val="center"/>
              <w:rPr>
                <w:b/>
                <w:sz w:val="24"/>
                <w:szCs w:val="24"/>
              </w:rPr>
            </w:pPr>
            <w:r>
              <w:rPr>
                <w:b/>
                <w:sz w:val="24"/>
                <w:szCs w:val="24"/>
              </w:rPr>
              <w:t>Cu content (%)</w:t>
            </w:r>
          </w:p>
        </w:tc>
        <w:tc>
          <w:tcPr>
            <w:tcW w:w="2777"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025F0E20" w14:textId="6D9CBFFC" w:rsidR="00862114" w:rsidRDefault="005C5AA6" w:rsidP="008319B7">
            <w:pPr>
              <w:spacing w:before="120" w:line="276" w:lineRule="auto"/>
              <w:jc w:val="center"/>
              <w:rPr>
                <w:b/>
                <w:sz w:val="24"/>
                <w:szCs w:val="24"/>
                <w:highlight w:val="green"/>
              </w:rPr>
            </w:pPr>
            <w:r w:rsidRPr="00DF570E">
              <w:rPr>
                <w:b/>
                <w:sz w:val="24"/>
                <w:szCs w:val="24"/>
              </w:rPr>
              <w:t>Reference</w:t>
            </w:r>
            <w:r w:rsidR="008319B7" w:rsidRPr="00DF570E">
              <w:rPr>
                <w:b/>
                <w:sz w:val="24"/>
                <w:szCs w:val="24"/>
              </w:rPr>
              <w:t>s</w:t>
            </w:r>
          </w:p>
        </w:tc>
      </w:tr>
      <w:tr w:rsidR="00862114" w14:paraId="5E8AEDCA" w14:textId="77777777" w:rsidTr="00DF570E">
        <w:trPr>
          <w:trHeight w:val="397"/>
        </w:trPr>
        <w:tc>
          <w:tcPr>
            <w:tcW w:w="2198" w:type="dxa"/>
            <w:tcBorders>
              <w:top w:val="nil"/>
              <w:left w:val="nil"/>
              <w:bottom w:val="single" w:sz="8" w:space="0" w:color="000000"/>
              <w:right w:val="nil"/>
            </w:tcBorders>
            <w:tcMar>
              <w:top w:w="100" w:type="dxa"/>
              <w:left w:w="100" w:type="dxa"/>
              <w:bottom w:w="100" w:type="dxa"/>
              <w:right w:w="100" w:type="dxa"/>
            </w:tcMar>
            <w:vAlign w:val="center"/>
          </w:tcPr>
          <w:p w14:paraId="033E2F25" w14:textId="77777777" w:rsidR="00862114" w:rsidRDefault="005C5AA6" w:rsidP="008319B7">
            <w:pPr>
              <w:jc w:val="center"/>
              <w:rPr>
                <w:sz w:val="24"/>
                <w:szCs w:val="24"/>
                <w:vertAlign w:val="superscript"/>
              </w:rPr>
            </w:pPr>
            <w:r>
              <w:rPr>
                <w:sz w:val="24"/>
                <w:szCs w:val="24"/>
              </w:rPr>
              <w:t>NPs/Cu/SiO</w:t>
            </w:r>
            <w:r>
              <w:rPr>
                <w:sz w:val="24"/>
                <w:szCs w:val="24"/>
                <w:vertAlign w:val="subscript"/>
              </w:rPr>
              <w:t>2</w:t>
            </w:r>
            <w:r>
              <w:rPr>
                <w:sz w:val="24"/>
                <w:szCs w:val="24"/>
              </w:rPr>
              <w:t xml:space="preserve"> 500</w:t>
            </w:r>
            <w:r>
              <w:rPr>
                <w:sz w:val="24"/>
                <w:szCs w:val="24"/>
                <w:vertAlign w:val="superscript"/>
              </w:rPr>
              <w:t>(1)</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03A346C2" w14:textId="77777777" w:rsidR="00862114" w:rsidRDefault="005C5AA6" w:rsidP="008319B7">
            <w:pPr>
              <w:jc w:val="center"/>
              <w:rPr>
                <w:sz w:val="24"/>
                <w:szCs w:val="24"/>
              </w:rPr>
            </w:pPr>
            <w:r>
              <w:rPr>
                <w:sz w:val="24"/>
                <w:szCs w:val="24"/>
              </w:rPr>
              <w:t>100</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29DE2951" w14:textId="77777777" w:rsidR="00862114" w:rsidRDefault="005C5AA6" w:rsidP="008319B7">
            <w:pPr>
              <w:jc w:val="center"/>
              <w:rPr>
                <w:sz w:val="24"/>
                <w:szCs w:val="24"/>
              </w:rPr>
            </w:pPr>
            <w:r>
              <w:rPr>
                <w:sz w:val="24"/>
                <w:szCs w:val="24"/>
              </w:rPr>
              <w:t>73.0</w:t>
            </w:r>
          </w:p>
        </w:tc>
        <w:tc>
          <w:tcPr>
            <w:tcW w:w="1418" w:type="dxa"/>
            <w:tcBorders>
              <w:top w:val="nil"/>
              <w:left w:val="nil"/>
              <w:bottom w:val="single" w:sz="8" w:space="0" w:color="000000"/>
              <w:right w:val="nil"/>
            </w:tcBorders>
            <w:tcMar>
              <w:top w:w="100" w:type="dxa"/>
              <w:left w:w="100" w:type="dxa"/>
              <w:bottom w:w="100" w:type="dxa"/>
              <w:right w:w="100" w:type="dxa"/>
            </w:tcMar>
            <w:vAlign w:val="center"/>
          </w:tcPr>
          <w:p w14:paraId="4AE3D2AC" w14:textId="77777777" w:rsidR="00862114" w:rsidRDefault="005C5AA6" w:rsidP="008319B7">
            <w:pPr>
              <w:jc w:val="center"/>
              <w:rPr>
                <w:sz w:val="24"/>
                <w:szCs w:val="24"/>
              </w:rPr>
            </w:pPr>
            <w:r>
              <w:rPr>
                <w:sz w:val="24"/>
                <w:szCs w:val="24"/>
              </w:rPr>
              <w:t>0.85</w:t>
            </w:r>
          </w:p>
        </w:tc>
        <w:tc>
          <w:tcPr>
            <w:tcW w:w="2777" w:type="dxa"/>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2115DB4D" w14:textId="77777777" w:rsidR="00862114" w:rsidRPr="00DF570E" w:rsidRDefault="005C5AA6" w:rsidP="008319B7">
            <w:pPr>
              <w:jc w:val="center"/>
              <w:rPr>
                <w:sz w:val="24"/>
                <w:szCs w:val="24"/>
              </w:rPr>
            </w:pPr>
            <w:r w:rsidRPr="00DF570E">
              <w:rPr>
                <w:sz w:val="24"/>
                <w:szCs w:val="24"/>
              </w:rPr>
              <w:t>Unpublished results</w:t>
            </w:r>
          </w:p>
        </w:tc>
      </w:tr>
      <w:tr w:rsidR="00862114" w14:paraId="7FC1EC81" w14:textId="77777777" w:rsidTr="00DF570E">
        <w:trPr>
          <w:trHeight w:val="397"/>
        </w:trPr>
        <w:tc>
          <w:tcPr>
            <w:tcW w:w="2198" w:type="dxa"/>
            <w:tcBorders>
              <w:top w:val="nil"/>
              <w:left w:val="nil"/>
              <w:bottom w:val="single" w:sz="8" w:space="0" w:color="000000"/>
              <w:right w:val="nil"/>
            </w:tcBorders>
            <w:tcMar>
              <w:top w:w="100" w:type="dxa"/>
              <w:left w:w="100" w:type="dxa"/>
              <w:bottom w:w="100" w:type="dxa"/>
              <w:right w:w="100" w:type="dxa"/>
            </w:tcMar>
            <w:vAlign w:val="center"/>
          </w:tcPr>
          <w:p w14:paraId="12D14FE7" w14:textId="77777777" w:rsidR="00862114" w:rsidRDefault="005C5AA6" w:rsidP="008319B7">
            <w:pPr>
              <w:jc w:val="center"/>
              <w:rPr>
                <w:sz w:val="24"/>
                <w:szCs w:val="24"/>
                <w:vertAlign w:val="superscript"/>
              </w:rPr>
            </w:pPr>
            <w:r>
              <w:rPr>
                <w:sz w:val="24"/>
                <w:szCs w:val="24"/>
              </w:rPr>
              <w:t>NPs/Cu/Al</w:t>
            </w:r>
            <w:r>
              <w:rPr>
                <w:sz w:val="24"/>
                <w:szCs w:val="24"/>
                <w:vertAlign w:val="subscript"/>
              </w:rPr>
              <w:t>2</w:t>
            </w:r>
            <w:r>
              <w:rPr>
                <w:sz w:val="24"/>
                <w:szCs w:val="24"/>
              </w:rPr>
              <w:t>O</w:t>
            </w:r>
            <w:r>
              <w:rPr>
                <w:sz w:val="24"/>
                <w:szCs w:val="24"/>
                <w:vertAlign w:val="subscript"/>
              </w:rPr>
              <w:t xml:space="preserve">3 </w:t>
            </w:r>
            <w:r>
              <w:rPr>
                <w:sz w:val="24"/>
                <w:szCs w:val="24"/>
              </w:rPr>
              <w:t>500</w:t>
            </w:r>
            <w:r>
              <w:rPr>
                <w:sz w:val="24"/>
                <w:szCs w:val="24"/>
                <w:vertAlign w:val="superscript"/>
              </w:rPr>
              <w:t>(1)</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02F30B84" w14:textId="77777777" w:rsidR="00862114" w:rsidRDefault="005C5AA6" w:rsidP="008319B7">
            <w:pPr>
              <w:jc w:val="center"/>
              <w:rPr>
                <w:sz w:val="24"/>
                <w:szCs w:val="24"/>
              </w:rPr>
            </w:pPr>
            <w:r>
              <w:rPr>
                <w:sz w:val="24"/>
                <w:szCs w:val="24"/>
              </w:rPr>
              <w:t>100</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410D7C14" w14:textId="77777777" w:rsidR="00862114" w:rsidRDefault="005C5AA6" w:rsidP="008319B7">
            <w:pPr>
              <w:jc w:val="center"/>
              <w:rPr>
                <w:sz w:val="24"/>
                <w:szCs w:val="24"/>
              </w:rPr>
            </w:pPr>
            <w:r>
              <w:rPr>
                <w:sz w:val="24"/>
                <w:szCs w:val="24"/>
              </w:rPr>
              <w:t>56.0</w:t>
            </w:r>
          </w:p>
        </w:tc>
        <w:tc>
          <w:tcPr>
            <w:tcW w:w="1418" w:type="dxa"/>
            <w:tcBorders>
              <w:top w:val="nil"/>
              <w:left w:val="nil"/>
              <w:bottom w:val="single" w:sz="8" w:space="0" w:color="000000"/>
              <w:right w:val="nil"/>
            </w:tcBorders>
            <w:tcMar>
              <w:top w:w="100" w:type="dxa"/>
              <w:left w:w="100" w:type="dxa"/>
              <w:bottom w:w="100" w:type="dxa"/>
              <w:right w:w="100" w:type="dxa"/>
            </w:tcMar>
            <w:vAlign w:val="center"/>
          </w:tcPr>
          <w:p w14:paraId="3D5DDCCA" w14:textId="77777777" w:rsidR="00862114" w:rsidRDefault="005C5AA6" w:rsidP="008319B7">
            <w:pPr>
              <w:jc w:val="center"/>
              <w:rPr>
                <w:sz w:val="24"/>
                <w:szCs w:val="24"/>
              </w:rPr>
            </w:pPr>
            <w:r>
              <w:rPr>
                <w:sz w:val="24"/>
                <w:szCs w:val="24"/>
              </w:rPr>
              <w:t>0.30</w:t>
            </w:r>
          </w:p>
        </w:tc>
        <w:tc>
          <w:tcPr>
            <w:tcW w:w="2777" w:type="dxa"/>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4EC13D6" w14:textId="77777777" w:rsidR="00862114" w:rsidRPr="00DF570E" w:rsidRDefault="005C5AA6" w:rsidP="008319B7">
            <w:pPr>
              <w:jc w:val="center"/>
              <w:rPr>
                <w:sz w:val="24"/>
                <w:szCs w:val="24"/>
              </w:rPr>
            </w:pPr>
            <w:r w:rsidRPr="00DF570E">
              <w:rPr>
                <w:sz w:val="24"/>
                <w:szCs w:val="24"/>
              </w:rPr>
              <w:t>Unpublished results</w:t>
            </w:r>
          </w:p>
        </w:tc>
      </w:tr>
      <w:tr w:rsidR="00862114" w14:paraId="1E4E5E3E" w14:textId="77777777" w:rsidTr="00DF570E">
        <w:trPr>
          <w:trHeight w:val="397"/>
        </w:trPr>
        <w:tc>
          <w:tcPr>
            <w:tcW w:w="2198" w:type="dxa"/>
            <w:tcBorders>
              <w:top w:val="nil"/>
              <w:left w:val="nil"/>
              <w:bottom w:val="single" w:sz="8" w:space="0" w:color="000000"/>
              <w:right w:val="nil"/>
            </w:tcBorders>
            <w:tcMar>
              <w:top w:w="100" w:type="dxa"/>
              <w:left w:w="100" w:type="dxa"/>
              <w:bottom w:w="100" w:type="dxa"/>
              <w:right w:w="100" w:type="dxa"/>
            </w:tcMar>
            <w:vAlign w:val="center"/>
          </w:tcPr>
          <w:p w14:paraId="4D9B030E" w14:textId="77777777" w:rsidR="00862114" w:rsidRDefault="005C5AA6" w:rsidP="008319B7">
            <w:pPr>
              <w:jc w:val="center"/>
              <w:rPr>
                <w:sz w:val="24"/>
                <w:szCs w:val="24"/>
                <w:vertAlign w:val="superscript"/>
              </w:rPr>
            </w:pPr>
            <w:r>
              <w:rPr>
                <w:sz w:val="24"/>
                <w:szCs w:val="24"/>
              </w:rPr>
              <w:t>Cu/Al</w:t>
            </w:r>
            <w:r>
              <w:rPr>
                <w:sz w:val="24"/>
                <w:szCs w:val="24"/>
                <w:vertAlign w:val="subscript"/>
              </w:rPr>
              <w:t>2</w:t>
            </w:r>
            <w:r>
              <w:rPr>
                <w:sz w:val="24"/>
                <w:szCs w:val="24"/>
              </w:rPr>
              <w:t>O</w:t>
            </w:r>
            <w:r>
              <w:rPr>
                <w:sz w:val="24"/>
                <w:szCs w:val="24"/>
                <w:vertAlign w:val="subscript"/>
              </w:rPr>
              <w:t>3</w:t>
            </w:r>
            <w:r>
              <w:rPr>
                <w:sz w:val="24"/>
                <w:szCs w:val="24"/>
              </w:rPr>
              <w:t xml:space="preserve"> 400</w:t>
            </w:r>
            <w:r>
              <w:rPr>
                <w:sz w:val="24"/>
                <w:szCs w:val="24"/>
                <w:vertAlign w:val="superscript"/>
              </w:rPr>
              <w:t>(2)</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4ED10308" w14:textId="77777777" w:rsidR="00862114" w:rsidRDefault="005C5AA6" w:rsidP="008319B7">
            <w:pPr>
              <w:jc w:val="center"/>
              <w:rPr>
                <w:sz w:val="24"/>
                <w:szCs w:val="24"/>
              </w:rPr>
            </w:pPr>
            <w:r>
              <w:rPr>
                <w:sz w:val="24"/>
                <w:szCs w:val="24"/>
              </w:rPr>
              <w:t>100</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436E26AB" w14:textId="536D37DF" w:rsidR="00862114" w:rsidRDefault="005C5AA6" w:rsidP="008319B7">
            <w:pPr>
              <w:jc w:val="center"/>
              <w:rPr>
                <w:sz w:val="24"/>
                <w:szCs w:val="24"/>
              </w:rPr>
            </w:pPr>
            <w:r>
              <w:rPr>
                <w:sz w:val="24"/>
                <w:szCs w:val="24"/>
              </w:rPr>
              <w:t>87</w:t>
            </w:r>
            <w:r w:rsidR="008319B7">
              <w:rPr>
                <w:sz w:val="24"/>
                <w:szCs w:val="24"/>
              </w:rPr>
              <w:t>.0</w:t>
            </w:r>
          </w:p>
        </w:tc>
        <w:tc>
          <w:tcPr>
            <w:tcW w:w="1418" w:type="dxa"/>
            <w:tcBorders>
              <w:top w:val="nil"/>
              <w:left w:val="nil"/>
              <w:bottom w:val="single" w:sz="8" w:space="0" w:color="000000"/>
              <w:right w:val="nil"/>
            </w:tcBorders>
            <w:tcMar>
              <w:top w:w="100" w:type="dxa"/>
              <w:left w:w="100" w:type="dxa"/>
              <w:bottom w:w="100" w:type="dxa"/>
              <w:right w:w="100" w:type="dxa"/>
            </w:tcMar>
            <w:vAlign w:val="center"/>
          </w:tcPr>
          <w:p w14:paraId="73CE4303" w14:textId="20055548" w:rsidR="00862114" w:rsidRDefault="005C5AA6" w:rsidP="008319B7">
            <w:pPr>
              <w:jc w:val="center"/>
              <w:rPr>
                <w:sz w:val="24"/>
                <w:szCs w:val="24"/>
              </w:rPr>
            </w:pPr>
            <w:r>
              <w:rPr>
                <w:sz w:val="24"/>
                <w:szCs w:val="24"/>
              </w:rPr>
              <w:t>4.2</w:t>
            </w:r>
            <w:r w:rsidR="008319B7">
              <w:rPr>
                <w:sz w:val="24"/>
                <w:szCs w:val="24"/>
              </w:rPr>
              <w:t>0</w:t>
            </w:r>
          </w:p>
        </w:tc>
        <w:tc>
          <w:tcPr>
            <w:tcW w:w="2777" w:type="dxa"/>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4AEDC293" w14:textId="0F888D38" w:rsidR="00862114" w:rsidRPr="00DF570E" w:rsidRDefault="008319B7" w:rsidP="00DF570E">
            <w:pPr>
              <w:jc w:val="center"/>
              <w:rPr>
                <w:sz w:val="24"/>
                <w:szCs w:val="24"/>
              </w:rPr>
            </w:pPr>
            <w:r w:rsidRPr="00DF570E">
              <w:rPr>
                <w:sz w:val="24"/>
                <w:szCs w:val="24"/>
              </w:rPr>
              <w:fldChar w:fldCharType="begin" w:fldLock="1"/>
            </w:r>
            <w:r w:rsidR="002268F8" w:rsidRPr="00DF570E">
              <w:rPr>
                <w:sz w:val="24"/>
                <w:szCs w:val="24"/>
              </w:rPr>
              <w:instrText>ADDIN CSL_CITATION {"citationItems":[{"id":"ITEM-1","itemData":{"DOI":"10.1016/j.jece.2019.103201","ISSN":"22133437","abstract":"In this work the catalytic performance of Cu(5%)/Al2O3 catalysts prepared by wet impregnation and calcined at three different temperatures, 400 °C (WI 400), 650 °C (WI 650) and 900 °C (WI 900), was analyzed. These materials were tested in the phenol wet oxidation reaction using H2O2 (0.22 or 0.88 M) as an oxidizing agent, 1000 mg/L of phenol at 70 °C and atmospheric pressure. A complete conversion of phenol and a high extent of phenol mineralization were obtained for the three catalysts. Surface Cu2+ species suffered a reduction process during the catalytic reaction due to the drop of the pH value and a fraction of the reduced copper was leached to the liquid phase. Despite this, the increment in the calcination temperature produced a decrease in this reduction extent, inducing a protective effect to the Cu2+ species through the interaction between these and the support. Moreover, the existence of Cu-Al-O interactions not only diminished Cu2+ species reduction but also their leaching. Even though the WI 900 catalyst presented the lower leaching extent (36%), the remaining amount of copper in the solution still exceeded the allowed limit value for drinking water (1 mg Cu/L).","author":[{"dropping-particle":"","family":"Devard","given":"Alejandra","non-dropping-particle":"","parse-names":false,"suffix":""},{"dropping-particle":"","family":"Brussino","given":"Paula","non-dropping-particle":"","parse-names":false,"suffix":""},{"dropping-particle":"","family":"Marchesini","given":"F. Albana","non-dropping-particle":"","parse-names":false,"suffix":""},{"dropping-particle":"","family":"Ulla","given":"María Alicia","non-dropping-particle":"","parse-names":false,"suffix":""}],"container-title":"Journal of Environmental Chemical Engineering","id":"ITEM-1","issue":"4","issued":{"date-parts":[["2019"]]},"title":"Cu(5%)/Al2O3 catalytic performance on the phenol wet oxidation with H2O2: Influence of the calcination temperature","type":"article-journal","volume":"7"},"uris":["http://www.mendeley.com/documents/?uuid=476af31a-9d7c-4b28-a034-6852ff9ed6e0"]}],"mendeley":{"formattedCitation":"[2]","plainTextFormattedCitation":"[2]","previouslyFormattedCitation":"[2]"},"properties":{"noteIndex":0},"schema":"https://github.com/citation-style-language/schema/raw/master/csl-citation.json"}</w:instrText>
            </w:r>
            <w:r w:rsidRPr="00DF570E">
              <w:rPr>
                <w:sz w:val="24"/>
                <w:szCs w:val="24"/>
              </w:rPr>
              <w:fldChar w:fldCharType="separate"/>
            </w:r>
            <w:r w:rsidR="00D97CD7" w:rsidRPr="00DF570E">
              <w:rPr>
                <w:sz w:val="24"/>
                <w:szCs w:val="24"/>
              </w:rPr>
              <w:t>[2]</w:t>
            </w:r>
            <w:r w:rsidRPr="00DF570E">
              <w:rPr>
                <w:sz w:val="24"/>
                <w:szCs w:val="24"/>
              </w:rPr>
              <w:fldChar w:fldCharType="end"/>
            </w:r>
          </w:p>
        </w:tc>
      </w:tr>
      <w:tr w:rsidR="008319B7" w14:paraId="5610577A" w14:textId="77777777" w:rsidTr="00DF570E">
        <w:trPr>
          <w:trHeight w:val="397"/>
        </w:trPr>
        <w:tc>
          <w:tcPr>
            <w:tcW w:w="2198" w:type="dxa"/>
            <w:tcBorders>
              <w:top w:val="nil"/>
              <w:left w:val="nil"/>
              <w:bottom w:val="single" w:sz="8" w:space="0" w:color="000000"/>
              <w:right w:val="nil"/>
            </w:tcBorders>
            <w:tcMar>
              <w:top w:w="100" w:type="dxa"/>
              <w:left w:w="100" w:type="dxa"/>
              <w:bottom w:w="100" w:type="dxa"/>
              <w:right w:w="100" w:type="dxa"/>
            </w:tcMar>
            <w:vAlign w:val="center"/>
          </w:tcPr>
          <w:p w14:paraId="3F822606" w14:textId="77777777" w:rsidR="008319B7" w:rsidRDefault="008319B7" w:rsidP="008319B7">
            <w:pPr>
              <w:jc w:val="center"/>
              <w:rPr>
                <w:sz w:val="24"/>
                <w:szCs w:val="24"/>
                <w:vertAlign w:val="superscript"/>
              </w:rPr>
            </w:pPr>
            <w:r>
              <w:rPr>
                <w:sz w:val="24"/>
                <w:szCs w:val="24"/>
              </w:rPr>
              <w:t>Cu/Al</w:t>
            </w:r>
            <w:r>
              <w:rPr>
                <w:sz w:val="24"/>
                <w:szCs w:val="24"/>
                <w:vertAlign w:val="subscript"/>
              </w:rPr>
              <w:t>2</w:t>
            </w:r>
            <w:r>
              <w:rPr>
                <w:sz w:val="24"/>
                <w:szCs w:val="24"/>
              </w:rPr>
              <w:t>O</w:t>
            </w:r>
            <w:r>
              <w:rPr>
                <w:sz w:val="24"/>
                <w:szCs w:val="24"/>
                <w:vertAlign w:val="subscript"/>
              </w:rPr>
              <w:t>3</w:t>
            </w:r>
            <w:r>
              <w:rPr>
                <w:sz w:val="24"/>
                <w:szCs w:val="24"/>
              </w:rPr>
              <w:t xml:space="preserve"> 650</w:t>
            </w:r>
            <w:r>
              <w:rPr>
                <w:sz w:val="24"/>
                <w:szCs w:val="24"/>
                <w:vertAlign w:val="superscript"/>
              </w:rPr>
              <w:t>(3)</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7EF9822D" w14:textId="77777777" w:rsidR="008319B7" w:rsidRDefault="008319B7" w:rsidP="008319B7">
            <w:pPr>
              <w:jc w:val="center"/>
              <w:rPr>
                <w:sz w:val="24"/>
                <w:szCs w:val="24"/>
              </w:rPr>
            </w:pPr>
            <w:r>
              <w:rPr>
                <w:sz w:val="24"/>
                <w:szCs w:val="24"/>
              </w:rPr>
              <w:t>100</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4503FBEC" w14:textId="35309735" w:rsidR="008319B7" w:rsidRDefault="008319B7" w:rsidP="008319B7">
            <w:pPr>
              <w:jc w:val="center"/>
              <w:rPr>
                <w:sz w:val="24"/>
                <w:szCs w:val="24"/>
              </w:rPr>
            </w:pPr>
            <w:r>
              <w:rPr>
                <w:sz w:val="24"/>
                <w:szCs w:val="24"/>
              </w:rPr>
              <w:t>91.0</w:t>
            </w:r>
          </w:p>
        </w:tc>
        <w:tc>
          <w:tcPr>
            <w:tcW w:w="1418" w:type="dxa"/>
            <w:tcBorders>
              <w:top w:val="nil"/>
              <w:left w:val="nil"/>
              <w:bottom w:val="single" w:sz="8" w:space="0" w:color="000000"/>
              <w:right w:val="nil"/>
            </w:tcBorders>
            <w:tcMar>
              <w:top w:w="100" w:type="dxa"/>
              <w:left w:w="100" w:type="dxa"/>
              <w:bottom w:w="100" w:type="dxa"/>
              <w:right w:w="100" w:type="dxa"/>
            </w:tcMar>
            <w:vAlign w:val="center"/>
          </w:tcPr>
          <w:p w14:paraId="44E46513" w14:textId="07A57AE2" w:rsidR="008319B7" w:rsidRDefault="008319B7" w:rsidP="008319B7">
            <w:pPr>
              <w:jc w:val="center"/>
              <w:rPr>
                <w:sz w:val="24"/>
                <w:szCs w:val="24"/>
              </w:rPr>
            </w:pPr>
            <w:r>
              <w:rPr>
                <w:sz w:val="24"/>
                <w:szCs w:val="24"/>
              </w:rPr>
              <w:t>5.00</w:t>
            </w:r>
          </w:p>
        </w:tc>
        <w:tc>
          <w:tcPr>
            <w:tcW w:w="2777" w:type="dxa"/>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090669AA" w14:textId="4D435A31" w:rsidR="008319B7" w:rsidRPr="00DF570E" w:rsidRDefault="008319B7" w:rsidP="00DF570E">
            <w:pPr>
              <w:jc w:val="center"/>
              <w:rPr>
                <w:sz w:val="24"/>
                <w:szCs w:val="24"/>
              </w:rPr>
            </w:pPr>
            <w:r w:rsidRPr="00DF570E">
              <w:rPr>
                <w:sz w:val="24"/>
                <w:szCs w:val="24"/>
              </w:rPr>
              <w:fldChar w:fldCharType="begin" w:fldLock="1"/>
            </w:r>
            <w:r w:rsidR="002268F8" w:rsidRPr="00DF570E">
              <w:rPr>
                <w:sz w:val="24"/>
                <w:szCs w:val="24"/>
              </w:rPr>
              <w:instrText>ADDIN CSL_CITATION {"citationItems":[{"id":"ITEM-1","itemData":{"DOI":"10.1016/j.jece.2019.103201","ISSN":"22133437","abstract":"In this work the catalytic performance of Cu(5%)/Al2O3 catalysts prepared by wet impregnation and calcined at three different temperatures, 400 °C (WI 400), 650 °C (WI 650) and 900 °C (WI 900), was analyzed. These materials were tested in the phenol wet oxidation reaction using H2O2 (0.22 or 0.88 M) as an oxidizing agent, 1000 mg/L of phenol at 70 °C and atmospheric pressure. A complete conversion of phenol and a high extent of phenol mineralization were obtained for the three catalysts. Surface Cu2+ species suffered a reduction process during the catalytic reaction due to the drop of the pH value and a fraction of the reduced copper was leached to the liquid phase. Despite this, the increment in the calcination temperature produced a decrease in this reduction extent, inducing a protective effect to the Cu2+ species through the interaction between these and the support. Moreover, the existence of Cu-Al-O interactions not only diminished Cu2+ species reduction but also their leaching. Even though the WI 900 catalyst presented the lower leaching extent (36%), the remaining amount of copper in the solution still exceeded the allowed limit value for drinking water (1 mg Cu/L).","author":[{"dropping-particle":"","family":"Devard","given":"Alejandra","non-dropping-particle":"","parse-names":false,"suffix":""},{"dropping-particle":"","family":"Brussino","given":"Paula","non-dropping-particle":"","parse-names":false,"suffix":""},{"dropping-particle":"","family":"Marchesini","given":"F. Albana","non-dropping-particle":"","parse-names":false,"suffix":""},{"dropping-particle":"","family":"Ulla","given":"María Alicia","non-dropping-particle":"","parse-names":false,"suffix":""}],"container-title":"Journal of Environmental Chemical Engineering","id":"ITEM-1","issue":"4","issued":{"date-parts":[["2019"]]},"title":"Cu(5%)/Al2O3 catalytic performance on the phenol wet oxidation with H2O2: Influence of the calcination temperature","type":"article-journal","volume":"7"},"uris":["http://www.mendeley.com/documents/?uuid=476af31a-9d7c-4b28-a034-6852ff9ed6e0"]}],"mendeley":{"formattedCitation":"[2]","plainTextFormattedCitation":"[2]","previouslyFormattedCitation":"[2]"},"properties":{"noteIndex":0},"schema":"https://github.com/citation-style-language/schema/raw/master/csl-citation.json"}</w:instrText>
            </w:r>
            <w:r w:rsidRPr="00DF570E">
              <w:rPr>
                <w:sz w:val="24"/>
                <w:szCs w:val="24"/>
              </w:rPr>
              <w:fldChar w:fldCharType="separate"/>
            </w:r>
            <w:r w:rsidR="00D97CD7" w:rsidRPr="00DF570E">
              <w:rPr>
                <w:sz w:val="24"/>
                <w:szCs w:val="24"/>
              </w:rPr>
              <w:t>[2]</w:t>
            </w:r>
            <w:r w:rsidRPr="00DF570E">
              <w:rPr>
                <w:sz w:val="24"/>
                <w:szCs w:val="24"/>
              </w:rPr>
              <w:fldChar w:fldCharType="end"/>
            </w:r>
          </w:p>
        </w:tc>
      </w:tr>
      <w:tr w:rsidR="008319B7" w14:paraId="07145AEC" w14:textId="77777777" w:rsidTr="00DF570E">
        <w:trPr>
          <w:trHeight w:val="397"/>
        </w:trPr>
        <w:tc>
          <w:tcPr>
            <w:tcW w:w="2198" w:type="dxa"/>
            <w:tcBorders>
              <w:top w:val="nil"/>
              <w:left w:val="nil"/>
              <w:bottom w:val="single" w:sz="8" w:space="0" w:color="000000"/>
              <w:right w:val="nil"/>
            </w:tcBorders>
            <w:tcMar>
              <w:top w:w="100" w:type="dxa"/>
              <w:left w:w="100" w:type="dxa"/>
              <w:bottom w:w="100" w:type="dxa"/>
              <w:right w:w="100" w:type="dxa"/>
            </w:tcMar>
            <w:vAlign w:val="center"/>
          </w:tcPr>
          <w:p w14:paraId="4BF8D06A" w14:textId="77777777" w:rsidR="008319B7" w:rsidRDefault="008319B7" w:rsidP="008319B7">
            <w:pPr>
              <w:jc w:val="center"/>
              <w:rPr>
                <w:sz w:val="24"/>
                <w:szCs w:val="24"/>
                <w:vertAlign w:val="superscript"/>
              </w:rPr>
            </w:pPr>
            <w:r>
              <w:rPr>
                <w:sz w:val="24"/>
                <w:szCs w:val="24"/>
              </w:rPr>
              <w:t>Cu/Al</w:t>
            </w:r>
            <w:r>
              <w:rPr>
                <w:sz w:val="24"/>
                <w:szCs w:val="24"/>
                <w:vertAlign w:val="subscript"/>
              </w:rPr>
              <w:t>2</w:t>
            </w:r>
            <w:r>
              <w:rPr>
                <w:sz w:val="24"/>
                <w:szCs w:val="24"/>
              </w:rPr>
              <w:t>O</w:t>
            </w:r>
            <w:r>
              <w:rPr>
                <w:sz w:val="24"/>
                <w:szCs w:val="24"/>
                <w:vertAlign w:val="subscript"/>
              </w:rPr>
              <w:t xml:space="preserve">3 </w:t>
            </w:r>
            <w:r>
              <w:rPr>
                <w:sz w:val="24"/>
                <w:szCs w:val="24"/>
              </w:rPr>
              <w:t>900</w:t>
            </w:r>
            <w:r>
              <w:rPr>
                <w:sz w:val="24"/>
                <w:szCs w:val="24"/>
                <w:vertAlign w:val="superscript"/>
              </w:rPr>
              <w:t>(4)</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23605E55" w14:textId="77777777" w:rsidR="008319B7" w:rsidRDefault="008319B7" w:rsidP="008319B7">
            <w:pPr>
              <w:jc w:val="center"/>
              <w:rPr>
                <w:sz w:val="24"/>
                <w:szCs w:val="24"/>
              </w:rPr>
            </w:pPr>
            <w:r>
              <w:rPr>
                <w:sz w:val="24"/>
                <w:szCs w:val="24"/>
              </w:rPr>
              <w:t>100</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430FA4F7" w14:textId="77777777" w:rsidR="008319B7" w:rsidRDefault="008319B7" w:rsidP="008319B7">
            <w:pPr>
              <w:jc w:val="center"/>
              <w:rPr>
                <w:sz w:val="24"/>
                <w:szCs w:val="24"/>
              </w:rPr>
            </w:pPr>
            <w:r>
              <w:rPr>
                <w:sz w:val="24"/>
                <w:szCs w:val="24"/>
              </w:rPr>
              <w:t>86.5</w:t>
            </w:r>
          </w:p>
        </w:tc>
        <w:tc>
          <w:tcPr>
            <w:tcW w:w="1418" w:type="dxa"/>
            <w:tcBorders>
              <w:top w:val="nil"/>
              <w:left w:val="nil"/>
              <w:bottom w:val="single" w:sz="8" w:space="0" w:color="000000"/>
              <w:right w:val="nil"/>
            </w:tcBorders>
            <w:tcMar>
              <w:top w:w="100" w:type="dxa"/>
              <w:left w:w="100" w:type="dxa"/>
              <w:bottom w:w="100" w:type="dxa"/>
              <w:right w:w="100" w:type="dxa"/>
            </w:tcMar>
            <w:vAlign w:val="center"/>
          </w:tcPr>
          <w:p w14:paraId="4A387983" w14:textId="7267EDC4" w:rsidR="008319B7" w:rsidRDefault="008319B7" w:rsidP="008319B7">
            <w:pPr>
              <w:jc w:val="center"/>
              <w:rPr>
                <w:sz w:val="24"/>
                <w:szCs w:val="24"/>
              </w:rPr>
            </w:pPr>
            <w:r>
              <w:rPr>
                <w:sz w:val="24"/>
                <w:szCs w:val="24"/>
              </w:rPr>
              <w:t>5.60</w:t>
            </w:r>
          </w:p>
        </w:tc>
        <w:tc>
          <w:tcPr>
            <w:tcW w:w="2777" w:type="dxa"/>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39A7200" w14:textId="5332A9CC" w:rsidR="008319B7" w:rsidRPr="00DF570E" w:rsidRDefault="008319B7" w:rsidP="00DF570E">
            <w:pPr>
              <w:jc w:val="center"/>
              <w:rPr>
                <w:sz w:val="24"/>
                <w:szCs w:val="24"/>
              </w:rPr>
            </w:pPr>
            <w:r w:rsidRPr="00DF570E">
              <w:rPr>
                <w:sz w:val="24"/>
                <w:szCs w:val="24"/>
              </w:rPr>
              <w:fldChar w:fldCharType="begin" w:fldLock="1"/>
            </w:r>
            <w:r w:rsidR="002268F8" w:rsidRPr="00DF570E">
              <w:rPr>
                <w:sz w:val="24"/>
                <w:szCs w:val="24"/>
              </w:rPr>
              <w:instrText>ADDIN CSL_CITATION {"citationItems":[{"id":"ITEM-1","itemData":{"DOI":"10.1016/j.jece.2019.103201","ISSN":"22133437","abstract":"In this work the catalytic performance of Cu(5%)/Al2O3 catalysts prepared by wet impregnation and calcined at three different temperatures, 400 °C (WI 400), 650 °C (WI 650) and 900 °C (WI 900), was analyzed. These materials were tested in the phenol wet oxidation reaction using H2O2 (0.22 or 0.88 M) as an oxidizing agent, 1000 mg/L of phenol at 70 °C and atmospheric pressure. A complete conversion of phenol and a high extent of phenol mineralization were obtained for the three catalysts. Surface Cu2+ species suffered a reduction process during the catalytic reaction due to the drop of the pH value and a fraction of the reduced copper was leached to the liquid phase. Despite this, the increment in the calcination temperature produced a decrease in this reduction extent, inducing a protective effect to the Cu2+ species through the interaction between these and the support. Moreover, the existence of Cu-Al-O interactions not only diminished Cu2+ species reduction but also their leaching. Even though the WI 900 catalyst presented the lower leaching extent (36%), the remaining amount of copper in the solution still exceeded the allowed limit value for drinking water (1 mg Cu/L).","author":[{"dropping-particle":"","family":"Devard","given":"Alejandra","non-dropping-particle":"","parse-names":false,"suffix":""},{"dropping-particle":"","family":"Brussino","given":"Paula","non-dropping-particle":"","parse-names":false,"suffix":""},{"dropping-particle":"","family":"Marchesini","given":"F. Albana","non-dropping-particle":"","parse-names":false,"suffix":""},{"dropping-particle":"","family":"Ulla","given":"María Alicia","non-dropping-particle":"","parse-names":false,"suffix":""}],"container-title":"Journal of Environmental Chemical Engineering","id":"ITEM-1","issue":"4","issued":{"date-parts":[["2019"]]},"title":"Cu(5%)/Al2O3 catalytic performance on the phenol wet oxidation with H2O2: Influence of the calcination temperature","type":"article-journal","volume":"7"},"uris":["http://www.mendeley.com/documents/?uuid=476af31a-9d7c-4b28-a034-6852ff9ed6e0"]}],"mendeley":{"formattedCitation":"[2]","plainTextFormattedCitation":"[2]","previouslyFormattedCitation":"[2]"},"properties":{"noteIndex":0},"schema":"https://github.com/citation-style-language/schema/raw/master/csl-citation.json"}</w:instrText>
            </w:r>
            <w:r w:rsidRPr="00DF570E">
              <w:rPr>
                <w:sz w:val="24"/>
                <w:szCs w:val="24"/>
              </w:rPr>
              <w:fldChar w:fldCharType="separate"/>
            </w:r>
            <w:r w:rsidR="00D97CD7" w:rsidRPr="00DF570E">
              <w:rPr>
                <w:sz w:val="24"/>
                <w:szCs w:val="24"/>
              </w:rPr>
              <w:t>[2]</w:t>
            </w:r>
            <w:r w:rsidRPr="00DF570E">
              <w:rPr>
                <w:sz w:val="24"/>
                <w:szCs w:val="24"/>
              </w:rPr>
              <w:fldChar w:fldCharType="end"/>
            </w:r>
          </w:p>
        </w:tc>
      </w:tr>
      <w:tr w:rsidR="008319B7" w14:paraId="43FCCAB9" w14:textId="77777777" w:rsidTr="00DF570E">
        <w:trPr>
          <w:trHeight w:val="397"/>
        </w:trPr>
        <w:tc>
          <w:tcPr>
            <w:tcW w:w="2198" w:type="dxa"/>
            <w:tcBorders>
              <w:top w:val="nil"/>
              <w:left w:val="nil"/>
              <w:bottom w:val="single" w:sz="8" w:space="0" w:color="000000"/>
              <w:right w:val="nil"/>
            </w:tcBorders>
            <w:tcMar>
              <w:top w:w="100" w:type="dxa"/>
              <w:left w:w="100" w:type="dxa"/>
              <w:bottom w:w="100" w:type="dxa"/>
              <w:right w:w="100" w:type="dxa"/>
            </w:tcMar>
            <w:vAlign w:val="center"/>
          </w:tcPr>
          <w:p w14:paraId="32F0B905" w14:textId="77777777" w:rsidR="008319B7" w:rsidRDefault="008319B7" w:rsidP="008319B7">
            <w:pPr>
              <w:jc w:val="center"/>
              <w:rPr>
                <w:sz w:val="24"/>
                <w:szCs w:val="24"/>
              </w:rPr>
            </w:pPr>
            <w:r>
              <w:rPr>
                <w:sz w:val="24"/>
                <w:szCs w:val="24"/>
              </w:rPr>
              <w:t>Cu/UiO-66</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57F6D1E0" w14:textId="77777777" w:rsidR="008319B7" w:rsidRDefault="008319B7" w:rsidP="008319B7">
            <w:pPr>
              <w:jc w:val="center"/>
              <w:rPr>
                <w:sz w:val="24"/>
                <w:szCs w:val="24"/>
              </w:rPr>
            </w:pPr>
            <w:r>
              <w:rPr>
                <w:sz w:val="24"/>
                <w:szCs w:val="24"/>
              </w:rPr>
              <w:t>100</w:t>
            </w:r>
          </w:p>
        </w:tc>
        <w:tc>
          <w:tcPr>
            <w:tcW w:w="1701" w:type="dxa"/>
            <w:tcBorders>
              <w:top w:val="nil"/>
              <w:left w:val="nil"/>
              <w:bottom w:val="single" w:sz="8" w:space="0" w:color="000000"/>
              <w:right w:val="nil"/>
            </w:tcBorders>
            <w:tcMar>
              <w:top w:w="100" w:type="dxa"/>
              <w:left w:w="100" w:type="dxa"/>
              <w:bottom w:w="100" w:type="dxa"/>
              <w:right w:w="100" w:type="dxa"/>
            </w:tcMar>
            <w:vAlign w:val="center"/>
          </w:tcPr>
          <w:p w14:paraId="32DE6F25" w14:textId="77777777" w:rsidR="008319B7" w:rsidRDefault="008319B7" w:rsidP="008319B7">
            <w:pPr>
              <w:jc w:val="center"/>
              <w:rPr>
                <w:sz w:val="24"/>
                <w:szCs w:val="24"/>
              </w:rPr>
            </w:pPr>
            <w:r>
              <w:rPr>
                <w:sz w:val="24"/>
                <w:szCs w:val="24"/>
              </w:rPr>
              <w:t>83.3</w:t>
            </w:r>
          </w:p>
        </w:tc>
        <w:tc>
          <w:tcPr>
            <w:tcW w:w="1418" w:type="dxa"/>
            <w:tcBorders>
              <w:top w:val="nil"/>
              <w:left w:val="nil"/>
              <w:bottom w:val="single" w:sz="8" w:space="0" w:color="000000"/>
              <w:right w:val="nil"/>
            </w:tcBorders>
            <w:tcMar>
              <w:top w:w="100" w:type="dxa"/>
              <w:left w:w="100" w:type="dxa"/>
              <w:bottom w:w="100" w:type="dxa"/>
              <w:right w:w="100" w:type="dxa"/>
            </w:tcMar>
            <w:vAlign w:val="center"/>
          </w:tcPr>
          <w:p w14:paraId="1A5AA015" w14:textId="181964DA" w:rsidR="008319B7" w:rsidRDefault="008319B7" w:rsidP="008319B7">
            <w:pPr>
              <w:jc w:val="center"/>
              <w:rPr>
                <w:sz w:val="24"/>
                <w:szCs w:val="24"/>
              </w:rPr>
            </w:pPr>
            <w:r>
              <w:rPr>
                <w:sz w:val="24"/>
                <w:szCs w:val="24"/>
              </w:rPr>
              <w:t>10.00</w:t>
            </w:r>
          </w:p>
        </w:tc>
        <w:tc>
          <w:tcPr>
            <w:tcW w:w="2777" w:type="dxa"/>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21BBFD9A" w14:textId="49842D88" w:rsidR="008319B7" w:rsidRPr="00DF570E" w:rsidRDefault="008319B7" w:rsidP="008319B7">
            <w:pPr>
              <w:jc w:val="center"/>
              <w:rPr>
                <w:sz w:val="24"/>
                <w:szCs w:val="24"/>
              </w:rPr>
            </w:pPr>
            <w:r w:rsidRPr="00DF570E">
              <w:rPr>
                <w:sz w:val="24"/>
                <w:szCs w:val="24"/>
              </w:rPr>
              <w:fldChar w:fldCharType="begin" w:fldLock="1"/>
            </w:r>
            <w:r w:rsidR="002268F8" w:rsidRPr="00DF570E">
              <w:rPr>
                <w:sz w:val="24"/>
                <w:szCs w:val="24"/>
              </w:rPr>
              <w:instrText>ADDIN CSL_CITATION {"citationItems":[{"id":"ITEM-1","itemData":{"DOI":"10.1016/j.jece.2020.104332","ISSN":"22133437","abstract":"This paper analyzes the microwave-assisted synthesis of the zirconium-based metal-organic framework (MOF) UiO-66 using acetone as a solvent, in replacement of the traditional and toxic N,N-Dimethylformamide (DMF). It also studies the subsequent loading of this MOF with high amounts of dispersed copper species to be used as catalyst in the advanced oxidation of phenol. To this purpose, the structural development of UiO-66 was monitored studying the effect of synthesis variables such as stirring, temperature, treatment time and volume of the mixture. In this way, a high-crystallinity UiO-66 was obtained with high yields (88 %) at short times (6 h) and under mild conditions (80 °C) in a DMF-free media. Subsequently, by studying treatment conditions, a Cu/ UiO-66 catalyst supporting high loadings (10 wt. %) of highly dispersed copper species (Cu+/Cu2+) was obtained. This nanocatalyst, which was obtained following sustainability criteria, exhibited a high performance in the catalytic wet peroxide oxidation (CWPO) of phenol, quickly converting all the phenol at 70 °C in the first 5 min and reaching a mineralization (TOC removal) of 88 % and a H2O2 consumption efficiency of 30 % at 120 min. Cu/UiO-66 represents a new nanostructured catalyst based on highly dispersed copper species to be applied in CWPO processes.","author":[{"dropping-particle":"","family":"Lozano","given":"Luis A.","non-dropping-particle":"","parse-names":false,"suffix":""},{"dropping-particle":"","family":"Devard","given":"Alejandra","non-dropping-particle":"","parse-names":false,"suffix":""},{"dropping-particle":"","family":"Ulla","given":"María A.","non-dropping-particle":"","parse-names":false,"suffix":""},{"dropping-particle":"","family":"Zamaro","given":"Juan M.","non-dropping-particle":"","parse-names":false,"suffix":""}],"container-title":"Journal of Environmental Chemical Engineering","id":"ITEM-1","issue":"5","issued":{"date-parts":[["2020"]]},"page":"104332","publisher":"Elsevier","title":"Cu/UiO-66: A novel nanocatalyst obtained by a microwave-assisted protocol in DMF-free media for the efficient phenol removal via catalytic wet peroxide oxidation","type":"article-journal","volume":"8"},"uris":["http://www.mendeley.com/documents/?uuid=d4a2396a-e277-4752-87e8-b9b37337ca7c"]}],"mendeley":{"formattedCitation":"[3]","plainTextFormattedCitation":"[3]","previouslyFormattedCitation":"[3]"},"properties":{"noteIndex":0},"schema":"https://github.com/citation-style-language/schema/raw/master/csl-citation.json"}</w:instrText>
            </w:r>
            <w:r w:rsidRPr="00DF570E">
              <w:rPr>
                <w:sz w:val="24"/>
                <w:szCs w:val="24"/>
              </w:rPr>
              <w:fldChar w:fldCharType="separate"/>
            </w:r>
            <w:r w:rsidR="00D97CD7" w:rsidRPr="00DF570E">
              <w:rPr>
                <w:sz w:val="24"/>
                <w:szCs w:val="24"/>
              </w:rPr>
              <w:t>[3]</w:t>
            </w:r>
            <w:r w:rsidRPr="00DF570E">
              <w:rPr>
                <w:sz w:val="24"/>
                <w:szCs w:val="24"/>
              </w:rPr>
              <w:fldChar w:fldCharType="end"/>
            </w:r>
          </w:p>
        </w:tc>
      </w:tr>
    </w:tbl>
    <w:p w14:paraId="53F9E383" w14:textId="199B7EBF" w:rsidR="00862114" w:rsidRDefault="005C5AA6">
      <w:pPr>
        <w:numPr>
          <w:ilvl w:val="0"/>
          <w:numId w:val="1"/>
        </w:numPr>
        <w:spacing w:before="120" w:line="360" w:lineRule="auto"/>
      </w:pPr>
      <w:r>
        <w:t>Calcined 500° C. Pre-formed copper NPs prepared as Gioria et al. supported on SiO</w:t>
      </w:r>
      <w:r>
        <w:rPr>
          <w:vertAlign w:val="subscript"/>
        </w:rPr>
        <w:t xml:space="preserve">2 </w:t>
      </w:r>
      <w:r w:rsidR="008319B7">
        <w:rPr>
          <w:vertAlign w:val="subscript"/>
        </w:rPr>
        <w:fldChar w:fldCharType="begin" w:fldLock="1"/>
      </w:r>
      <w:r w:rsidR="002268F8">
        <w:rPr>
          <w:vertAlign w:val="subscript"/>
        </w:rPr>
        <w:instrText>ADDIN CSL_CITATION {"citationItems":[{"id":"ITEM-1","itemData":{"DOI":"10.3390/app9194075","ISSN":"20763417","abstract":"In this work, the synthesis of Cu/SiO2 catalysts starting frompre-formed copper nanoparticle (CuNP) colloidal suspensions was carried out. Two different protocols for the CuNP synthesis were tested: (i) a green approach using water as solvent and ascorbic acid as reducer and stabilizing agent, and (ii) a second solvothermal method involving the use of diethylene glycol as solvent, sodium hypophosphite (NaH2PO2) as reducer, and polyvinylpyrrolidone (PVP) and cetyltrimethylammonium bromide (CTAB) as stabilizing agents. In addition, and for the sake of comparison, a third catalyst was prepared by solid state conventional grinding of CuO with SiO2. The catalysts were tested in the environmentally relevant catalytic reduction of NOX with H2, in a temperature range from 300 to 500 °C. The catalysts were characterized by X-ray diffraction (XRD), temperature programmed reduction (TPR) cycles, Raman spectroscopy, and N2 adsorption for specific surface BET measurements. From these techniques CuO and Cu(0) species were detected depending on the synthesis protocol. CuNP size and size distribution in the colloid suspensions were determined by transmission electronic microscopy (TEM). The catalyst prepared from the aqueous suspension (CuAsc/SiO2) exhibited higher NO conversion (100%) and selectivity (85%) toward N2 at the lower reaction evaluated temperature (300 °C). The CuCTAB/SiO2 catalyst obtained by the solvothermal approach showed activity at high reaction temperature (400 °C) preferentially. The metal-support mechanical mixture exhibited a negligible response at low temperature and low conversion (68%) and selectivity (88%) at 500 °C. Nanoparticle size and distribution on the support, together with the metal-support interaction, were postulated as the most plausible parameters governing the catalytic performance of the different Cu/SiO2 materials.","author":[{"dropping-particle":"","family":"Gioria","given":"Esteban","non-dropping-particle":"","parse-names":false,"suffix":""},{"dropping-particle":"","family":"Marchesini","given":"F. Albana","non-dropping-particle":"","parse-names":false,"suffix":""},{"dropping-particle":"","family":"Soldati","given":"Analía","non-dropping-particle":"","parse-names":false,"suffix":""},{"dropping-particle":"","family":"Giorello","given":"Antonella","non-dropping-particle":"","parse-names":false,"suffix":""},{"dropping-particle":"","family":"Hueso","given":"Jose L.","non-dropping-particle":"","parse-names":false,"suffix":""},{"dropping-particle":"","family":"Gutierrez","given":"Laura","non-dropping-particle":"","parse-names":false,"suffix":""}],"container-title":"Applied Sciences (Switzerland)","id":"ITEM-1","issue":"19","issued":{"date-parts":[["2019","10","1"]]},"publisher":"MDPI AG","title":"Green synthesis of a Cu/SiO2 catalyst for efficient H2-SCR of NO","type":"article-journal","volume":"9"},"uris":["http://www.mendeley.com/documents/?uuid=db25b9fd-b680-359b-bcc9-1c8a93c46b7e"]}],"mendeley":{"formattedCitation":"[4]","plainTextFormattedCitation":"[4]","previouslyFormattedCitation":"[4]"},"properties":{"noteIndex":0},"schema":"https://github.com/citation-style-language/schema/raw/master/csl-citation.json"}</w:instrText>
      </w:r>
      <w:r w:rsidR="008319B7">
        <w:rPr>
          <w:vertAlign w:val="subscript"/>
        </w:rPr>
        <w:fldChar w:fldCharType="separate"/>
      </w:r>
      <w:r w:rsidR="00D97CD7" w:rsidRPr="00D97CD7">
        <w:rPr>
          <w:noProof/>
        </w:rPr>
        <w:t>[4]</w:t>
      </w:r>
      <w:r w:rsidR="008319B7">
        <w:rPr>
          <w:vertAlign w:val="subscript"/>
        </w:rPr>
        <w:fldChar w:fldCharType="end"/>
      </w:r>
      <w:r>
        <w:t>.</w:t>
      </w:r>
    </w:p>
    <w:p w14:paraId="3499FD4B" w14:textId="77777777" w:rsidR="00862114" w:rsidRDefault="005C5AA6">
      <w:pPr>
        <w:numPr>
          <w:ilvl w:val="0"/>
          <w:numId w:val="1"/>
        </w:numPr>
        <w:spacing w:line="360" w:lineRule="auto"/>
      </w:pPr>
      <w:r>
        <w:t xml:space="preserve">calcined 400 ° C, wet impregnation method </w:t>
      </w:r>
    </w:p>
    <w:p w14:paraId="129704E2" w14:textId="77777777" w:rsidR="00862114" w:rsidRDefault="005C5AA6">
      <w:pPr>
        <w:numPr>
          <w:ilvl w:val="0"/>
          <w:numId w:val="1"/>
        </w:numPr>
        <w:spacing w:line="360" w:lineRule="auto"/>
      </w:pPr>
      <w:r>
        <w:t>Calcined 650° C, wet impregnation method</w:t>
      </w:r>
    </w:p>
    <w:p w14:paraId="46A31563" w14:textId="77777777" w:rsidR="00862114" w:rsidRDefault="005C5AA6">
      <w:pPr>
        <w:numPr>
          <w:ilvl w:val="0"/>
          <w:numId w:val="1"/>
        </w:numPr>
        <w:spacing w:after="120" w:line="360" w:lineRule="auto"/>
      </w:pPr>
      <w:r>
        <w:t>Calcined 900° C, wet impregnation method</w:t>
      </w:r>
    </w:p>
    <w:p w14:paraId="18677902" w14:textId="5AC441A5" w:rsidR="00862114" w:rsidRPr="00D47BB3" w:rsidRDefault="00DF570E" w:rsidP="00D47BB3">
      <w:pPr>
        <w:spacing w:before="120" w:after="120" w:line="360" w:lineRule="auto"/>
        <w:ind w:left="720"/>
      </w:pPr>
      <w:r w:rsidRPr="00964A88">
        <w:rPr>
          <w:sz w:val="22"/>
          <w:szCs w:val="22"/>
        </w:rPr>
        <w:t>Reaction conditions: T</w:t>
      </w:r>
      <w:r>
        <w:rPr>
          <w:sz w:val="22"/>
          <w:szCs w:val="22"/>
        </w:rPr>
        <w:t xml:space="preserve"> =</w:t>
      </w:r>
      <w:r w:rsidRPr="00964A88">
        <w:rPr>
          <w:sz w:val="22"/>
          <w:szCs w:val="22"/>
        </w:rPr>
        <w:t xml:space="preserve"> 70ºC</w:t>
      </w:r>
      <w:r>
        <w:rPr>
          <w:sz w:val="22"/>
          <w:szCs w:val="22"/>
        </w:rPr>
        <w:t xml:space="preserve">, </w:t>
      </w:r>
      <w:r w:rsidRPr="00964A88">
        <w:rPr>
          <w:sz w:val="22"/>
          <w:szCs w:val="22"/>
        </w:rPr>
        <w:t>phenol</w:t>
      </w:r>
      <w:r>
        <w:rPr>
          <w:sz w:val="22"/>
          <w:szCs w:val="22"/>
        </w:rPr>
        <w:t>:</w:t>
      </w:r>
      <w:r w:rsidRPr="00964A88">
        <w:rPr>
          <w:sz w:val="22"/>
          <w:szCs w:val="22"/>
        </w:rPr>
        <w:t xml:space="preserve"> 50 mL 1000 ppm</w:t>
      </w:r>
      <w:r>
        <w:rPr>
          <w:sz w:val="22"/>
          <w:szCs w:val="22"/>
        </w:rPr>
        <w:t xml:space="preserve">, </w:t>
      </w:r>
      <w:r w:rsidRPr="00964A88">
        <w:rPr>
          <w:sz w:val="22"/>
          <w:szCs w:val="22"/>
        </w:rPr>
        <w:t>H</w:t>
      </w:r>
      <w:r w:rsidRPr="00964A88">
        <w:rPr>
          <w:sz w:val="22"/>
          <w:szCs w:val="22"/>
          <w:vertAlign w:val="subscript"/>
        </w:rPr>
        <w:t>2</w:t>
      </w:r>
      <w:r w:rsidRPr="00964A88">
        <w:rPr>
          <w:sz w:val="22"/>
          <w:szCs w:val="22"/>
        </w:rPr>
        <w:t>O</w:t>
      </w:r>
      <w:r w:rsidRPr="00964A88">
        <w:rPr>
          <w:sz w:val="22"/>
          <w:szCs w:val="22"/>
          <w:vertAlign w:val="subscript"/>
        </w:rPr>
        <w:t>2</w:t>
      </w:r>
      <w:r>
        <w:rPr>
          <w:sz w:val="22"/>
          <w:szCs w:val="22"/>
        </w:rPr>
        <w:t xml:space="preserve">: </w:t>
      </w:r>
      <w:r w:rsidRPr="00964A88">
        <w:rPr>
          <w:sz w:val="22"/>
          <w:szCs w:val="22"/>
        </w:rPr>
        <w:t>5 mL 8.8 M</w:t>
      </w:r>
      <w:r w:rsidR="00D47BB3">
        <w:rPr>
          <w:sz w:val="22"/>
          <w:szCs w:val="22"/>
        </w:rPr>
        <w:t>.</w:t>
      </w:r>
    </w:p>
    <w:p w14:paraId="549A1246" w14:textId="616AE29A" w:rsidR="00862114" w:rsidRDefault="005C5AA6">
      <w:pPr>
        <w:pBdr>
          <w:top w:val="nil"/>
          <w:left w:val="nil"/>
          <w:bottom w:val="nil"/>
          <w:right w:val="nil"/>
          <w:between w:val="nil"/>
        </w:pBdr>
        <w:spacing w:before="120" w:after="120" w:line="360" w:lineRule="auto"/>
        <w:ind w:firstLine="70"/>
      </w:pPr>
      <w:r>
        <w:rPr>
          <w:b/>
          <w:sz w:val="22"/>
          <w:szCs w:val="22"/>
        </w:rPr>
        <w:t>XPS Spectra of the prepared catalysts</w:t>
      </w:r>
      <w:r w:rsidR="00C87B2C">
        <w:object w:dxaOrig="9512" w:dyaOrig="6632" w14:anchorId="2961E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303pt" o:ole="">
            <v:imagedata r:id="rId10" o:title=""/>
          </v:shape>
          <o:OLEObject Type="Embed" ProgID="Origin50.Graph" ShapeID="_x0000_i1025" DrawAspect="Content" ObjectID="_1706599326" r:id="rId11"/>
        </w:object>
      </w:r>
    </w:p>
    <w:p w14:paraId="4E45344A" w14:textId="38780C21" w:rsidR="00862114" w:rsidRDefault="005C5AA6" w:rsidP="00C87B2C">
      <w:pPr>
        <w:spacing w:before="120" w:after="120" w:line="360" w:lineRule="auto"/>
        <w:ind w:firstLine="283"/>
        <w:jc w:val="center"/>
        <w:rPr>
          <w:b/>
          <w:sz w:val="22"/>
          <w:szCs w:val="22"/>
        </w:rPr>
      </w:pPr>
      <w:r>
        <w:rPr>
          <w:b/>
          <w:sz w:val="22"/>
          <w:szCs w:val="22"/>
        </w:rPr>
        <w:t>Figure S2:</w:t>
      </w:r>
      <w:r>
        <w:rPr>
          <w:sz w:val="22"/>
          <w:szCs w:val="22"/>
        </w:rPr>
        <w:t xml:space="preserve"> XPS spectra of CuNPs cellulose supported catalysts: A: Cu 2p3/2 region, B: Cu L3M4 and Cu5M4,5 regions</w:t>
      </w:r>
      <w:r>
        <w:br w:type="page"/>
      </w:r>
    </w:p>
    <w:p w14:paraId="4FF3D552" w14:textId="77777777" w:rsidR="00862114" w:rsidRDefault="009100B9">
      <w:pPr>
        <w:tabs>
          <w:tab w:val="left" w:pos="993"/>
        </w:tabs>
        <w:spacing w:before="120" w:after="120" w:line="360" w:lineRule="auto"/>
        <w:ind w:firstLine="420"/>
        <w:jc w:val="both"/>
        <w:rPr>
          <w:b/>
          <w:color w:val="000000"/>
          <w:sz w:val="22"/>
          <w:szCs w:val="22"/>
        </w:rPr>
      </w:pPr>
      <w:r>
        <w:lastRenderedPageBreak/>
        <w:object w:dxaOrig="1440" w:dyaOrig="1440" w14:anchorId="2B1958D8">
          <v:group id="_x0000_s2051" style="position:absolute;left:0;text-align:left;margin-left:5.4pt;margin-top:-27pt;width:508.4pt;height:428.6pt;z-index:251658240;mso-position-horizontal-relative:margin" coordorigin="405,1417" coordsize="11114,9208">
            <v:shape id="_x0000_s2052" type="#_x0000_t75" style="position:absolute;left:405;top:1417;width:6543;height:9208" wrapcoords="3751 2344 3751 7491 2587 7629 2587 8732 3751 8962 2846 8962 2651 9100 2522 12087 3428 12638 3751 12638 3751 17050 3169 17648 3104 17831 3298 17923 7114 18521 7114 18705 11447 18751 13128 18751 13257 18521 13710 18521 17396 17877 17461 17786 16879 17050 16879 2344 3751 2344">
              <v:imagedata r:id="rId12" o:title=""/>
            </v:shape>
            <v:shape id="_x0000_s2053" type="#_x0000_t75" style="position:absolute;left:5073;top:1419;width:6446;height:9087" wrapcoords="3751 2344 3751 7491 2587 7629 2587 8732 3751 8962 2846 8962 2651 9100 2522 12087 3428 12638 3751 12638 3751 17050 3104 17740 3169 17923 5626 18383 7114 18521 7114 18705 11447 18751 13128 18751 13257 18521 13646 18521 17202 17877 17267 17786 19401 17050 19531 16774 19078 16637 16879 16315 19466 15993 19466 15626 16879 15580 16879 14844 18625 14660 18625 14293 16879 14109 16879 11903 19531 11811 19531 11443 16879 11168 19401 10892 19401 10524 16944 10432 18625 9743 18819 9559 18560 9467 16879 8962 16879 7491 17978 7491 19531 7031 19531 6158 19143 6020 16879 6020 16879 4550 18625 4366 18625 3998 16879 3814 16879 2344 3751 2344">
              <v:imagedata r:id="rId13" o:title=""/>
            </v:shape>
            <w10:wrap anchorx="margin"/>
          </v:group>
          <o:OLEObject Type="Embed" ProgID="Origin50.Graph" ShapeID="_x0000_s2052" DrawAspect="Content" ObjectID="_1706599327" r:id="rId14"/>
          <o:OLEObject Type="Embed" ProgID="Origin50.Graph" ShapeID="_x0000_s2053" DrawAspect="Content" ObjectID="_1706599328" r:id="rId15"/>
        </w:object>
      </w:r>
    </w:p>
    <w:p w14:paraId="584B8DD8"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658D7640"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7EFE6CD5"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01A223B0"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443FD79A"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603EFF6B"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6BD99452" w14:textId="77777777" w:rsidR="00862114" w:rsidRDefault="00862114">
      <w:pPr>
        <w:pBdr>
          <w:top w:val="nil"/>
          <w:left w:val="nil"/>
          <w:bottom w:val="nil"/>
          <w:right w:val="nil"/>
          <w:between w:val="nil"/>
        </w:pBdr>
        <w:spacing w:before="120" w:after="120" w:line="360" w:lineRule="auto"/>
        <w:ind w:firstLine="426"/>
        <w:jc w:val="center"/>
        <w:rPr>
          <w:b/>
          <w:color w:val="000000"/>
          <w:sz w:val="22"/>
          <w:szCs w:val="22"/>
        </w:rPr>
      </w:pPr>
    </w:p>
    <w:p w14:paraId="151BEF93" w14:textId="77777777" w:rsidR="00862114" w:rsidRDefault="00862114">
      <w:pPr>
        <w:pBdr>
          <w:top w:val="nil"/>
          <w:left w:val="nil"/>
          <w:bottom w:val="nil"/>
          <w:right w:val="nil"/>
          <w:between w:val="nil"/>
        </w:pBdr>
        <w:spacing w:before="120" w:after="120" w:line="360" w:lineRule="auto"/>
        <w:jc w:val="center"/>
        <w:rPr>
          <w:b/>
          <w:color w:val="000000"/>
          <w:sz w:val="22"/>
          <w:szCs w:val="22"/>
        </w:rPr>
      </w:pPr>
    </w:p>
    <w:p w14:paraId="6BC28F86" w14:textId="77777777" w:rsidR="00862114" w:rsidRDefault="00862114">
      <w:pPr>
        <w:pBdr>
          <w:top w:val="nil"/>
          <w:left w:val="nil"/>
          <w:bottom w:val="nil"/>
          <w:right w:val="nil"/>
          <w:between w:val="nil"/>
        </w:pBdr>
        <w:spacing w:before="120" w:after="120" w:line="360" w:lineRule="auto"/>
        <w:jc w:val="center"/>
        <w:rPr>
          <w:b/>
          <w:color w:val="000000"/>
          <w:sz w:val="22"/>
          <w:szCs w:val="22"/>
        </w:rPr>
      </w:pPr>
    </w:p>
    <w:p w14:paraId="2208FF91" w14:textId="77777777" w:rsidR="00862114" w:rsidRDefault="00862114">
      <w:pPr>
        <w:pBdr>
          <w:top w:val="nil"/>
          <w:left w:val="nil"/>
          <w:bottom w:val="nil"/>
          <w:right w:val="nil"/>
          <w:between w:val="nil"/>
        </w:pBdr>
        <w:spacing w:before="120" w:after="120" w:line="360" w:lineRule="auto"/>
        <w:jc w:val="center"/>
        <w:rPr>
          <w:b/>
          <w:color w:val="000000"/>
          <w:sz w:val="22"/>
          <w:szCs w:val="22"/>
        </w:rPr>
      </w:pPr>
    </w:p>
    <w:p w14:paraId="4E412921" w14:textId="77777777" w:rsidR="00862114" w:rsidRDefault="00862114">
      <w:pPr>
        <w:pBdr>
          <w:top w:val="nil"/>
          <w:left w:val="nil"/>
          <w:bottom w:val="nil"/>
          <w:right w:val="nil"/>
          <w:between w:val="nil"/>
        </w:pBdr>
        <w:spacing w:before="120" w:after="120" w:line="360" w:lineRule="auto"/>
        <w:jc w:val="center"/>
        <w:rPr>
          <w:color w:val="000000"/>
          <w:sz w:val="22"/>
          <w:szCs w:val="22"/>
        </w:rPr>
      </w:pPr>
    </w:p>
    <w:p w14:paraId="34D3AD75" w14:textId="77777777" w:rsidR="00862114" w:rsidRDefault="00862114">
      <w:pPr>
        <w:pBdr>
          <w:top w:val="nil"/>
          <w:left w:val="nil"/>
          <w:bottom w:val="nil"/>
          <w:right w:val="nil"/>
          <w:between w:val="nil"/>
        </w:pBdr>
        <w:spacing w:before="120" w:after="120" w:line="360" w:lineRule="auto"/>
        <w:jc w:val="center"/>
        <w:rPr>
          <w:b/>
          <w:sz w:val="22"/>
          <w:szCs w:val="22"/>
        </w:rPr>
      </w:pPr>
    </w:p>
    <w:p w14:paraId="37B22C82" w14:textId="77777777" w:rsidR="00862114" w:rsidRDefault="00862114">
      <w:pPr>
        <w:pBdr>
          <w:top w:val="nil"/>
          <w:left w:val="nil"/>
          <w:bottom w:val="nil"/>
          <w:right w:val="nil"/>
          <w:between w:val="nil"/>
        </w:pBdr>
        <w:spacing w:before="120" w:after="120" w:line="360" w:lineRule="auto"/>
        <w:jc w:val="center"/>
        <w:rPr>
          <w:b/>
          <w:sz w:val="22"/>
          <w:szCs w:val="22"/>
        </w:rPr>
      </w:pPr>
    </w:p>
    <w:p w14:paraId="49624A3F" w14:textId="77777777" w:rsidR="00862114" w:rsidRDefault="00862114">
      <w:pPr>
        <w:pBdr>
          <w:top w:val="nil"/>
          <w:left w:val="nil"/>
          <w:bottom w:val="nil"/>
          <w:right w:val="nil"/>
          <w:between w:val="nil"/>
        </w:pBdr>
        <w:spacing w:before="120" w:after="120" w:line="360" w:lineRule="auto"/>
        <w:rPr>
          <w:b/>
          <w:sz w:val="22"/>
          <w:szCs w:val="22"/>
        </w:rPr>
      </w:pPr>
    </w:p>
    <w:p w14:paraId="5AC7369D" w14:textId="77777777" w:rsidR="00862114" w:rsidRDefault="005C5AA6">
      <w:pPr>
        <w:pBdr>
          <w:top w:val="nil"/>
          <w:left w:val="nil"/>
          <w:bottom w:val="nil"/>
          <w:right w:val="nil"/>
          <w:between w:val="nil"/>
        </w:pBdr>
        <w:spacing w:before="120" w:after="120" w:line="360" w:lineRule="auto"/>
        <w:jc w:val="center"/>
        <w:rPr>
          <w:color w:val="000000"/>
          <w:sz w:val="22"/>
          <w:szCs w:val="22"/>
        </w:rPr>
      </w:pPr>
      <w:r>
        <w:rPr>
          <w:b/>
          <w:sz w:val="22"/>
          <w:szCs w:val="22"/>
        </w:rPr>
        <w:t>Figure S3:</w:t>
      </w:r>
      <w:r>
        <w:rPr>
          <w:sz w:val="22"/>
          <w:szCs w:val="22"/>
        </w:rPr>
        <w:t xml:space="preserve"> </w:t>
      </w:r>
      <w:r>
        <w:rPr>
          <w:color w:val="000000"/>
          <w:sz w:val="22"/>
          <w:szCs w:val="22"/>
        </w:rPr>
        <w:t xml:space="preserve">FTIR spectra of regenerated </w:t>
      </w:r>
      <w:r>
        <w:rPr>
          <w:sz w:val="22"/>
          <w:szCs w:val="22"/>
        </w:rPr>
        <w:t xml:space="preserve">cellulose supports </w:t>
      </w:r>
      <w:r>
        <w:rPr>
          <w:color w:val="000000"/>
          <w:sz w:val="22"/>
          <w:szCs w:val="22"/>
        </w:rPr>
        <w:t>and the corresponding catalysts.</w:t>
      </w:r>
    </w:p>
    <w:p w14:paraId="27871C2C" w14:textId="77777777" w:rsidR="00862114" w:rsidRDefault="00862114">
      <w:pPr>
        <w:spacing w:before="120" w:after="120" w:line="360" w:lineRule="auto"/>
        <w:ind w:firstLine="70"/>
        <w:rPr>
          <w:b/>
          <w:sz w:val="22"/>
          <w:szCs w:val="22"/>
        </w:rPr>
      </w:pPr>
    </w:p>
    <w:p w14:paraId="0550967C" w14:textId="77777777" w:rsidR="00862114" w:rsidRDefault="005C5AA6">
      <w:pPr>
        <w:spacing w:before="120" w:after="120" w:line="360" w:lineRule="auto"/>
        <w:ind w:firstLine="70"/>
        <w:rPr>
          <w:b/>
          <w:sz w:val="22"/>
          <w:szCs w:val="22"/>
        </w:rPr>
      </w:pPr>
      <w:r>
        <w:rPr>
          <w:b/>
          <w:sz w:val="22"/>
          <w:szCs w:val="22"/>
        </w:rPr>
        <w:t>References</w:t>
      </w:r>
    </w:p>
    <w:p w14:paraId="4E6D05AB" w14:textId="38D50F95" w:rsidR="00541A15" w:rsidRDefault="008319B7" w:rsidP="00541A15">
      <w:pPr>
        <w:widowControl w:val="0"/>
        <w:autoSpaceDE w:val="0"/>
        <w:autoSpaceDN w:val="0"/>
        <w:adjustRightInd w:val="0"/>
        <w:spacing w:before="120"/>
        <w:ind w:left="640" w:hanging="640"/>
        <w:rPr>
          <w:sz w:val="22"/>
          <w:szCs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2268F8" w:rsidRPr="002268F8">
        <w:rPr>
          <w:noProof/>
          <w:sz w:val="22"/>
          <w:szCs w:val="24"/>
        </w:rPr>
        <w:t xml:space="preserve">1. </w:t>
      </w:r>
      <w:r w:rsidR="002268F8" w:rsidRPr="002268F8">
        <w:rPr>
          <w:noProof/>
          <w:sz w:val="22"/>
          <w:szCs w:val="24"/>
        </w:rPr>
        <w:tab/>
      </w:r>
      <w:r w:rsidR="00541A15" w:rsidRPr="00541A15">
        <w:rPr>
          <w:sz w:val="22"/>
          <w:szCs w:val="22"/>
        </w:rPr>
        <w:t>Eremenko, A. M., Petrik, I. S., Smirnova, N. P., Rudenko, A. V., &amp; Marikvas, Y. S. Antibacterial and Antimycotic Activity of Cotton Fabrics, Impregnated with Silver and Binary Silver/Copper Nanoparticles. Nanoscale Res</w:t>
      </w:r>
      <w:r w:rsidR="0036008D">
        <w:rPr>
          <w:sz w:val="22"/>
          <w:szCs w:val="22"/>
        </w:rPr>
        <w:t>.</w:t>
      </w:r>
      <w:r w:rsidR="00541A15" w:rsidRPr="00541A15">
        <w:rPr>
          <w:sz w:val="22"/>
          <w:szCs w:val="22"/>
        </w:rPr>
        <w:t xml:space="preserve"> Lett</w:t>
      </w:r>
      <w:r w:rsidR="0036008D">
        <w:rPr>
          <w:sz w:val="22"/>
          <w:szCs w:val="22"/>
        </w:rPr>
        <w:t>.</w:t>
      </w:r>
      <w:r w:rsidR="00541A15" w:rsidRPr="00541A15">
        <w:rPr>
          <w:sz w:val="22"/>
          <w:szCs w:val="22"/>
        </w:rPr>
        <w:t>, 11(1)</w:t>
      </w:r>
      <w:r w:rsidR="00541A15">
        <w:rPr>
          <w:sz w:val="22"/>
          <w:szCs w:val="22"/>
        </w:rPr>
        <w:t xml:space="preserve"> (2016)</w:t>
      </w:r>
      <w:r w:rsidR="00541A15" w:rsidRPr="00541A15">
        <w:rPr>
          <w:sz w:val="22"/>
          <w:szCs w:val="22"/>
        </w:rPr>
        <w:t>. doi:10.1186/s11671-016-1240-0</w:t>
      </w:r>
    </w:p>
    <w:p w14:paraId="156DA025" w14:textId="6600BA1B" w:rsidR="002268F8" w:rsidRPr="002268F8" w:rsidRDefault="002268F8" w:rsidP="002268F8">
      <w:pPr>
        <w:widowControl w:val="0"/>
        <w:autoSpaceDE w:val="0"/>
        <w:autoSpaceDN w:val="0"/>
        <w:adjustRightInd w:val="0"/>
        <w:spacing w:before="120"/>
        <w:ind w:left="640" w:hanging="640"/>
        <w:rPr>
          <w:noProof/>
          <w:sz w:val="22"/>
          <w:szCs w:val="24"/>
        </w:rPr>
      </w:pPr>
      <w:r w:rsidRPr="002268F8">
        <w:rPr>
          <w:noProof/>
          <w:sz w:val="22"/>
          <w:szCs w:val="24"/>
        </w:rPr>
        <w:t xml:space="preserve">2. </w:t>
      </w:r>
      <w:r w:rsidRPr="002268F8">
        <w:rPr>
          <w:noProof/>
          <w:sz w:val="22"/>
          <w:szCs w:val="24"/>
        </w:rPr>
        <w:tab/>
      </w:r>
      <w:r w:rsidR="00541A15" w:rsidRPr="0024662F">
        <w:rPr>
          <w:noProof/>
          <w:sz w:val="22"/>
          <w:szCs w:val="24"/>
        </w:rPr>
        <w:t>A. Devard, P. Brussino, F.A. Marchesini, M.A. Ulla, Cu(5%)/Al</w:t>
      </w:r>
      <w:r w:rsidR="00541A15" w:rsidRPr="00556925">
        <w:rPr>
          <w:noProof/>
          <w:sz w:val="22"/>
          <w:szCs w:val="24"/>
          <w:vertAlign w:val="subscript"/>
        </w:rPr>
        <w:t>2</w:t>
      </w:r>
      <w:r w:rsidR="00541A15" w:rsidRPr="0024662F">
        <w:rPr>
          <w:noProof/>
          <w:sz w:val="22"/>
          <w:szCs w:val="24"/>
        </w:rPr>
        <w:t>O</w:t>
      </w:r>
      <w:r w:rsidR="00541A15" w:rsidRPr="00556925">
        <w:rPr>
          <w:noProof/>
          <w:sz w:val="22"/>
          <w:szCs w:val="24"/>
          <w:vertAlign w:val="subscript"/>
        </w:rPr>
        <w:t>3</w:t>
      </w:r>
      <w:r w:rsidR="00541A15" w:rsidRPr="0024662F">
        <w:rPr>
          <w:noProof/>
          <w:sz w:val="22"/>
          <w:szCs w:val="24"/>
        </w:rPr>
        <w:t xml:space="preserve"> catalytic performance on the phenol wet oxidation with H2O2: Influence of the calcination temperature, J. Environ. Chem. Eng. 7 (2019). https://doi.org/10.1016/j.jece.2019.103201.</w:t>
      </w:r>
      <w:r w:rsidR="00541A15">
        <w:rPr>
          <w:noProof/>
          <w:sz w:val="22"/>
          <w:szCs w:val="24"/>
        </w:rPr>
        <w:t xml:space="preserve"> </w:t>
      </w:r>
    </w:p>
    <w:p w14:paraId="29A569EF" w14:textId="770C8D97" w:rsidR="002268F8" w:rsidRPr="002268F8" w:rsidRDefault="002268F8" w:rsidP="002268F8">
      <w:pPr>
        <w:widowControl w:val="0"/>
        <w:autoSpaceDE w:val="0"/>
        <w:autoSpaceDN w:val="0"/>
        <w:adjustRightInd w:val="0"/>
        <w:spacing w:before="120"/>
        <w:ind w:left="640" w:hanging="640"/>
        <w:rPr>
          <w:noProof/>
          <w:sz w:val="22"/>
          <w:szCs w:val="24"/>
        </w:rPr>
      </w:pPr>
      <w:r w:rsidRPr="002268F8">
        <w:rPr>
          <w:noProof/>
          <w:sz w:val="22"/>
          <w:szCs w:val="24"/>
        </w:rPr>
        <w:t xml:space="preserve">3. </w:t>
      </w:r>
      <w:r w:rsidRPr="002268F8">
        <w:rPr>
          <w:noProof/>
          <w:sz w:val="22"/>
          <w:szCs w:val="24"/>
        </w:rPr>
        <w:tab/>
      </w:r>
      <w:r w:rsidR="00541A15" w:rsidRPr="0024662F">
        <w:rPr>
          <w:noProof/>
          <w:sz w:val="22"/>
          <w:szCs w:val="24"/>
        </w:rPr>
        <w:t>L.A. Lozano, A. Devard, M.A. Ulla, J.M. Zamaro, Cu/UiO-66: A novel nanocatalyst obtained by a microwave-assisted protocol in DMF-free media for the efficient phenol removal via catalytic wet peroxide oxidation, J. Environ. Chem. Eng. 8 (2020) 104332. https://doi.org/10.1016/j.jece.2020.104332.</w:t>
      </w:r>
    </w:p>
    <w:p w14:paraId="07189EE2" w14:textId="77777777" w:rsidR="00541A15" w:rsidRDefault="002268F8" w:rsidP="00541A15">
      <w:pPr>
        <w:widowControl w:val="0"/>
        <w:autoSpaceDE w:val="0"/>
        <w:autoSpaceDN w:val="0"/>
        <w:adjustRightInd w:val="0"/>
        <w:spacing w:before="120"/>
        <w:ind w:left="640" w:hanging="640"/>
        <w:rPr>
          <w:sz w:val="22"/>
          <w:szCs w:val="22"/>
        </w:rPr>
      </w:pPr>
      <w:r w:rsidRPr="002268F8">
        <w:rPr>
          <w:noProof/>
          <w:sz w:val="22"/>
          <w:szCs w:val="24"/>
        </w:rPr>
        <w:t xml:space="preserve">4. </w:t>
      </w:r>
      <w:r w:rsidRPr="002268F8">
        <w:rPr>
          <w:noProof/>
          <w:sz w:val="22"/>
          <w:szCs w:val="24"/>
        </w:rPr>
        <w:tab/>
      </w:r>
      <w:r w:rsidR="00541A15" w:rsidRPr="0024662F">
        <w:rPr>
          <w:noProof/>
          <w:sz w:val="22"/>
          <w:szCs w:val="24"/>
        </w:rPr>
        <w:t>E. Gioria, F.A. Marchesini, A. Soldati, A. Giorello, J. Hueso, L.B. Gutierrez, Green Synthesis of a Cu/SiO2 Catalyst for Efficient H2-SCR of NO, Appl. Sci. 9 (2019) 4075. https://doi.org/10.3390/app9194075.</w:t>
      </w:r>
    </w:p>
    <w:p w14:paraId="2753C100" w14:textId="41A5E130" w:rsidR="00541A15" w:rsidRDefault="008319B7">
      <w:pPr>
        <w:widowControl w:val="0"/>
        <w:autoSpaceDE w:val="0"/>
        <w:autoSpaceDN w:val="0"/>
        <w:adjustRightInd w:val="0"/>
        <w:spacing w:before="120"/>
        <w:ind w:left="640" w:hanging="640"/>
        <w:rPr>
          <w:sz w:val="22"/>
          <w:szCs w:val="22"/>
        </w:rPr>
      </w:pPr>
      <w:r>
        <w:rPr>
          <w:sz w:val="22"/>
          <w:szCs w:val="22"/>
        </w:rPr>
        <w:fldChar w:fldCharType="end"/>
      </w:r>
    </w:p>
    <w:sectPr w:rsidR="00541A15" w:rsidSect="001D6E66">
      <w:pgSz w:w="11906" w:h="16838"/>
      <w:pgMar w:top="1276" w:right="860" w:bottom="1135" w:left="1275" w:header="709" w:footer="709" w:gutter="0"/>
      <w:lnNumType w:countBy="1" w:restart="continuous"/>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3903" w14:textId="77777777" w:rsidR="009100B9" w:rsidRDefault="009100B9">
      <w:r>
        <w:separator/>
      </w:r>
    </w:p>
  </w:endnote>
  <w:endnote w:type="continuationSeparator" w:id="0">
    <w:p w14:paraId="58CE26C9" w14:textId="77777777" w:rsidR="009100B9" w:rsidRDefault="0091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B13D8" w14:textId="77777777" w:rsidR="009100B9" w:rsidRDefault="009100B9">
      <w:r>
        <w:separator/>
      </w:r>
    </w:p>
  </w:footnote>
  <w:footnote w:type="continuationSeparator" w:id="0">
    <w:p w14:paraId="78393717" w14:textId="77777777" w:rsidR="009100B9" w:rsidRDefault="00910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246F1"/>
    <w:multiLevelType w:val="multilevel"/>
    <w:tmpl w:val="80084A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2tDQHMowMjM0tzZR0lIJTi4sz8/NACgxrAVkwXqwsAAAA"/>
  </w:docVars>
  <w:rsids>
    <w:rsidRoot w:val="00862114"/>
    <w:rsid w:val="00026692"/>
    <w:rsid w:val="00082F0F"/>
    <w:rsid w:val="000976B2"/>
    <w:rsid w:val="00144AED"/>
    <w:rsid w:val="001D6E66"/>
    <w:rsid w:val="002268F8"/>
    <w:rsid w:val="00231C63"/>
    <w:rsid w:val="002E57C1"/>
    <w:rsid w:val="0034778B"/>
    <w:rsid w:val="0036008D"/>
    <w:rsid w:val="0047718E"/>
    <w:rsid w:val="004C0DC2"/>
    <w:rsid w:val="00541A15"/>
    <w:rsid w:val="00542673"/>
    <w:rsid w:val="00556925"/>
    <w:rsid w:val="005C5AA6"/>
    <w:rsid w:val="006475AE"/>
    <w:rsid w:val="00761A76"/>
    <w:rsid w:val="008319B7"/>
    <w:rsid w:val="00862114"/>
    <w:rsid w:val="009100B9"/>
    <w:rsid w:val="0093616B"/>
    <w:rsid w:val="00A65953"/>
    <w:rsid w:val="00B5730C"/>
    <w:rsid w:val="00C87B2C"/>
    <w:rsid w:val="00CB354A"/>
    <w:rsid w:val="00D47BB3"/>
    <w:rsid w:val="00D97CD7"/>
    <w:rsid w:val="00DF57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2B80A51"/>
  <w15:docId w15:val="{98EF6F0E-6C9C-44F7-B1EC-8983C4F5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outlineLvl w:val="5"/>
    </w:pPr>
    <w:rPr>
      <w:rFonts w:ascii="Calibri" w:eastAsia="Calibri" w:hAnsi="Calibri" w:cs="Calibri"/>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A14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457"/>
    <w:rPr>
      <w:rFonts w:ascii="Segoe UI" w:hAnsi="Segoe UI" w:cs="Segoe UI"/>
      <w:sz w:val="18"/>
      <w:szCs w:val="18"/>
    </w:rPr>
  </w:style>
  <w:style w:type="paragraph" w:styleId="NormalWeb">
    <w:name w:val="Normal (Web)"/>
    <w:basedOn w:val="Normal"/>
    <w:uiPriority w:val="99"/>
    <w:semiHidden/>
    <w:unhideWhenUsed/>
    <w:rsid w:val="005A1457"/>
    <w:pPr>
      <w:spacing w:before="100" w:beforeAutospacing="1" w:after="100" w:afterAutospacing="1"/>
    </w:pPr>
    <w:rPr>
      <w:sz w:val="24"/>
      <w:szCs w:val="24"/>
      <w:lang w:val="es-AR"/>
    </w:r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paragraph" w:styleId="Asuntodelcomentario">
    <w:name w:val="annotation subject"/>
    <w:basedOn w:val="Textocomentario"/>
    <w:next w:val="Textocomentario"/>
    <w:link w:val="AsuntodelcomentarioCar"/>
    <w:uiPriority w:val="99"/>
    <w:semiHidden/>
    <w:unhideWhenUsed/>
    <w:rsid w:val="0034778B"/>
    <w:rPr>
      <w:b/>
      <w:bCs/>
    </w:rPr>
  </w:style>
  <w:style w:type="character" w:customStyle="1" w:styleId="AsuntodelcomentarioCar">
    <w:name w:val="Asunto del comentario Car"/>
    <w:basedOn w:val="TextocomentarioCar"/>
    <w:link w:val="Asuntodelcomentario"/>
    <w:uiPriority w:val="99"/>
    <w:semiHidden/>
    <w:rsid w:val="0034778B"/>
    <w:rPr>
      <w:b/>
      <w:bCs/>
    </w:rPr>
  </w:style>
  <w:style w:type="character" w:styleId="Nmerodelnea">
    <w:name w:val="line number"/>
    <w:basedOn w:val="Fuentedeprrafopredeter"/>
    <w:uiPriority w:val="99"/>
    <w:semiHidden/>
    <w:unhideWhenUsed/>
    <w:rsid w:val="00DF5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qws8NvqhTrqm36J3sHhX35642g==">AMUW2mWvQmtVNWaoXXWEr6UYQSve271dk8q4ZK6MiUakSroDidj2RAL6IgEpjk3XCzfI2gW4fAw0uv3QrMpFtXE0Ot4s+LVc2TB8tfcvXolC/HkXHn4VcH1cKSd7h94H5V+t7t0SivQOWthZKU07cDfWzxh1/lO+eA==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274DF9-DBBF-4F5E-BF68-FF5E0C46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3048</Words>
  <Characters>16765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laube</dc:creator>
  <cp:lastModifiedBy>Laura Gutierrez</cp:lastModifiedBy>
  <cp:revision>3</cp:revision>
  <dcterms:created xsi:type="dcterms:W3CDTF">2022-02-17T13:34:00Z</dcterms:created>
  <dcterms:modified xsi:type="dcterms:W3CDTF">2022-02-17T13:35:00Z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http://www.zotero.org/styles/journal-of-polymers-and-the-environment</vt:lpwstr>
  </property>
  <property fmtid="{D5CDD505-2E9C-101B-9397-08002B2CF9AE}" pid="9" name="Mendeley Recent Style Name 3_1">
    <vt:lpwstr>Journal of Polymers and the Environment</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http://www.zotero.org/styles/royal-society-of-chemistry</vt:lpwstr>
  </property>
  <property fmtid="{D5CDD505-2E9C-101B-9397-08002B2CF9AE}" pid="17" name="Mendeley Recent Style Name 7_1">
    <vt:lpwstr>Royal Society of Chemistry</vt:lpwstr>
  </property>
  <property fmtid="{D5CDD505-2E9C-101B-9397-08002B2CF9AE}" pid="18" name="Mendeley Recent Style Id 8_1">
    <vt:lpwstr>http://www.zotero.org/styles/springer-physics-brackets</vt:lpwstr>
  </property>
  <property fmtid="{D5CDD505-2E9C-101B-9397-08002B2CF9AE}" pid="19" name="Mendeley Recent Style Name 8_1">
    <vt:lpwstr>Springer - Physics (numeric,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5bbcdd68-048b-34f6-89dd-6f67288c8c24</vt:lpwstr>
  </property>
  <property fmtid="{D5CDD505-2E9C-101B-9397-08002B2CF9AE}" pid="24" name="Mendeley Citation Style_1">
    <vt:lpwstr>http://www.zotero.org/styles/journal-of-polymers-and-the-environment</vt:lpwstr>
  </property>
</Properties>
</file>