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0E12F" w14:textId="3A13F203" w:rsidR="00DB0AC5" w:rsidRPr="00020106" w:rsidRDefault="00433B5A" w:rsidP="00DB0AC5">
      <w:pPr>
        <w:spacing w:line="48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33B5A">
        <w:rPr>
          <w:rFonts w:ascii="Times New Roman" w:hAnsi="Times New Roman" w:cs="Times New Roman"/>
          <w:sz w:val="44"/>
          <w:szCs w:val="44"/>
        </w:rPr>
        <w:t>Magnetic cryogels as a shape-selective and customizable platform for hyperthermia-mediated drug delivery</w:t>
      </w:r>
    </w:p>
    <w:p w14:paraId="38795C89" w14:textId="2785E81B" w:rsidR="00020106" w:rsidRPr="00826C46" w:rsidRDefault="00020106" w:rsidP="00020106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6C46">
        <w:rPr>
          <w:rFonts w:ascii="Times New Roman" w:hAnsi="Times New Roman" w:cs="Times New Roman"/>
          <w:i/>
          <w:sz w:val="24"/>
          <w:szCs w:val="24"/>
        </w:rPr>
        <w:t>Ayomi S. Perera*</w:t>
      </w:r>
      <w:r w:rsidRPr="00826C46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826C46">
        <w:rPr>
          <w:rFonts w:ascii="Times New Roman" w:hAnsi="Times New Roman" w:cs="Times New Roman"/>
          <w:i/>
          <w:sz w:val="24"/>
          <w:szCs w:val="24"/>
        </w:rPr>
        <w:t xml:space="preserve">, Richard </w:t>
      </w:r>
      <w:r>
        <w:rPr>
          <w:rFonts w:ascii="Times New Roman" w:hAnsi="Times New Roman" w:cs="Times New Roman"/>
          <w:i/>
          <w:sz w:val="24"/>
          <w:szCs w:val="24"/>
        </w:rPr>
        <w:t xml:space="preserve">J. </w:t>
      </w:r>
      <w:r w:rsidRPr="00826C46">
        <w:rPr>
          <w:rFonts w:ascii="Times New Roman" w:hAnsi="Times New Roman" w:cs="Times New Roman"/>
          <w:i/>
          <w:sz w:val="24"/>
          <w:szCs w:val="24"/>
        </w:rPr>
        <w:t>Jackson</w:t>
      </w:r>
      <w:r w:rsidRPr="00826C46">
        <w:rPr>
          <w:rFonts w:ascii="Times New Roman" w:hAnsi="Times New Roman" w:cs="Times New Roman"/>
          <w:i/>
          <w:sz w:val="24"/>
          <w:szCs w:val="24"/>
          <w:vertAlign w:val="superscript"/>
        </w:rPr>
        <w:t>,2</w:t>
      </w:r>
      <w:r w:rsidRPr="00826C46">
        <w:rPr>
          <w:rFonts w:ascii="Times New Roman" w:hAnsi="Times New Roman" w:cs="Times New Roman"/>
          <w:i/>
          <w:sz w:val="24"/>
          <w:szCs w:val="24"/>
        </w:rPr>
        <w:t xml:space="preserve">, Reece </w:t>
      </w:r>
      <w:r>
        <w:rPr>
          <w:rFonts w:ascii="Times New Roman" w:hAnsi="Times New Roman" w:cs="Times New Roman"/>
          <w:i/>
          <w:sz w:val="24"/>
          <w:szCs w:val="24"/>
        </w:rPr>
        <w:t xml:space="preserve">M. D. </w:t>
      </w:r>
      <w:r w:rsidRPr="00826C46">
        <w:rPr>
          <w:rFonts w:ascii="Times New Roman" w:hAnsi="Times New Roman" w:cs="Times New Roman"/>
          <w:i/>
          <w:sz w:val="24"/>
          <w:szCs w:val="24"/>
        </w:rPr>
        <w:t>Bristow</w:t>
      </w:r>
      <w:r w:rsidRPr="00826C46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826C46">
        <w:rPr>
          <w:rFonts w:ascii="Times New Roman" w:hAnsi="Times New Roman" w:cs="Times New Roman"/>
          <w:i/>
          <w:sz w:val="24"/>
          <w:szCs w:val="24"/>
        </w:rPr>
        <w:t xml:space="preserve"> and Chinyere A. White</w:t>
      </w:r>
      <w:r w:rsidRPr="00826C46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826C4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2DFBE40" w14:textId="58EF52CA" w:rsidR="00020106" w:rsidRDefault="00020106" w:rsidP="00020106">
      <w:pPr>
        <w:spacing w:line="48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495F02">
        <w:rPr>
          <w:rFonts w:ascii="Times New Roman" w:hAnsi="Times New Roman" w:cs="Times New Roman"/>
          <w:sz w:val="24"/>
          <w:szCs w:val="24"/>
          <w:lang w:val="en-US"/>
        </w:rPr>
        <w:t>Department of Chemical and Pharmaceutical Sciences, Kingston University London, Penrhyn Road, Kingston upon Thames, KT1 2EE,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UK,</w:t>
      </w:r>
      <w:r w:rsidRPr="00495F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495F0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a.perera@kingston.ac.uk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BA11CA">
          <w:rPr>
            <w:rStyle w:val="Hyperlink"/>
            <w:rFonts w:ascii="Times New Roman" w:hAnsi="Times New Roman" w:cs="Times New Roman"/>
            <w:sz w:val="24"/>
            <w:szCs w:val="24"/>
          </w:rPr>
          <w:t>k1607738@kingston.ac.uk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BA11CA">
          <w:rPr>
            <w:rStyle w:val="Hyperlink"/>
            <w:rFonts w:ascii="Times New Roman" w:hAnsi="Times New Roman" w:cs="Times New Roman"/>
            <w:sz w:val="24"/>
            <w:szCs w:val="24"/>
          </w:rPr>
          <w:t>chinyere.white@gmail.com</w:t>
        </w:r>
      </w:hyperlink>
    </w:p>
    <w:p w14:paraId="7C9265DA" w14:textId="702299D7" w:rsidR="00020106" w:rsidRDefault="00020106" w:rsidP="0002010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495F02">
        <w:rPr>
          <w:rFonts w:ascii="Times New Roman" w:hAnsi="Times New Roman" w:cs="Times New Roman"/>
          <w:sz w:val="24"/>
          <w:szCs w:val="24"/>
          <w:lang w:val="en-US"/>
        </w:rPr>
        <w:t>Department of Mechanical Engineering, University College London, Torrington Place, London WC1E 7JE, UK</w:t>
      </w:r>
      <w:r w:rsidR="009B65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0" w:history="1">
        <w:r w:rsidR="005C3CDC" w:rsidRPr="00AC55BF">
          <w:rPr>
            <w:rStyle w:val="Hyperlink"/>
            <w:rFonts w:ascii="Times New Roman" w:hAnsi="Times New Roman" w:cs="Times New Roman"/>
            <w:sz w:val="24"/>
            <w:szCs w:val="24"/>
          </w:rPr>
          <w:t>r.jackson@ucl.ac.uk</w:t>
        </w:r>
      </w:hyperlink>
    </w:p>
    <w:p w14:paraId="11C2FC3F" w14:textId="3A6464BC" w:rsidR="00DB0AC5" w:rsidRDefault="00DB0AC5" w:rsidP="00C729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3C5A5" w14:textId="4900F746" w:rsidR="001D71FE" w:rsidRPr="00680B63" w:rsidRDefault="001D71FE" w:rsidP="00680B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20CBB" w14:textId="77777777" w:rsidR="001D71FE" w:rsidRDefault="001D71FE"/>
    <w:p w14:paraId="111FAD9F" w14:textId="77777777" w:rsidR="009A7820" w:rsidRDefault="00680B63" w:rsidP="009A7820">
      <w:pPr>
        <w:keepNext/>
      </w:pPr>
      <w:r>
        <w:rPr>
          <w:noProof/>
          <w:lang w:eastAsia="en-GB"/>
        </w:rPr>
        <w:drawing>
          <wp:inline distT="0" distB="0" distL="0" distR="0" wp14:anchorId="6B1E8E35" wp14:editId="0E426631">
            <wp:extent cx="5730875" cy="1347470"/>
            <wp:effectExtent l="0" t="0" r="317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F27D8" w14:textId="04408445" w:rsidR="00895B53" w:rsidRDefault="009A7820" w:rsidP="009A7820">
      <w:pPr>
        <w:pStyle w:val="Caption"/>
      </w:pPr>
      <w:r>
        <w:t>Figure S</w:t>
      </w:r>
      <w:r w:rsidR="00A06030">
        <w:fldChar w:fldCharType="begin"/>
      </w:r>
      <w:r w:rsidR="00A06030">
        <w:instrText xml:space="preserve"> SEQ Figure \* ARABIC </w:instrText>
      </w:r>
      <w:r w:rsidR="00A06030">
        <w:fldChar w:fldCharType="separate"/>
      </w:r>
      <w:r>
        <w:rPr>
          <w:noProof/>
        </w:rPr>
        <w:t>1</w:t>
      </w:r>
      <w:r w:rsidR="00A06030">
        <w:rPr>
          <w:noProof/>
        </w:rPr>
        <w:fldChar w:fldCharType="end"/>
      </w:r>
      <w:r>
        <w:t xml:space="preserve">. </w:t>
      </w:r>
      <w:r w:rsidRPr="008D4569">
        <w:t>Schematic representation of the apparatus for the drug release studies of acetaminophen from PVA-MNP cryogels.</w:t>
      </w:r>
    </w:p>
    <w:p w14:paraId="52B3252F" w14:textId="77777777" w:rsidR="00643686" w:rsidRDefault="00643686" w:rsidP="00643686">
      <w:pPr>
        <w:keepNext/>
      </w:pPr>
      <w:r>
        <w:rPr>
          <w:noProof/>
          <w:lang w:eastAsia="en-GB"/>
        </w:rPr>
        <w:lastRenderedPageBreak/>
        <w:drawing>
          <wp:inline distT="0" distB="0" distL="0" distR="0" wp14:anchorId="324EB744" wp14:editId="10D9791B">
            <wp:extent cx="5643604" cy="3667152"/>
            <wp:effectExtent l="0" t="0" r="0" b="0"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tg curves edite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604" cy="366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65D1B" w14:textId="175A5CC6" w:rsidR="00643686" w:rsidRDefault="00643686" w:rsidP="00643686">
      <w:pPr>
        <w:rPr>
          <w:i/>
          <w:color w:val="44546A" w:themeColor="text2"/>
          <w:sz w:val="18"/>
          <w:szCs w:val="18"/>
        </w:rPr>
      </w:pPr>
      <w:r w:rsidRPr="00643686">
        <w:rPr>
          <w:i/>
          <w:color w:val="44546A" w:themeColor="text2"/>
          <w:sz w:val="18"/>
          <w:szCs w:val="18"/>
        </w:rPr>
        <w:t>Figure S</w:t>
      </w:r>
      <w:r>
        <w:rPr>
          <w:i/>
          <w:noProof/>
          <w:color w:val="44546A" w:themeColor="text2"/>
          <w:sz w:val="18"/>
          <w:szCs w:val="18"/>
        </w:rPr>
        <w:t>2</w:t>
      </w:r>
      <w:r w:rsidRPr="00643686">
        <w:rPr>
          <w:i/>
          <w:color w:val="44546A" w:themeColor="text2"/>
          <w:sz w:val="18"/>
          <w:szCs w:val="18"/>
        </w:rPr>
        <w:t>. The TGA and DTG curves of citric acid-coated MNPs and drug + citric acid-coated MNPs.</w:t>
      </w:r>
    </w:p>
    <w:p w14:paraId="00A5E616" w14:textId="77777777" w:rsidR="00020106" w:rsidRPr="00643686" w:rsidRDefault="00020106" w:rsidP="00643686">
      <w:pPr>
        <w:rPr>
          <w:i/>
          <w:color w:val="44546A" w:themeColor="text2"/>
          <w:sz w:val="18"/>
          <w:szCs w:val="18"/>
        </w:rPr>
      </w:pPr>
    </w:p>
    <w:p w14:paraId="710C2384" w14:textId="77777777" w:rsidR="00643686" w:rsidRDefault="00643686" w:rsidP="0076624E">
      <w:pPr>
        <w:rPr>
          <w:i/>
          <w:color w:val="44546A" w:themeColor="text2"/>
          <w:sz w:val="18"/>
          <w:szCs w:val="18"/>
        </w:rPr>
      </w:pPr>
    </w:p>
    <w:p w14:paraId="56D4ABF5" w14:textId="649750E2" w:rsidR="00643686" w:rsidRDefault="00643686" w:rsidP="00643686">
      <w:pPr>
        <w:pStyle w:val="Caption"/>
        <w:keepNext/>
        <w:jc w:val="center"/>
      </w:pPr>
      <w:r>
        <w:t>Table S</w:t>
      </w:r>
      <w:r w:rsidR="00A06030">
        <w:fldChar w:fldCharType="begin"/>
      </w:r>
      <w:r w:rsidR="00A06030">
        <w:instrText xml:space="preserve"> SEQ Table \* ARABIC </w:instrText>
      </w:r>
      <w:r w:rsidR="00A06030">
        <w:fldChar w:fldCharType="separate"/>
      </w:r>
      <w:r>
        <w:rPr>
          <w:noProof/>
        </w:rPr>
        <w:t>1</w:t>
      </w:r>
      <w:r w:rsidR="00A06030">
        <w:rPr>
          <w:noProof/>
        </w:rPr>
        <w:fldChar w:fldCharType="end"/>
      </w:r>
      <w:r>
        <w:t xml:space="preserve">. </w:t>
      </w:r>
      <w:r w:rsidRPr="00452190">
        <w:t xml:space="preserve">Shrinkage/expansion testing of </w:t>
      </w:r>
      <w:r w:rsidR="00210261">
        <w:t xml:space="preserve">spherical cap </w:t>
      </w:r>
      <w:r w:rsidRPr="00452190">
        <w:t>shaped cryogels in various mixtures of ethanol : water.</w:t>
      </w:r>
    </w:p>
    <w:p w14:paraId="37D5B025" w14:textId="77777777" w:rsidR="00643686" w:rsidRDefault="00643686" w:rsidP="00643686">
      <w:pPr>
        <w:jc w:val="center"/>
      </w:pPr>
      <w:r w:rsidRPr="000776B8">
        <w:rPr>
          <w:noProof/>
          <w:lang w:eastAsia="en-GB"/>
        </w:rPr>
        <w:drawing>
          <wp:inline distT="0" distB="0" distL="0" distR="0" wp14:anchorId="1BD342A0" wp14:editId="12AFBD09">
            <wp:extent cx="5040000" cy="3779198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6543" w14:textId="77777777" w:rsidR="00643686" w:rsidRDefault="00643686" w:rsidP="0076624E">
      <w:pPr>
        <w:rPr>
          <w:i/>
          <w:color w:val="44546A" w:themeColor="text2"/>
          <w:sz w:val="18"/>
          <w:szCs w:val="18"/>
        </w:rPr>
      </w:pPr>
    </w:p>
    <w:p w14:paraId="2D8DB313" w14:textId="77777777" w:rsidR="00643686" w:rsidRPr="00643686" w:rsidRDefault="00643686" w:rsidP="00643686"/>
    <w:p w14:paraId="301BA43D" w14:textId="77777777" w:rsidR="00643686" w:rsidRDefault="00643686" w:rsidP="00643686">
      <w:pPr>
        <w:keepNext/>
      </w:pPr>
      <w:r w:rsidRPr="00D146EB">
        <w:rPr>
          <w:noProof/>
          <w:lang w:eastAsia="en-GB"/>
        </w:rPr>
        <w:drawing>
          <wp:inline distT="0" distB="0" distL="0" distR="0" wp14:anchorId="15ED6FC2" wp14:editId="50E51F78">
            <wp:extent cx="5731510" cy="2987618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8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884D0" w14:textId="01509E7E" w:rsidR="00643686" w:rsidRDefault="00643686" w:rsidP="00643686">
      <w:pPr>
        <w:pStyle w:val="Caption"/>
      </w:pPr>
      <w:r>
        <w:t xml:space="preserve">Figure </w:t>
      </w:r>
      <w:r w:rsidR="00CD15E2">
        <w:t>S3</w:t>
      </w:r>
      <w:r>
        <w:t xml:space="preserve">. </w:t>
      </w:r>
      <w:r w:rsidRPr="00DA6E88">
        <w:t>UV-vis absorbance scan for acetaminophen indicating a strong peak at 248 nm and a broad shoulder at 285 nm.</w:t>
      </w:r>
    </w:p>
    <w:p w14:paraId="3D8BF26F" w14:textId="77777777" w:rsidR="00643686" w:rsidRDefault="00643686" w:rsidP="00643686"/>
    <w:p w14:paraId="3CE0621E" w14:textId="77777777" w:rsidR="00643686" w:rsidRDefault="00643686" w:rsidP="00643686">
      <w:pPr>
        <w:keepNext/>
      </w:pPr>
      <w:r>
        <w:rPr>
          <w:noProof/>
          <w:lang w:eastAsia="en-GB"/>
        </w:rPr>
        <w:drawing>
          <wp:inline distT="0" distB="0" distL="0" distR="0" wp14:anchorId="00F52F11" wp14:editId="591B44F0">
            <wp:extent cx="5641084" cy="3390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669" cy="339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4BB1D" w14:textId="390F2381" w:rsidR="00643686" w:rsidRPr="00643686" w:rsidRDefault="00643686" w:rsidP="00643686">
      <w:pPr>
        <w:rPr>
          <w:i/>
          <w:sz w:val="18"/>
          <w:szCs w:val="18"/>
        </w:rPr>
      </w:pPr>
      <w:r w:rsidRPr="00643686">
        <w:rPr>
          <w:i/>
          <w:color w:val="44546A" w:themeColor="text2"/>
          <w:sz w:val="18"/>
          <w:szCs w:val="18"/>
        </w:rPr>
        <w:t xml:space="preserve">Figure </w:t>
      </w:r>
      <w:r w:rsidR="00CD15E2" w:rsidRPr="00643686">
        <w:rPr>
          <w:i/>
          <w:color w:val="44546A" w:themeColor="text2"/>
          <w:sz w:val="18"/>
          <w:szCs w:val="18"/>
        </w:rPr>
        <w:t>S</w:t>
      </w:r>
      <w:r w:rsidR="00CD15E2">
        <w:rPr>
          <w:i/>
          <w:color w:val="44546A" w:themeColor="text2"/>
          <w:sz w:val="18"/>
          <w:szCs w:val="18"/>
        </w:rPr>
        <w:t>4</w:t>
      </w:r>
      <w:r w:rsidRPr="00643686">
        <w:rPr>
          <w:i/>
          <w:color w:val="44546A" w:themeColor="text2"/>
          <w:sz w:val="18"/>
          <w:szCs w:val="18"/>
        </w:rPr>
        <w:t>. The calibration curve used in the determination of the concentration of acetaminophen in IMS (25%) for the drug release studies.</w:t>
      </w:r>
    </w:p>
    <w:p w14:paraId="5F538996" w14:textId="603ADDF4" w:rsidR="00680B63" w:rsidRDefault="00680B63" w:rsidP="00680B63"/>
    <w:p w14:paraId="5371039D" w14:textId="77777777" w:rsidR="009B65F7" w:rsidRDefault="009B65F7" w:rsidP="00643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DB910" w14:textId="77777777" w:rsidR="009B65F7" w:rsidRDefault="009B65F7" w:rsidP="006436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FE1289" w14:textId="104C4AB7" w:rsidR="00643686" w:rsidRPr="00726A5A" w:rsidRDefault="00643686" w:rsidP="006436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6A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1. </w:t>
      </w:r>
      <w:r w:rsidRPr="00726A5A">
        <w:rPr>
          <w:rFonts w:ascii="Times New Roman" w:hAnsi="Times New Roman" w:cs="Times New Roman"/>
          <w:bCs/>
          <w:sz w:val="24"/>
          <w:szCs w:val="24"/>
        </w:rPr>
        <w:t>Surface area calculations of disc and spherical cap</w:t>
      </w:r>
      <w:r w:rsidR="00416744">
        <w:rPr>
          <w:rFonts w:ascii="Times New Roman" w:hAnsi="Times New Roman" w:cs="Times New Roman"/>
          <w:bCs/>
          <w:sz w:val="24"/>
          <w:szCs w:val="24"/>
        </w:rPr>
        <w:t xml:space="preserve"> gels</w:t>
      </w:r>
    </w:p>
    <w:p w14:paraId="6319DFD8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Disc shaped gels:</w:t>
      </w:r>
    </w:p>
    <w:p w14:paraId="72AD45A5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Disc radius = 1.1 cm</w:t>
      </w:r>
    </w:p>
    <w:p w14:paraId="7C55C585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Disc volume = 2 ml</w:t>
      </w:r>
    </w:p>
    <w:p w14:paraId="018785D1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V</w:t>
      </w:r>
      <w:r w:rsidRPr="00726A5A">
        <w:rPr>
          <w:rFonts w:ascii="Times New Roman" w:hAnsi="Times New Roman" w:cs="Times New Roman"/>
          <w:sz w:val="24"/>
          <w:szCs w:val="24"/>
          <w:vertAlign w:val="subscript"/>
        </w:rPr>
        <w:t>disc</w:t>
      </w:r>
      <w:r w:rsidRPr="00726A5A">
        <w:rPr>
          <w:rFonts w:ascii="Times New Roman" w:hAnsi="Times New Roman" w:cs="Times New Roman"/>
          <w:sz w:val="24"/>
          <w:szCs w:val="24"/>
        </w:rPr>
        <w:t xml:space="preserve"> = πr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>h</w:t>
      </w:r>
    </w:p>
    <w:p w14:paraId="47255833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h = 0.53 cm</w:t>
      </w:r>
    </w:p>
    <w:p w14:paraId="7EB57BFC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A</w:t>
      </w:r>
      <w:r w:rsidRPr="00726A5A">
        <w:rPr>
          <w:rFonts w:ascii="Times New Roman" w:hAnsi="Times New Roman" w:cs="Times New Roman"/>
          <w:sz w:val="24"/>
          <w:szCs w:val="24"/>
          <w:vertAlign w:val="subscript"/>
        </w:rPr>
        <w:t>disc</w:t>
      </w:r>
      <w:r w:rsidRPr="00726A5A">
        <w:rPr>
          <w:rFonts w:ascii="Times New Roman" w:hAnsi="Times New Roman" w:cs="Times New Roman"/>
          <w:sz w:val="24"/>
          <w:szCs w:val="24"/>
        </w:rPr>
        <w:t xml:space="preserve"> = 2 πrh + 2πr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 xml:space="preserve"> = 11.26 cm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3626797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</w:p>
    <w:p w14:paraId="412CB4D7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Spherical cap shaped gels</w:t>
      </w:r>
    </w:p>
    <w:p w14:paraId="6B2283A7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Cap radius = 1.25 cm</w:t>
      </w:r>
    </w:p>
    <w:p w14:paraId="26219EEC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Cap Volume = 2 ml</w:t>
      </w:r>
    </w:p>
    <w:p w14:paraId="72DA83F2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V</w:t>
      </w:r>
      <w:r w:rsidRPr="00726A5A">
        <w:rPr>
          <w:rFonts w:ascii="Times New Roman" w:hAnsi="Times New Roman" w:cs="Times New Roman"/>
          <w:sz w:val="24"/>
          <w:szCs w:val="24"/>
          <w:vertAlign w:val="subscript"/>
        </w:rPr>
        <w:t>cap</w:t>
      </w:r>
      <w:r w:rsidRPr="00726A5A">
        <w:rPr>
          <w:rFonts w:ascii="Times New Roman" w:hAnsi="Times New Roman" w:cs="Times New Roman"/>
          <w:sz w:val="24"/>
          <w:szCs w:val="24"/>
        </w:rPr>
        <w:t xml:space="preserve"> = (πh(3r</w:t>
      </w:r>
      <w:r w:rsidRPr="00726A5A">
        <w:rPr>
          <w:rFonts w:ascii="Times New Roman" w:hAnsi="Times New Roman" w:cs="Times New Roman"/>
          <w:sz w:val="24"/>
          <w:szCs w:val="24"/>
          <w:vertAlign w:val="subscript"/>
        </w:rPr>
        <w:t>cap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 xml:space="preserve"> + h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>))/6</w:t>
      </w:r>
    </w:p>
    <w:p w14:paraId="4404CE4E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h = 0.7 cm</w:t>
      </w:r>
    </w:p>
    <w:p w14:paraId="076B55B0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A</w:t>
      </w:r>
      <w:r w:rsidRPr="00726A5A">
        <w:rPr>
          <w:rFonts w:ascii="Times New Roman" w:hAnsi="Times New Roman" w:cs="Times New Roman"/>
          <w:sz w:val="24"/>
          <w:szCs w:val="24"/>
          <w:vertAlign w:val="subscript"/>
        </w:rPr>
        <w:t>cap</w:t>
      </w:r>
      <w:r w:rsidRPr="00726A5A">
        <w:rPr>
          <w:rFonts w:ascii="Times New Roman" w:hAnsi="Times New Roman" w:cs="Times New Roman"/>
          <w:sz w:val="24"/>
          <w:szCs w:val="24"/>
        </w:rPr>
        <w:t xml:space="preserve"> = π(r</w:t>
      </w:r>
      <w:r w:rsidRPr="00726A5A">
        <w:rPr>
          <w:rFonts w:ascii="Times New Roman" w:hAnsi="Times New Roman" w:cs="Times New Roman"/>
          <w:sz w:val="24"/>
          <w:szCs w:val="24"/>
          <w:vertAlign w:val="subscript"/>
        </w:rPr>
        <w:t>cap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 xml:space="preserve"> + h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>) + πr</w:t>
      </w:r>
      <w:r w:rsidRPr="00726A5A">
        <w:rPr>
          <w:rFonts w:ascii="Times New Roman" w:hAnsi="Times New Roman" w:cs="Times New Roman"/>
          <w:sz w:val="24"/>
          <w:szCs w:val="24"/>
          <w:vertAlign w:val="subscript"/>
        </w:rPr>
        <w:t>cap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 xml:space="preserve"> = 11.35 cm</w:t>
      </w:r>
      <w:r w:rsidRPr="00726A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26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30220" w14:textId="7D60484F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 xml:space="preserve">The difference in surface areas are </w:t>
      </w:r>
      <w:r w:rsidR="00DB6BA8">
        <w:rPr>
          <w:rFonts w:ascii="Times New Roman" w:hAnsi="Times New Roman" w:cs="Times New Roman"/>
          <w:sz w:val="24"/>
          <w:szCs w:val="24"/>
        </w:rPr>
        <w:t>&lt;</w:t>
      </w:r>
      <w:r w:rsidR="00343CA9">
        <w:rPr>
          <w:rFonts w:ascii="Times New Roman" w:hAnsi="Times New Roman" w:cs="Times New Roman"/>
          <w:sz w:val="24"/>
          <w:szCs w:val="24"/>
        </w:rPr>
        <w:t>0.0</w:t>
      </w:r>
      <w:r w:rsidRPr="00726A5A">
        <w:rPr>
          <w:rFonts w:ascii="Times New Roman" w:hAnsi="Times New Roman" w:cs="Times New Roman"/>
          <w:sz w:val="24"/>
          <w:szCs w:val="24"/>
        </w:rPr>
        <w:t>1% as evidenced as:</w:t>
      </w:r>
    </w:p>
    <w:p w14:paraId="43356083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[(11.35 – 11.26) / 11.35] * 100% = 0.79%</w:t>
      </w:r>
      <w:bookmarkStart w:id="0" w:name="_GoBack"/>
      <w:bookmarkEnd w:id="0"/>
    </w:p>
    <w:p w14:paraId="71C46817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 xml:space="preserve">Or </w:t>
      </w:r>
    </w:p>
    <w:p w14:paraId="16DA26C8" w14:textId="77777777" w:rsidR="00643686" w:rsidRPr="00726A5A" w:rsidRDefault="00643686" w:rsidP="00643686">
      <w:pPr>
        <w:rPr>
          <w:rFonts w:ascii="Times New Roman" w:hAnsi="Times New Roman" w:cs="Times New Roman"/>
          <w:sz w:val="24"/>
          <w:szCs w:val="24"/>
        </w:rPr>
      </w:pPr>
      <w:r w:rsidRPr="00726A5A">
        <w:rPr>
          <w:rFonts w:ascii="Times New Roman" w:hAnsi="Times New Roman" w:cs="Times New Roman"/>
          <w:sz w:val="24"/>
          <w:szCs w:val="24"/>
        </w:rPr>
        <w:t>[(11.35 – 11.26) / 11.26] * 100% = 0.80%</w:t>
      </w:r>
    </w:p>
    <w:p w14:paraId="4D61BF8B" w14:textId="77777777" w:rsidR="00643686" w:rsidRPr="00680B63" w:rsidRDefault="00643686" w:rsidP="00680B63"/>
    <w:p w14:paraId="5A6108DC" w14:textId="5185D004" w:rsidR="009A7820" w:rsidRDefault="00CD15E2" w:rsidP="009A7820">
      <w:pPr>
        <w:keepNext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0A086C03" wp14:editId="6D683352">
            <wp:extent cx="4084955" cy="3566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22B8A" w14:textId="0E888977" w:rsidR="00F907C6" w:rsidRDefault="009A7820" w:rsidP="009A7820">
      <w:pPr>
        <w:pStyle w:val="Caption"/>
        <w:jc w:val="center"/>
      </w:pPr>
      <w:r w:rsidRPr="009B65F7">
        <w:t xml:space="preserve">Figure </w:t>
      </w:r>
      <w:r w:rsidR="00CD15E2" w:rsidRPr="009B65F7">
        <w:t>S5</w:t>
      </w:r>
      <w:r w:rsidRPr="009B65F7">
        <w:t>. The assembly of the apparatus for the hyperthermia experiments of PVA-MNP cryogels.</w:t>
      </w:r>
    </w:p>
    <w:p w14:paraId="3EC959E2" w14:textId="5F6B2C41" w:rsidR="00895B53" w:rsidRDefault="00895B53" w:rsidP="009A7820">
      <w:pPr>
        <w:pStyle w:val="Caption"/>
      </w:pPr>
    </w:p>
    <w:p w14:paraId="05C574B7" w14:textId="031B5724" w:rsidR="009A7820" w:rsidRDefault="009A7820" w:rsidP="009A7820"/>
    <w:p w14:paraId="7C9FD7AF" w14:textId="548AA251" w:rsidR="009A7820" w:rsidRDefault="006C7D77" w:rsidP="009A7820">
      <w:pPr>
        <w:keepNext/>
        <w:jc w:val="center"/>
      </w:pPr>
      <w:r>
        <w:rPr>
          <w:noProof/>
          <w:lang w:eastAsia="en-GB"/>
        </w:rPr>
        <w:drawing>
          <wp:inline distT="0" distB="0" distL="0" distR="0" wp14:anchorId="20E8ACD9" wp14:editId="51AFA7D1">
            <wp:extent cx="4951444" cy="324000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4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9B486" w14:textId="4669D226" w:rsidR="00792BC3" w:rsidRDefault="009A7820" w:rsidP="009A7820">
      <w:pPr>
        <w:pStyle w:val="Caption"/>
        <w:jc w:val="center"/>
      </w:pPr>
      <w:r>
        <w:t xml:space="preserve">Figure </w:t>
      </w:r>
      <w:r w:rsidR="00CD15E2">
        <w:t>S6</w:t>
      </w:r>
      <w:r>
        <w:t xml:space="preserve">. </w:t>
      </w:r>
      <w:bookmarkStart w:id="1" w:name="_Hlk94110826"/>
      <w:r w:rsidRPr="005C2C3B">
        <w:t xml:space="preserve">Comparison of temperature increase in </w:t>
      </w:r>
      <w:r w:rsidR="006C7D77">
        <w:t xml:space="preserve">slurries (i.e., PVA-MNP mixtures without any gel formation) </w:t>
      </w:r>
      <w:r w:rsidRPr="005C2C3B">
        <w:t xml:space="preserve">with and without acetaminophen coating </w:t>
      </w:r>
      <w:r w:rsidR="006C7D77">
        <w:t xml:space="preserve">of MNPs </w:t>
      </w:r>
      <w:r w:rsidRPr="005C2C3B">
        <w:t>during magnetic hyperthermia.</w:t>
      </w:r>
      <w:bookmarkEnd w:id="1"/>
    </w:p>
    <w:p w14:paraId="72F63376" w14:textId="77777777" w:rsidR="00642AE9" w:rsidRDefault="00642AE9" w:rsidP="001E27BF"/>
    <w:p w14:paraId="4B188191" w14:textId="77777777" w:rsidR="001E27BF" w:rsidRDefault="001E27BF" w:rsidP="001E27BF">
      <w:pPr>
        <w:keepNext/>
      </w:pPr>
    </w:p>
    <w:sectPr w:rsidR="001E2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5D1A1" w14:textId="77777777" w:rsidR="00632907" w:rsidRDefault="00632907" w:rsidP="001822E6">
      <w:pPr>
        <w:spacing w:after="0" w:line="240" w:lineRule="auto"/>
      </w:pPr>
      <w:r>
        <w:separator/>
      </w:r>
    </w:p>
  </w:endnote>
  <w:endnote w:type="continuationSeparator" w:id="0">
    <w:p w14:paraId="4F795227" w14:textId="77777777" w:rsidR="00632907" w:rsidRDefault="00632907" w:rsidP="0018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31DA9" w14:textId="77777777" w:rsidR="00632907" w:rsidRDefault="00632907" w:rsidP="001822E6">
      <w:pPr>
        <w:spacing w:after="0" w:line="240" w:lineRule="auto"/>
      </w:pPr>
      <w:r>
        <w:separator/>
      </w:r>
    </w:p>
  </w:footnote>
  <w:footnote w:type="continuationSeparator" w:id="0">
    <w:p w14:paraId="1C887D82" w14:textId="77777777" w:rsidR="00632907" w:rsidRDefault="00632907" w:rsidP="00182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E1"/>
    <w:rsid w:val="00020106"/>
    <w:rsid w:val="000776B8"/>
    <w:rsid w:val="000C3892"/>
    <w:rsid w:val="000C55BE"/>
    <w:rsid w:val="00102E9C"/>
    <w:rsid w:val="001353B7"/>
    <w:rsid w:val="00136DE1"/>
    <w:rsid w:val="001822E6"/>
    <w:rsid w:val="0019577A"/>
    <w:rsid w:val="001D71FE"/>
    <w:rsid w:val="001E27BF"/>
    <w:rsid w:val="00210261"/>
    <w:rsid w:val="00257DC1"/>
    <w:rsid w:val="0026291C"/>
    <w:rsid w:val="002A5D38"/>
    <w:rsid w:val="00343CA9"/>
    <w:rsid w:val="00345BE4"/>
    <w:rsid w:val="003626D1"/>
    <w:rsid w:val="00376EC3"/>
    <w:rsid w:val="00391A23"/>
    <w:rsid w:val="003E2F76"/>
    <w:rsid w:val="00410D56"/>
    <w:rsid w:val="00416744"/>
    <w:rsid w:val="00433B5A"/>
    <w:rsid w:val="004D0650"/>
    <w:rsid w:val="0051145C"/>
    <w:rsid w:val="00563742"/>
    <w:rsid w:val="00566CF3"/>
    <w:rsid w:val="00593AA5"/>
    <w:rsid w:val="005975F4"/>
    <w:rsid w:val="005A2196"/>
    <w:rsid w:val="005C3CDC"/>
    <w:rsid w:val="00612F2F"/>
    <w:rsid w:val="0061384A"/>
    <w:rsid w:val="00632907"/>
    <w:rsid w:val="00642AE9"/>
    <w:rsid w:val="00643686"/>
    <w:rsid w:val="00680B63"/>
    <w:rsid w:val="006B0B55"/>
    <w:rsid w:val="006C7D77"/>
    <w:rsid w:val="006D7BB7"/>
    <w:rsid w:val="006E4533"/>
    <w:rsid w:val="00726A5A"/>
    <w:rsid w:val="00760A1A"/>
    <w:rsid w:val="0076624E"/>
    <w:rsid w:val="00766CA4"/>
    <w:rsid w:val="00792BC3"/>
    <w:rsid w:val="00895B53"/>
    <w:rsid w:val="008E07B6"/>
    <w:rsid w:val="009A7820"/>
    <w:rsid w:val="009B65F7"/>
    <w:rsid w:val="00A06030"/>
    <w:rsid w:val="00AC716A"/>
    <w:rsid w:val="00B81E4A"/>
    <w:rsid w:val="00B94124"/>
    <w:rsid w:val="00B977C4"/>
    <w:rsid w:val="00BF3945"/>
    <w:rsid w:val="00C729ED"/>
    <w:rsid w:val="00CA13EB"/>
    <w:rsid w:val="00CD15E2"/>
    <w:rsid w:val="00CD424F"/>
    <w:rsid w:val="00D146EB"/>
    <w:rsid w:val="00D7696E"/>
    <w:rsid w:val="00D76E83"/>
    <w:rsid w:val="00D853A9"/>
    <w:rsid w:val="00D86D75"/>
    <w:rsid w:val="00DB0AC5"/>
    <w:rsid w:val="00DB6BA8"/>
    <w:rsid w:val="00DE4264"/>
    <w:rsid w:val="00DE4B9C"/>
    <w:rsid w:val="00DF0ED2"/>
    <w:rsid w:val="00DF7F91"/>
    <w:rsid w:val="00E23456"/>
    <w:rsid w:val="00EC2FA7"/>
    <w:rsid w:val="00EE78F2"/>
    <w:rsid w:val="00F005A2"/>
    <w:rsid w:val="00F0692F"/>
    <w:rsid w:val="00F231FF"/>
    <w:rsid w:val="00F670A4"/>
    <w:rsid w:val="00F9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0C385C"/>
  <w15:chartTrackingRefBased/>
  <w15:docId w15:val="{50070308-58E1-4F31-9D39-047D518A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AC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AC5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95B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CD15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02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64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4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74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55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1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8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r.jackson@ucl.ac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ADF94-68FC-493F-B34D-6556800E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Ayomi Sheamilka Perera</dc:creator>
  <cp:keywords/>
  <dc:description/>
  <cp:lastModifiedBy>DashManikkuwadura</cp:lastModifiedBy>
  <cp:revision>2</cp:revision>
  <dcterms:created xsi:type="dcterms:W3CDTF">2022-02-16T17:07:00Z</dcterms:created>
  <dcterms:modified xsi:type="dcterms:W3CDTF">2022-02-16T17:07:00Z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551598-29da-492a-8b9f-8358cd43dd03_Enabled">
    <vt:lpwstr>True</vt:lpwstr>
  </property>
  <property fmtid="{D5CDD505-2E9C-101B-9397-08002B2CF9AE}" pid="3" name="MSIP_Label_3b551598-29da-492a-8b9f-8358cd43dd03_SiteId">
    <vt:lpwstr>c9ef029c-18cf-4016-86d3-93cf8e94ff94</vt:lpwstr>
  </property>
  <property fmtid="{D5CDD505-2E9C-101B-9397-08002B2CF9AE}" pid="4" name="MSIP_Label_3b551598-29da-492a-8b9f-8358cd43dd03_Owner">
    <vt:lpwstr>KU66412@kingston.ac.uk</vt:lpwstr>
  </property>
  <property fmtid="{D5CDD505-2E9C-101B-9397-08002B2CF9AE}" pid="5" name="MSIP_Label_3b551598-29da-492a-8b9f-8358cd43dd03_SetDate">
    <vt:lpwstr>2021-06-09T16:02:12.6340203Z</vt:lpwstr>
  </property>
  <property fmtid="{D5CDD505-2E9C-101B-9397-08002B2CF9AE}" pid="6" name="MSIP_Label_3b551598-29da-492a-8b9f-8358cd43dd03_Name">
    <vt:lpwstr>General</vt:lpwstr>
  </property>
  <property fmtid="{D5CDD505-2E9C-101B-9397-08002B2CF9AE}" pid="7" name="MSIP_Label_3b551598-29da-492a-8b9f-8358cd43dd03_Application">
    <vt:lpwstr>Microsoft Azure Information Protection</vt:lpwstr>
  </property>
  <property fmtid="{D5CDD505-2E9C-101B-9397-08002B2CF9AE}" pid="8" name="MSIP_Label_3b551598-29da-492a-8b9f-8358cd43dd03_ActionId">
    <vt:lpwstr>bcc5ce46-750a-4388-81fb-11e5f69a477f</vt:lpwstr>
  </property>
  <property fmtid="{D5CDD505-2E9C-101B-9397-08002B2CF9AE}" pid="9" name="MSIP_Label_3b551598-29da-492a-8b9f-8358cd43dd03_Extended_MSFT_Method">
    <vt:lpwstr>Automatic</vt:lpwstr>
  </property>
  <property fmtid="{D5CDD505-2E9C-101B-9397-08002B2CF9AE}" pid="10" name="Sensitivity">
    <vt:lpwstr>General</vt:lpwstr>
  </property>
</Properties>
</file>