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pPr w:leftFromText="141" w:rightFromText="141" w:vertAnchor="page" w:horzAnchor="margin" w:tblpY="2701"/>
        <w:tblW w:w="5000" w:type="pct"/>
        <w:tblLook w:val="04A0" w:firstRow="1" w:lastRow="0" w:firstColumn="1" w:lastColumn="0" w:noHBand="0" w:noVBand="1"/>
      </w:tblPr>
      <w:tblGrid>
        <w:gridCol w:w="5767"/>
        <w:gridCol w:w="3295"/>
      </w:tblGrid>
      <w:tr w:rsidR="00AE21E8" w:rsidTr="00AE21E8">
        <w:trPr>
          <w:trHeight w:val="227"/>
        </w:trPr>
        <w:tc>
          <w:tcPr>
            <w:tcW w:w="3182" w:type="pct"/>
          </w:tcPr>
          <w:p w:rsidR="00AE21E8" w:rsidRPr="000D0FA1" w:rsidRDefault="00AE21E8" w:rsidP="00AE21E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4"/>
                <w:szCs w:val="24"/>
              </w:rPr>
            </w:pPr>
            <w:r w:rsidRPr="000D0FA1">
              <w:rPr>
                <w:b/>
                <w:sz w:val="24"/>
                <w:szCs w:val="24"/>
              </w:rPr>
              <w:t>variable</w:t>
            </w:r>
          </w:p>
        </w:tc>
        <w:tc>
          <w:tcPr>
            <w:tcW w:w="1818" w:type="pct"/>
          </w:tcPr>
          <w:p w:rsidR="00AE21E8" w:rsidRPr="000D0FA1" w:rsidRDefault="00AE21E8" w:rsidP="00AE21E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4"/>
                <w:szCs w:val="24"/>
              </w:rPr>
            </w:pPr>
            <w:r w:rsidRPr="000D0FA1">
              <w:rPr>
                <w:b/>
                <w:sz w:val="24"/>
                <w:szCs w:val="24"/>
              </w:rPr>
              <w:t>P for interaction</w:t>
            </w:r>
          </w:p>
        </w:tc>
      </w:tr>
      <w:tr w:rsidR="00AE21E8" w:rsidTr="00AE21E8">
        <w:trPr>
          <w:trHeight w:val="252"/>
        </w:trPr>
        <w:tc>
          <w:tcPr>
            <w:tcW w:w="3182" w:type="pct"/>
          </w:tcPr>
          <w:p w:rsidR="00AE21E8" w:rsidRDefault="00AE21E8" w:rsidP="00AE21E8">
            <w:pPr>
              <w:pStyle w:val="Bezmezer"/>
            </w:pPr>
            <w:r w:rsidRPr="00CA5993">
              <w:t>NYHA functional class</w:t>
            </w:r>
          </w:p>
        </w:tc>
        <w:tc>
          <w:tcPr>
            <w:tcW w:w="1818" w:type="pct"/>
          </w:tcPr>
          <w:p w:rsidR="00AE21E8" w:rsidRDefault="00AE21E8" w:rsidP="00AE21E8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CA5993">
              <w:rPr>
                <w:sz w:val="24"/>
                <w:szCs w:val="24"/>
              </w:rPr>
              <w:t>0.65</w:t>
            </w:r>
          </w:p>
        </w:tc>
      </w:tr>
      <w:tr w:rsidR="00AE21E8" w:rsidTr="00AE21E8">
        <w:trPr>
          <w:trHeight w:val="227"/>
        </w:trPr>
        <w:tc>
          <w:tcPr>
            <w:tcW w:w="3182" w:type="pct"/>
          </w:tcPr>
          <w:p w:rsidR="00AE21E8" w:rsidRDefault="00AE21E8" w:rsidP="00AE21E8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CA5993">
              <w:rPr>
                <w:sz w:val="24"/>
                <w:szCs w:val="24"/>
              </w:rPr>
              <w:t>LVEF</w:t>
            </w:r>
          </w:p>
        </w:tc>
        <w:tc>
          <w:tcPr>
            <w:tcW w:w="1818" w:type="pct"/>
          </w:tcPr>
          <w:p w:rsidR="00AE21E8" w:rsidRDefault="00AE21E8" w:rsidP="00AE21E8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CA5993">
              <w:rPr>
                <w:sz w:val="24"/>
                <w:szCs w:val="24"/>
              </w:rPr>
              <w:t>0.42</w:t>
            </w:r>
          </w:p>
        </w:tc>
      </w:tr>
      <w:tr w:rsidR="00AE21E8" w:rsidTr="00AE21E8">
        <w:trPr>
          <w:trHeight w:val="283"/>
        </w:trPr>
        <w:tc>
          <w:tcPr>
            <w:tcW w:w="3182" w:type="pct"/>
          </w:tcPr>
          <w:p w:rsidR="00AE21E8" w:rsidRDefault="00AE21E8" w:rsidP="00AE21E8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CA5993">
              <w:rPr>
                <w:sz w:val="24"/>
                <w:szCs w:val="24"/>
              </w:rPr>
              <w:t>RV dysfunction grade</w:t>
            </w:r>
          </w:p>
        </w:tc>
        <w:tc>
          <w:tcPr>
            <w:tcW w:w="1818" w:type="pct"/>
          </w:tcPr>
          <w:p w:rsidR="00AE21E8" w:rsidRDefault="00AE21E8" w:rsidP="00AE21E8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CA5993">
              <w:rPr>
                <w:sz w:val="24"/>
                <w:szCs w:val="24"/>
              </w:rPr>
              <w:t>0.43</w:t>
            </w:r>
          </w:p>
        </w:tc>
      </w:tr>
      <w:tr w:rsidR="00AE21E8" w:rsidTr="00AE21E8">
        <w:trPr>
          <w:trHeight w:val="283"/>
        </w:trPr>
        <w:tc>
          <w:tcPr>
            <w:tcW w:w="3182" w:type="pct"/>
          </w:tcPr>
          <w:p w:rsidR="00AE21E8" w:rsidRDefault="00AE21E8" w:rsidP="00AE21E8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CA5993">
              <w:rPr>
                <w:sz w:val="24"/>
                <w:szCs w:val="24"/>
              </w:rPr>
              <w:t>BNP</w:t>
            </w:r>
          </w:p>
        </w:tc>
        <w:tc>
          <w:tcPr>
            <w:tcW w:w="1818" w:type="pct"/>
          </w:tcPr>
          <w:p w:rsidR="00AE21E8" w:rsidRDefault="00AE21E8" w:rsidP="00AE21E8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CA5993">
              <w:rPr>
                <w:sz w:val="24"/>
                <w:szCs w:val="24"/>
              </w:rPr>
              <w:t>0.35</w:t>
            </w:r>
          </w:p>
        </w:tc>
      </w:tr>
      <w:tr w:rsidR="00AE21E8" w:rsidTr="00AE21E8">
        <w:trPr>
          <w:trHeight w:val="283"/>
        </w:trPr>
        <w:tc>
          <w:tcPr>
            <w:tcW w:w="3182" w:type="pct"/>
          </w:tcPr>
          <w:p w:rsidR="00AE21E8" w:rsidRDefault="00AE21E8" w:rsidP="00AE21E8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CA5993">
              <w:rPr>
                <w:sz w:val="24"/>
                <w:szCs w:val="24"/>
              </w:rPr>
              <w:t>eGFR</w:t>
            </w:r>
            <w:proofErr w:type="spellEnd"/>
          </w:p>
        </w:tc>
        <w:tc>
          <w:tcPr>
            <w:tcW w:w="1818" w:type="pct"/>
          </w:tcPr>
          <w:p w:rsidR="00AE21E8" w:rsidRDefault="00AE21E8" w:rsidP="00AE21E8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CA5993">
              <w:rPr>
                <w:sz w:val="24"/>
                <w:szCs w:val="24"/>
              </w:rPr>
              <w:t>0.20</w:t>
            </w:r>
          </w:p>
        </w:tc>
      </w:tr>
      <w:tr w:rsidR="00AE21E8" w:rsidTr="00AE21E8">
        <w:trPr>
          <w:trHeight w:val="283"/>
        </w:trPr>
        <w:tc>
          <w:tcPr>
            <w:tcW w:w="3182" w:type="pct"/>
          </w:tcPr>
          <w:p w:rsidR="00AE21E8" w:rsidRPr="00CA5993" w:rsidRDefault="00AE21E8" w:rsidP="00AE21E8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CA5993">
              <w:rPr>
                <w:sz w:val="24"/>
                <w:szCs w:val="24"/>
              </w:rPr>
              <w:t>ACEi/ARB treatment</w:t>
            </w:r>
          </w:p>
        </w:tc>
        <w:tc>
          <w:tcPr>
            <w:tcW w:w="1818" w:type="pct"/>
          </w:tcPr>
          <w:p w:rsidR="00AE21E8" w:rsidRPr="00CA5993" w:rsidRDefault="00AE21E8" w:rsidP="00AE21E8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CA5993">
              <w:rPr>
                <w:sz w:val="24"/>
                <w:szCs w:val="24"/>
              </w:rPr>
              <w:t>0.31</w:t>
            </w:r>
          </w:p>
        </w:tc>
      </w:tr>
      <w:tr w:rsidR="00AE21E8" w:rsidTr="00AE21E8">
        <w:trPr>
          <w:trHeight w:val="283"/>
        </w:trPr>
        <w:tc>
          <w:tcPr>
            <w:tcW w:w="3182" w:type="pct"/>
          </w:tcPr>
          <w:p w:rsidR="00AE21E8" w:rsidRPr="00CA5993" w:rsidRDefault="00AE21E8" w:rsidP="00AE21E8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CA5993">
              <w:rPr>
                <w:sz w:val="24"/>
                <w:szCs w:val="24"/>
              </w:rPr>
              <w:t>beta-blocker treatment</w:t>
            </w:r>
          </w:p>
        </w:tc>
        <w:tc>
          <w:tcPr>
            <w:tcW w:w="1818" w:type="pct"/>
          </w:tcPr>
          <w:p w:rsidR="00AE21E8" w:rsidRPr="00CA5993" w:rsidRDefault="00AE21E8" w:rsidP="00AE21E8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00CA5993">
              <w:rPr>
                <w:sz w:val="24"/>
                <w:szCs w:val="24"/>
              </w:rPr>
              <w:t>0.93</w:t>
            </w:r>
          </w:p>
        </w:tc>
      </w:tr>
      <w:tr w:rsidR="00AE21E8" w:rsidTr="00AE21E8">
        <w:trPr>
          <w:trHeight w:val="283"/>
        </w:trPr>
        <w:tc>
          <w:tcPr>
            <w:tcW w:w="3182" w:type="pct"/>
          </w:tcPr>
          <w:p w:rsidR="00AE21E8" w:rsidRPr="00CA5993" w:rsidRDefault="00AE21E8" w:rsidP="00AE21E8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ICD</w:t>
            </w:r>
          </w:p>
        </w:tc>
        <w:tc>
          <w:tcPr>
            <w:tcW w:w="1818" w:type="pct"/>
          </w:tcPr>
          <w:p w:rsidR="00AE21E8" w:rsidRPr="00CA5993" w:rsidRDefault="00AE21E8" w:rsidP="00AE21E8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0.50</w:t>
            </w:r>
          </w:p>
        </w:tc>
      </w:tr>
      <w:tr w:rsidR="00AE21E8" w:rsidTr="00AE21E8">
        <w:trPr>
          <w:trHeight w:val="283"/>
        </w:trPr>
        <w:tc>
          <w:tcPr>
            <w:tcW w:w="3182" w:type="pct"/>
          </w:tcPr>
          <w:p w:rsidR="00AE21E8" w:rsidRDefault="00AE21E8" w:rsidP="00AE21E8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CRT</w:t>
            </w:r>
          </w:p>
        </w:tc>
        <w:tc>
          <w:tcPr>
            <w:tcW w:w="1818" w:type="pct"/>
          </w:tcPr>
          <w:p w:rsidR="00AE21E8" w:rsidRDefault="00AE21E8" w:rsidP="00AE21E8">
            <w:pPr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0.28</w:t>
            </w:r>
          </w:p>
        </w:tc>
      </w:tr>
    </w:tbl>
    <w:p w:rsidR="008007E9" w:rsidRPr="00CA5993" w:rsidRDefault="00B22C27" w:rsidP="008007E9">
      <w:pPr>
        <w:autoSpaceDE w:val="0"/>
        <w:autoSpaceDN w:val="0"/>
        <w:adjustRightInd w:val="0"/>
        <w:spacing w:after="0" w:line="480" w:lineRule="auto"/>
        <w:rPr>
          <w:sz w:val="24"/>
          <w:szCs w:val="24"/>
        </w:rPr>
      </w:pPr>
      <w:r>
        <w:rPr>
          <w:rFonts w:asciiTheme="minorHAnsi" w:hAnsiTheme="minorHAnsi" w:cstheme="minorBidi"/>
          <w:b/>
        </w:rPr>
        <w:t>Supplementary table 2</w:t>
      </w:r>
      <w:r w:rsidRPr="00B22C27">
        <w:rPr>
          <w:rFonts w:asciiTheme="minorHAnsi" w:hAnsiTheme="minorHAnsi" w:cstheme="minorBidi"/>
          <w:b/>
        </w:rPr>
        <w:t xml:space="preserve">: </w:t>
      </w:r>
      <w:r w:rsidRPr="00B22C27">
        <w:rPr>
          <w:b/>
        </w:rPr>
        <w:t xml:space="preserve"> </w:t>
      </w:r>
      <w:r w:rsidR="008007E9" w:rsidRPr="00455710">
        <w:rPr>
          <w:rFonts w:asciiTheme="minorHAnsi" w:hAnsiTheme="minorHAnsi" w:cstheme="minorBidi"/>
          <w:b/>
        </w:rPr>
        <w:t>Intera</w:t>
      </w:r>
      <w:r w:rsidR="00F92073" w:rsidRPr="00455710">
        <w:rPr>
          <w:rFonts w:asciiTheme="minorHAnsi" w:hAnsiTheme="minorHAnsi" w:cstheme="minorBidi"/>
          <w:b/>
        </w:rPr>
        <w:t xml:space="preserve">ction between MET treatment </w:t>
      </w:r>
      <w:r w:rsidR="002A0AC7" w:rsidRPr="00455710">
        <w:rPr>
          <w:rFonts w:asciiTheme="minorHAnsi" w:hAnsiTheme="minorHAnsi" w:cstheme="minorBidi"/>
          <w:b/>
        </w:rPr>
        <w:t>and HF</w:t>
      </w:r>
      <w:r w:rsidR="00141855" w:rsidRPr="00455710">
        <w:rPr>
          <w:rFonts w:asciiTheme="minorHAnsi" w:hAnsiTheme="minorHAnsi" w:cstheme="minorBidi"/>
          <w:b/>
        </w:rPr>
        <w:t>-related</w:t>
      </w:r>
      <w:r w:rsidR="002A0AC7" w:rsidRPr="00455710">
        <w:rPr>
          <w:rFonts w:asciiTheme="minorHAnsi" w:hAnsiTheme="minorHAnsi" w:cstheme="minorBidi"/>
          <w:b/>
        </w:rPr>
        <w:t xml:space="preserve"> a</w:t>
      </w:r>
      <w:r w:rsidR="00141855" w:rsidRPr="00455710">
        <w:rPr>
          <w:rFonts w:asciiTheme="minorHAnsi" w:hAnsiTheme="minorHAnsi" w:cstheme="minorBidi"/>
          <w:b/>
        </w:rPr>
        <w:t>nd</w:t>
      </w:r>
      <w:r w:rsidR="002A0AC7" w:rsidRPr="00455710">
        <w:rPr>
          <w:rFonts w:asciiTheme="minorHAnsi" w:hAnsiTheme="minorHAnsi" w:cstheme="minorBidi"/>
          <w:b/>
        </w:rPr>
        <w:t xml:space="preserve"> renal </w:t>
      </w:r>
      <w:r w:rsidR="00141855" w:rsidRPr="00455710">
        <w:rPr>
          <w:rFonts w:asciiTheme="minorHAnsi" w:hAnsiTheme="minorHAnsi" w:cstheme="minorBidi"/>
          <w:b/>
        </w:rPr>
        <w:t>parameters</w:t>
      </w:r>
      <w:r w:rsidR="00141855" w:rsidRPr="00455710">
        <w:rPr>
          <w:rFonts w:asciiTheme="minorHAnsi" w:hAnsiTheme="minorHAnsi" w:cstheme="minorBidi"/>
          <w:b/>
        </w:rPr>
        <w:br/>
      </w:r>
      <w:bookmarkStart w:id="0" w:name="_GoBack"/>
      <w:bookmarkEnd w:id="0"/>
    </w:p>
    <w:sectPr w:rsidR="008007E9" w:rsidRPr="00CA59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7E9"/>
    <w:rsid w:val="000D0FA1"/>
    <w:rsid w:val="00141855"/>
    <w:rsid w:val="00150A2D"/>
    <w:rsid w:val="002A0AC7"/>
    <w:rsid w:val="00455710"/>
    <w:rsid w:val="00526107"/>
    <w:rsid w:val="00646420"/>
    <w:rsid w:val="00702598"/>
    <w:rsid w:val="008007E9"/>
    <w:rsid w:val="00844627"/>
    <w:rsid w:val="00864F4D"/>
    <w:rsid w:val="00906BB5"/>
    <w:rsid w:val="009D3544"/>
    <w:rsid w:val="00A107FA"/>
    <w:rsid w:val="00AE21E8"/>
    <w:rsid w:val="00B12D72"/>
    <w:rsid w:val="00B22C27"/>
    <w:rsid w:val="00D04B7A"/>
    <w:rsid w:val="00F92073"/>
    <w:rsid w:val="00FB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BF7E90-C8DE-4BD2-925B-A208279E6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07E9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00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8007E9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Institut klinické a experimentální medicíny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MUDr. Jan Beneš, Ph.D.</dc:creator>
  <cp:keywords/>
  <dc:description/>
  <cp:lastModifiedBy>MUDr. Jan Beneš, Ph.D.</cp:lastModifiedBy>
  <cp:revision>15</cp:revision>
  <dcterms:created xsi:type="dcterms:W3CDTF">2021-01-26T15:16:00Z</dcterms:created>
  <dcterms:modified xsi:type="dcterms:W3CDTF">2022-02-24T10:00:00Z</dcterms:modified>
</cp:coreProperties>
</file>