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80" w:lineRule="auto"/>
        <w:ind w:left="482" w:hanging="482" w:hangingChars="200"/>
        <w:rPr>
          <w:rFonts w:ascii="Times New Roman" w:hAnsi="Times New Roman" w:eastAsia="黑体" w:cs="Times New Roman"/>
          <w:b/>
          <w:bCs/>
          <w:color w:val="000000"/>
          <w:sz w:val="24"/>
          <w:lang w:bidi="ar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 xml:space="preserve">Supplemental Table 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 w:bidi="ar"/>
        </w:rPr>
        <w:t>3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 xml:space="preserve">. </w:t>
      </w:r>
      <w:r>
        <w:rPr>
          <w:rFonts w:ascii="Times New Roman" w:hAnsi="Times New Roman" w:eastAsia="黑体" w:cs="Times New Roman"/>
          <w:b/>
          <w:color w:val="000000"/>
          <w:sz w:val="24"/>
          <w:szCs w:val="24"/>
          <w:lang w:bidi="ar"/>
        </w:rPr>
        <w:t>Prediction of cis-acting elements in promoters of histone acetylation genes (</w:t>
      </w:r>
      <w:r>
        <w:rPr>
          <w:rFonts w:ascii="Times New Roman" w:hAnsi="Times New Roman" w:eastAsia="黑体" w:cs="Times New Roman"/>
          <w:b/>
          <w:i/>
          <w:color w:val="000000"/>
          <w:sz w:val="24"/>
          <w:szCs w:val="24"/>
          <w:lang w:bidi="ar"/>
        </w:rPr>
        <w:t>HAT</w:t>
      </w:r>
      <w:r>
        <w:rPr>
          <w:rFonts w:ascii="Times New Roman" w:hAnsi="Times New Roman" w:eastAsia="黑体" w:cs="Times New Roman"/>
          <w:b/>
          <w:color w:val="000000"/>
          <w:sz w:val="24"/>
          <w:szCs w:val="24"/>
          <w:lang w:bidi="ar"/>
        </w:rPr>
        <w:t xml:space="preserve">s) in </w:t>
      </w:r>
      <w:r>
        <w:rPr>
          <w:rFonts w:ascii="Times New Roman" w:hAnsi="Times New Roman" w:eastAsia="黑体" w:cs="Times New Roman"/>
          <w:b/>
          <w:i/>
          <w:color w:val="000000"/>
          <w:sz w:val="24"/>
          <w:szCs w:val="24"/>
          <w:lang w:bidi="ar"/>
        </w:rPr>
        <w:t>Setaria italica</w:t>
      </w:r>
    </w:p>
    <w:p>
      <w:bookmarkStart w:id="0" w:name="_GoBack"/>
      <w:bookmarkEnd w:id="0"/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643"/>
        <w:gridCol w:w="3099"/>
        <w:gridCol w:w="2376"/>
        <w:gridCol w:w="5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Functional class</w:t>
            </w:r>
          </w:p>
        </w:tc>
        <w:tc>
          <w:tcPr>
            <w:tcW w:w="44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Elements</w:t>
            </w:r>
          </w:p>
        </w:tc>
        <w:tc>
          <w:tcPr>
            <w:tcW w:w="13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Function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Sequence</w:t>
            </w:r>
          </w:p>
        </w:tc>
        <w:tc>
          <w:tcPr>
            <w:tcW w:w="214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Genes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Development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O2-site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zein metabolism regulatory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GTTGACGTGA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CAT-box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meristem expressive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GCCACT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circadian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circadian controlled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CAAAGATATC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GCN4_motif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endosperm expressive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TGAGTCA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motif I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root specific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gGTACGTGGCG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RY-element</w:t>
            </w:r>
          </w:p>
        </w:tc>
        <w:tc>
          <w:tcPr>
            <w:tcW w:w="13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seed-specific regulatory element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CATGCATG</w:t>
            </w:r>
          </w:p>
        </w:tc>
        <w:tc>
          <w:tcPr>
            <w:tcW w:w="214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660" w:hRule="atLeast"/>
        </w:trPr>
        <w:tc>
          <w:tcPr>
            <w:tcW w:w="40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hormone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TGACG-motif</w:t>
            </w:r>
          </w:p>
        </w:tc>
        <w:tc>
          <w:tcPr>
            <w:tcW w:w="1374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the MeJA-responsive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TGACG</w:t>
            </w:r>
          </w:p>
        </w:tc>
        <w:tc>
          <w:tcPr>
            <w:tcW w:w="2143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CGTCA-motif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CGTCA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ABRE</w:t>
            </w:r>
          </w:p>
        </w:tc>
        <w:tc>
          <w:tcPr>
            <w:tcW w:w="1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the abscisic acid 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ACGTG</w:t>
            </w:r>
          </w:p>
        </w:tc>
        <w:tc>
          <w:tcPr>
            <w:tcW w:w="21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CGCACGTGTC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CACGTG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TACGTGTC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GACACGTGGC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AACCCGG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GCCGCGTGGC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TACGGTC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GCAACGTGTC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CGTACGTGCA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TATC-box</w:t>
            </w:r>
          </w:p>
        </w:tc>
        <w:tc>
          <w:tcPr>
            <w:tcW w:w="1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gibberellin-responsive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TATCCCA</w:t>
            </w:r>
          </w:p>
        </w:tc>
        <w:tc>
          <w:tcPr>
            <w:tcW w:w="21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GARE-motif</w:t>
            </w: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TCTGTTG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P-box</w:t>
            </w: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CCTTTTG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AuxRR-core</w:t>
            </w:r>
          </w:p>
        </w:tc>
        <w:tc>
          <w:tcPr>
            <w:tcW w:w="1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Auxin-responsive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GGTCCAT</w:t>
            </w:r>
          </w:p>
        </w:tc>
        <w:tc>
          <w:tcPr>
            <w:tcW w:w="21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TGA-element</w:t>
            </w: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AACGAC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TGA-box</w:t>
            </w: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TGACGTAA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0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TCA-element</w:t>
            </w:r>
          </w:p>
        </w:tc>
        <w:tc>
          <w:tcPr>
            <w:tcW w:w="1374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salicylic acid 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TCAGAAGAGG</w:t>
            </w:r>
          </w:p>
        </w:tc>
        <w:tc>
          <w:tcPr>
            <w:tcW w:w="2143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CCATCTTTTT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40" w:hRule="atLeast"/>
        </w:trPr>
        <w:tc>
          <w:tcPr>
            <w:tcW w:w="40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stress</w:t>
            </w:r>
          </w:p>
        </w:tc>
        <w:tc>
          <w:tcPr>
            <w:tcW w:w="441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TC-rich repeats</w:t>
            </w:r>
          </w:p>
        </w:tc>
        <w:tc>
          <w:tcPr>
            <w:tcW w:w="1374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defense and stress 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ATTCTCTAAC</w:t>
            </w:r>
          </w:p>
        </w:tc>
        <w:tc>
          <w:tcPr>
            <w:tcW w:w="2143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GTTTTCTTAC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LTR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low-temperature 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CCGAAA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MBS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MYB binding site involved in drought-inducibility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CAACTG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WUN-motif</w:t>
            </w:r>
          </w:p>
        </w:tc>
        <w:tc>
          <w:tcPr>
            <w:tcW w:w="13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wound-responsive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AAATTTCCT</w:t>
            </w:r>
          </w:p>
        </w:tc>
        <w:tc>
          <w:tcPr>
            <w:tcW w:w="214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GATA-motif</w:t>
            </w:r>
          </w:p>
        </w:tc>
        <w:tc>
          <w:tcPr>
            <w:tcW w:w="1374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light responsive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AAGGATAAGG</w:t>
            </w:r>
          </w:p>
        </w:tc>
        <w:tc>
          <w:tcPr>
            <w:tcW w:w="2143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AE-box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AGAAACAA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Sp1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GGGCGG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Box 4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ATTAAT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G-Box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CACGTG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ACE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CACGTC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TCCC-motif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GACACGTATG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ATCT-motif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AGAAACTT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I-box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TCTCCCT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TCT-motif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CACGTT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GT1-motif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CACGAC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Box II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TACGTG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3-AF1 binding site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AATCTAATCC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chs-CMA2a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gGATAAGGTG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ATC-motif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ccttatcct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GTGGC-motif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GATAAGGGT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GATT-motif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TCTTAC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AT1-motif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TAAACGTG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chs-CMA1a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CTTCCACGTGGCA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GA-motif</w:t>
            </w: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tgACACGTGGCA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GCCACGTGGA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GGTTAAT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GGTTAA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TAACACGTAG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ACACGTAGA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TAAGAGAGGAA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TCACTTGA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CTAACGTATT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AGTAATCT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GATAGGA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GATAGGG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GCGACGTACC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cGATAAGGCG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CATCGTGTGGC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AGATAAGG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CTCCTGATTGGA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CCACGTGGC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GCGGTAATT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GATTCTGTGGC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2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AATTATTTTTTATT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TTACTTAA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ATAGATAA</w:t>
            </w:r>
          </w:p>
        </w:tc>
        <w:tc>
          <w:tcPr>
            <w:tcW w:w="2143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GC-motif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anoxic specific inducibility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CCCCCG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MBSI</w:t>
            </w:r>
          </w:p>
        </w:tc>
        <w:tc>
          <w:tcPr>
            <w:tcW w:w="1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MYB binding site involved in flavonoid biosynthetic genes regulation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aaaAaaC(G/C) GTTA</w:t>
            </w:r>
          </w:p>
        </w:tc>
        <w:tc>
          <w:tcPr>
            <w:tcW w:w="21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TTTTTACGGTTA</w:t>
            </w:r>
          </w:p>
        </w:tc>
        <w:tc>
          <w:tcPr>
            <w:tcW w:w="21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3-AF3 binding site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part of a conserved DNA module array (CMA3)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CACTATCTAAC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CCAAT-box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MYBHv1 binding site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CAACGG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 xml:space="preserve">SiHAT23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ARE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the anaerobic inductive element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AAACCA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SiHAT9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SiHAT22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AT-rich sequence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element for maximal elicitor-mediated activation (2copies)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TAAAATACT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SiHAT7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AT-rich element</w:t>
            </w: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binding site of AT-rich DNA binding protein (ATBP-1)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ATAGAAATCAA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00" w:hRule="atLeast"/>
        </w:trPr>
        <w:tc>
          <w:tcPr>
            <w:tcW w:w="40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MRE</w:t>
            </w:r>
          </w:p>
        </w:tc>
        <w:tc>
          <w:tcPr>
            <w:tcW w:w="13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MYB binding site involved in light responsiveness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AACCTAA</w:t>
            </w:r>
          </w:p>
        </w:tc>
        <w:tc>
          <w:tcPr>
            <w:tcW w:w="214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SiHAT18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SiHAT20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E17DC"/>
    <w:rsid w:val="759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21"/>
    <w:basedOn w:val="3"/>
    <w:uiPriority w:val="0"/>
    <w:rPr>
      <w:rFonts w:ascii="等线" w:hAnsi="等线" w:eastAsia="等线" w:cs="等线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2022-02-20T12:16:00Z</dcterms:created>
  <dc:creator>Guofang</dc:creator>
  <cp:lastModifiedBy>Guofang</cp:lastModifiedBy>
  <dcterms:modified xsi:type="dcterms:W3CDTF">2022-02-20T12:17:00Z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D3AC47C802724F2EA8DA451AB8CA5410</vt:lpwstr>
  </property>
</Properties>
</file>