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 w:line="480" w:lineRule="auto"/>
        <w:ind w:left="482" w:hanging="482" w:hangingChars="200"/>
      </w:pPr>
      <w:r>
        <w:rPr>
          <w:rFonts w:ascii="Times New Roman" w:hAnsi="Times New Roman" w:eastAsia="黑体" w:cs="Times New Roman"/>
          <w:b/>
          <w:bCs/>
          <w:sz w:val="24"/>
          <w:szCs w:val="24"/>
          <w:lang w:bidi="ar"/>
        </w:rPr>
        <w:t xml:space="preserve">Supplemental Table </w:t>
      </w:r>
      <w:r>
        <w:rPr>
          <w:rFonts w:hint="eastAsia" w:ascii="Times New Roman" w:hAnsi="Times New Roman" w:eastAsia="黑体" w:cs="Times New Roman"/>
          <w:b/>
          <w:bCs/>
          <w:sz w:val="24"/>
          <w:szCs w:val="24"/>
          <w:lang w:val="en-US" w:eastAsia="zh-CN" w:bidi="ar"/>
        </w:rPr>
        <w:t>2</w:t>
      </w:r>
      <w:r>
        <w:rPr>
          <w:rFonts w:ascii="Times New Roman" w:hAnsi="Times New Roman" w:eastAsia="黑体" w:cs="Times New Roman"/>
          <w:b/>
          <w:bCs/>
          <w:sz w:val="24"/>
          <w:szCs w:val="24"/>
          <w:lang w:bidi="ar"/>
        </w:rPr>
        <w:t>.</w:t>
      </w:r>
      <w:r>
        <w:rPr>
          <w:rFonts w:ascii="Times New Roman" w:hAnsi="Times New Roman" w:eastAsia="黑体" w:cs="Times New Roman"/>
          <w:b/>
          <w:bCs/>
          <w:color w:val="000000"/>
          <w:sz w:val="24"/>
          <w:szCs w:val="24"/>
          <w:lang w:bidi="ar"/>
        </w:rPr>
        <w:t xml:space="preserve"> </w:t>
      </w:r>
      <w:r>
        <w:rPr>
          <w:rFonts w:ascii="Times New Roman" w:hAnsi="Times New Roman" w:eastAsia="黑体" w:cs="Times New Roman"/>
          <w:b/>
          <w:bCs/>
          <w:color w:val="000000"/>
          <w:sz w:val="24"/>
          <w:lang w:bidi="ar"/>
        </w:rPr>
        <w:t xml:space="preserve">One-to-one orthologous relationships between </w:t>
      </w:r>
      <w:r>
        <w:rPr>
          <w:rFonts w:ascii="Times New Roman" w:hAnsi="Times New Roman" w:eastAsia="黑体" w:cs="Times New Roman"/>
          <w:b/>
          <w:bCs/>
          <w:i/>
          <w:color w:val="000000"/>
          <w:sz w:val="24"/>
          <w:lang w:bidi="ar"/>
        </w:rPr>
        <w:t xml:space="preserve">Setaria italica </w:t>
      </w:r>
      <w:r>
        <w:rPr>
          <w:rFonts w:ascii="Times New Roman" w:hAnsi="Times New Roman" w:eastAsia="黑体" w:cs="Times New Roman"/>
          <w:b/>
          <w:bCs/>
          <w:color w:val="000000"/>
          <w:sz w:val="24"/>
          <w:lang w:bidi="ar"/>
        </w:rPr>
        <w:t xml:space="preserve">and other two plant species.  </w:t>
      </w:r>
      <w:bookmarkStart w:id="0" w:name="_GoBack"/>
      <w:bookmarkEnd w:id="0"/>
    </w:p>
    <w:tbl>
      <w:tblPr>
        <w:tblW w:w="90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1800"/>
        <w:gridCol w:w="1800"/>
        <w:gridCol w:w="1800"/>
        <w:gridCol w:w="18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80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Gene_1</w:t>
            </w:r>
          </w:p>
        </w:tc>
        <w:tc>
          <w:tcPr>
            <w:tcW w:w="180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Gene_2</w:t>
            </w:r>
          </w:p>
        </w:tc>
        <w:tc>
          <w:tcPr>
            <w:tcW w:w="180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Ka</w:t>
            </w:r>
          </w:p>
        </w:tc>
        <w:tc>
          <w:tcPr>
            <w:tcW w:w="180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Ks</w:t>
            </w:r>
          </w:p>
        </w:tc>
        <w:tc>
          <w:tcPr>
            <w:tcW w:w="180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Ka/Ks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SiHAT6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HAG704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0.0878581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0.60532754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0.14514142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SiHAT21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HAG703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0.01549108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0.47206296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0.03281572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SiHAT23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HAG702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0.03246596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0.60793909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0.0534033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SiHAT11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HAM701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0.01849323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0.51596747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0.03584186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SiHAT2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HAC704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0.285964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1.01574457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0.28153141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SiHAT2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HAC703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0.09894152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0.57044135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0.17344731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SiHAT15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HAC703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0.29105518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1.05454526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0.27600065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SiHAT15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HAC704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0.31780627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0.64520791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0.49256412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SiHAT14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HAF701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1.1641396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2.25213731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0.51690437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584116"/>
    <w:rsid w:val="5058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2022-02-20T12:14:00Z</dcterms:created>
  <dc:creator>Guofang</dc:creator>
  <cp:lastModifiedBy>Guofang</cp:lastModifiedBy>
  <dcterms:modified xsi:type="dcterms:W3CDTF">2022-02-20T12:15:09Z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EBE5FC14E06E4723BFDCB6472A8DFB11</vt:lpwstr>
  </property>
</Properties>
</file>