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1696"/>
        <w:gridCol w:w="1559"/>
        <w:gridCol w:w="1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  <w:tcBorders>
              <w:bottom w:val="single" w:color="auto" w:sz="18" w:space="0"/>
            </w:tcBorders>
          </w:tcPr>
          <w:p>
            <w:pPr>
              <w:spacing w:line="240" w:lineRule="auto"/>
              <w:ind w:left="0" w:firstLine="0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T</w:t>
            </w:r>
            <w:r>
              <w:rPr>
                <w:b/>
                <w:bCs/>
              </w:rPr>
              <w:t xml:space="preserve">able </w:t>
            </w:r>
            <w:r>
              <w:rPr>
                <w:rFonts w:hint="eastAsia"/>
                <w:b/>
                <w:bCs/>
                <w:lang w:val="en-US" w:eastAsia="zh-CN"/>
              </w:rPr>
              <w:t>S</w:t>
            </w:r>
            <w:bookmarkStart w:id="0" w:name="_GoBack"/>
            <w:bookmarkEnd w:id="0"/>
            <w:r>
              <w:rPr>
                <w:rFonts w:hint="eastAsia"/>
                <w:b/>
                <w:bCs/>
              </w:rPr>
              <w:t>1</w:t>
            </w:r>
            <w:r>
              <w:rPr>
                <w:b/>
                <w:bCs/>
              </w:rPr>
              <w:t xml:space="preserve">. SEM Path coefficients showed the association among </w:t>
            </w:r>
            <w:r>
              <w:rPr>
                <w:rFonts w:hint="eastAsia"/>
                <w:b/>
                <w:bCs/>
              </w:rPr>
              <w:t>4</w:t>
            </w:r>
            <w:r>
              <w:rPr>
                <w:b/>
                <w:bCs/>
              </w:rPr>
              <w:t xml:space="preserve"> indicator-PCBs, cognition</w:t>
            </w:r>
            <w:r>
              <w:t xml:space="preserve"> </w:t>
            </w:r>
            <w:r>
              <w:rPr>
                <w:b/>
                <w:bCs/>
              </w:rPr>
              <w:t>dysfunction and covariates for all participants and all female participants.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single" w:color="auto" w:sz="18" w:space="0"/>
            </w:tcBorders>
          </w:tcPr>
          <w:p>
            <w:pPr>
              <w:spacing w:line="240" w:lineRule="auto"/>
              <w:ind w:left="0" w:firstLine="0"/>
              <w:jc w:val="both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ath</w:t>
            </w:r>
          </w:p>
        </w:tc>
        <w:tc>
          <w:tcPr>
            <w:tcW w:w="3255" w:type="dxa"/>
            <w:gridSpan w:val="2"/>
            <w:tcBorders>
              <w:top w:val="single" w:color="auto" w:sz="18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ath coefficient</w:t>
            </w:r>
          </w:p>
        </w:tc>
        <w:tc>
          <w:tcPr>
            <w:tcW w:w="1497" w:type="dxa"/>
            <w:tcBorders>
              <w:top w:val="single" w:color="auto" w:sz="18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  <w:i/>
                <w:iCs/>
              </w:rPr>
            </w:pPr>
            <w:r>
              <w:rPr>
                <w:rFonts w:hint="eastAsia"/>
                <w:b/>
                <w:bCs/>
                <w:i/>
                <w:iCs/>
              </w:rPr>
              <w:t>p</w:t>
            </w:r>
            <w:r>
              <w:t xml:space="preserve"> </w:t>
            </w:r>
            <w:r>
              <w:rPr>
                <w:b/>
                <w:bCs/>
                <w:vertAlign w:val="superscript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jc w:val="both"/>
            </w:pPr>
          </w:p>
        </w:tc>
        <w:tc>
          <w:tcPr>
            <w:tcW w:w="1696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Estimate</w:t>
            </w:r>
          </w:p>
        </w:tc>
        <w:tc>
          <w:tcPr>
            <w:tcW w:w="1559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Standard Error (SE)</w:t>
            </w:r>
          </w:p>
        </w:tc>
        <w:tc>
          <w:tcPr>
            <w:tcW w:w="1497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jc w:val="left"/>
              <w:rPr>
                <w:i/>
                <w:iCs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single" w:color="auto" w:sz="12" w:space="0"/>
            </w:tcBorders>
          </w:tcPr>
          <w:p>
            <w:pPr>
              <w:spacing w:line="240" w:lineRule="auto"/>
              <w:ind w:left="0" w:firstLine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N=262 </w:t>
            </w:r>
            <w:r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1696" w:type="dxa"/>
            <w:tcBorders>
              <w:top w:val="single" w:color="auto" w:sz="12" w:space="0"/>
            </w:tcBorders>
          </w:tcPr>
          <w:p>
            <w:pPr>
              <w:spacing w:line="240" w:lineRule="auto"/>
              <w:ind w:left="0" w:firstLine="0"/>
            </w:pPr>
          </w:p>
        </w:tc>
        <w:tc>
          <w:tcPr>
            <w:tcW w:w="1559" w:type="dxa"/>
            <w:tcBorders>
              <w:top w:val="single" w:color="auto" w:sz="12" w:space="0"/>
            </w:tcBorders>
          </w:tcPr>
          <w:p>
            <w:pPr>
              <w:spacing w:line="240" w:lineRule="auto"/>
              <w:ind w:left="0" w:firstLine="0"/>
            </w:pPr>
          </w:p>
        </w:tc>
        <w:tc>
          <w:tcPr>
            <w:tcW w:w="1497" w:type="dxa"/>
            <w:tcBorders>
              <w:top w:val="single" w:color="auto" w:sz="12" w:space="0"/>
            </w:tcBorders>
          </w:tcPr>
          <w:p>
            <w:pPr>
              <w:spacing w:line="240" w:lineRule="auto"/>
              <w:ind w:left="0" w:firstLine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A</w:t>
            </w:r>
            <w:r>
              <w:t xml:space="preserve">ge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0.047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0.02</w:t>
            </w:r>
            <w:r>
              <w:t>0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0.017</w:t>
            </w:r>
            <w: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Education level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-0.793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0.213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t>&lt; 0.001***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Monthly income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-0.114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0.252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Marriage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-0.137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0.297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Children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-0.154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0.21</w:t>
            </w:r>
            <w:r>
              <w:t>0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Sleep duration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0.106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0.089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Sleep quality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-0.261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0.103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0.011</w:t>
            </w:r>
            <w: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Headache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0.352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0.111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0.002</w:t>
            </w:r>
            <w: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28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0.818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0.275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0.003</w:t>
            </w:r>
            <w: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101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0.101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0.232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138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-0.159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0.848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153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-0.57</w:t>
            </w:r>
            <w:r>
              <w:t>0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0.874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28 </w:t>
            </w:r>
            <w:r>
              <w:rPr>
                <w:rFonts w:hint="eastAsia"/>
              </w:rPr>
              <w:t xml:space="preserve">→ </w:t>
            </w:r>
            <w:r>
              <w:t>Headache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-0.315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0.299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138 </w:t>
            </w:r>
            <w:r>
              <w:rPr>
                <w:rFonts w:hint="eastAsia"/>
              </w:rPr>
              <w:t xml:space="preserve">→ </w:t>
            </w:r>
            <w:r>
              <w:t>Headache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-0.367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0.364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153 </w:t>
            </w:r>
            <w:r>
              <w:rPr>
                <w:rFonts w:hint="eastAsia"/>
              </w:rPr>
              <w:t xml:space="preserve">→ </w:t>
            </w:r>
            <w:r>
              <w:t>Headache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0.541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0.366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A</w:t>
            </w:r>
            <w:r>
              <w:t xml:space="preserve">ge </w:t>
            </w:r>
            <w:r>
              <w:rPr>
                <w:rFonts w:hint="eastAsia"/>
              </w:rPr>
              <w:t xml:space="preserve">→ </w:t>
            </w:r>
            <w:r>
              <w:t>Sleep duration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0.113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0.012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t>&lt; 0.001***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>CB 101</w:t>
            </w:r>
            <w:r>
              <w:rPr>
                <w:rFonts w:hint="eastAsia"/>
              </w:rPr>
              <w:t xml:space="preserve">→ </w:t>
            </w:r>
            <w:r>
              <w:t>Sleep duration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0.15</w:t>
            </w:r>
            <w:r>
              <w:t>0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0.176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>CB 138</w:t>
            </w:r>
            <w:r>
              <w:rPr>
                <w:rFonts w:hint="eastAsia"/>
              </w:rPr>
              <w:t xml:space="preserve">→ </w:t>
            </w:r>
            <w:r>
              <w:t>Sleep duration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-0.396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0.331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A</w:t>
            </w:r>
            <w:r>
              <w:t xml:space="preserve">ge </w:t>
            </w:r>
            <w:r>
              <w:rPr>
                <w:rFonts w:hint="eastAsia"/>
              </w:rPr>
              <w:t xml:space="preserve">→ </w:t>
            </w:r>
            <w:r>
              <w:t>Sleep quality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0.011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0.014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153 </w:t>
            </w:r>
            <w:r>
              <w:rPr>
                <w:rFonts w:hint="eastAsia"/>
              </w:rPr>
              <w:t xml:space="preserve">→ </w:t>
            </w:r>
            <w:r>
              <w:t>Sleep quality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-0.311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auto"/>
              <w:ind w:left="0" w:firstLine="0"/>
            </w:pPr>
            <w:r>
              <w:rPr>
                <w:rFonts w:hint="eastAsia"/>
              </w:rPr>
              <w:t>0.339</w:t>
            </w:r>
          </w:p>
        </w:tc>
        <w:tc>
          <w:tcPr>
            <w:tcW w:w="1497" w:type="dxa"/>
            <w:vAlign w:val="center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hint="eastAsia"/>
              </w:rPr>
              <w:t>0.36</w:t>
            </w: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b/>
                <w:bCs/>
              </w:rPr>
              <w:t>Females (N=143)</w:t>
            </w:r>
            <w:r>
              <w:rPr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A</w:t>
            </w:r>
            <w:r>
              <w:t xml:space="preserve">ge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0.042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0.024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Education level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-0.593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0.318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Monthly income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-0.060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0.301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Marriage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-0.191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0.355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Children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-0.130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0.254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Sleep duration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0.153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0.104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Sleep quality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-0.282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0.126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0.025*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t xml:space="preserve">Headache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0.354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0.125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0.005**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28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0.741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0.330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0.025*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101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0.160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0.272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138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-0.317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0.878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153 </w:t>
            </w:r>
            <w:r>
              <w:rPr>
                <w:rFonts w:hint="eastAsia"/>
              </w:rPr>
              <w:t xml:space="preserve">→ </w:t>
            </w:r>
            <w:r>
              <w:t>CoD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-0.471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0.913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28 </w:t>
            </w:r>
            <w:r>
              <w:rPr>
                <w:rFonts w:hint="eastAsia"/>
              </w:rPr>
              <w:t xml:space="preserve">→ </w:t>
            </w:r>
            <w:r>
              <w:t>Headache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-0.455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0.403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138 </w:t>
            </w:r>
            <w:r>
              <w:rPr>
                <w:rFonts w:hint="eastAsia"/>
              </w:rPr>
              <w:t xml:space="preserve">→ </w:t>
            </w:r>
            <w:r>
              <w:t>Headache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-0.184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0.414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(Continued from previous page)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top w:val="single" w:color="auto" w:sz="18" w:space="0"/>
            </w:tcBorders>
          </w:tcPr>
          <w:p>
            <w:pPr>
              <w:spacing w:line="240" w:lineRule="auto"/>
              <w:ind w:left="0" w:firstLine="0"/>
              <w:jc w:val="both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ath</w:t>
            </w:r>
          </w:p>
        </w:tc>
        <w:tc>
          <w:tcPr>
            <w:tcW w:w="3255" w:type="dxa"/>
            <w:gridSpan w:val="2"/>
            <w:tcBorders>
              <w:top w:val="single" w:color="auto" w:sz="18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ath coefficient</w:t>
            </w:r>
          </w:p>
        </w:tc>
        <w:tc>
          <w:tcPr>
            <w:tcW w:w="1497" w:type="dxa"/>
            <w:tcBorders>
              <w:top w:val="single" w:color="auto" w:sz="18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  <w:i/>
                <w:iCs/>
              </w:rPr>
            </w:pPr>
            <w:r>
              <w:rPr>
                <w:rFonts w:hint="eastAsia"/>
                <w:b/>
                <w:bCs/>
                <w:i/>
                <w:iCs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jc w:val="both"/>
            </w:pPr>
          </w:p>
        </w:tc>
        <w:tc>
          <w:tcPr>
            <w:tcW w:w="1696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Estimate</w:t>
            </w:r>
          </w:p>
        </w:tc>
        <w:tc>
          <w:tcPr>
            <w:tcW w:w="1559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Standard Error (SE)</w:t>
            </w:r>
          </w:p>
        </w:tc>
        <w:tc>
          <w:tcPr>
            <w:tcW w:w="1497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left="0" w:firstLine="0"/>
              <w:jc w:val="left"/>
              <w:rPr>
                <w:i/>
                <w:iCs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153 </w:t>
            </w:r>
            <w:r>
              <w:rPr>
                <w:rFonts w:hint="eastAsia"/>
              </w:rPr>
              <w:t xml:space="preserve">→ </w:t>
            </w:r>
            <w:r>
              <w:t>Headache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-0.039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0.495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A</w:t>
            </w:r>
            <w:r>
              <w:t xml:space="preserve">ge </w:t>
            </w:r>
            <w:r>
              <w:rPr>
                <w:rFonts w:hint="eastAsia"/>
              </w:rPr>
              <w:t xml:space="preserve">→ </w:t>
            </w:r>
            <w:r>
              <w:t>Sleep duration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0.105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0.015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rPr>
                <w:rFonts w:cs="Times New Roman"/>
                <w:szCs w:val="24"/>
              </w:rPr>
              <w:t>&lt;</w:t>
            </w:r>
            <w:r>
              <w:rPr>
                <w:rFonts w:eastAsia="等线" w:cs="Times New Roman"/>
                <w:color w:val="000000"/>
                <w:szCs w:val="24"/>
              </w:rPr>
              <w:t xml:space="preserve"> </w:t>
            </w:r>
            <w:r>
              <w:t>0.001***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>CB 101</w:t>
            </w:r>
            <w:r>
              <w:rPr>
                <w:rFonts w:hint="eastAsia"/>
              </w:rPr>
              <w:t xml:space="preserve">→ </w:t>
            </w:r>
            <w:r>
              <w:t>Sleep duration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0.514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0.233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0.028*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>CB 138</w:t>
            </w:r>
            <w:r>
              <w:rPr>
                <w:rFonts w:hint="eastAsia"/>
              </w:rPr>
              <w:t xml:space="preserve">→ </w:t>
            </w:r>
            <w:r>
              <w:t>Sleep duration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-1.024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0.525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A</w:t>
            </w:r>
            <w:r>
              <w:t xml:space="preserve">ge </w:t>
            </w:r>
            <w:r>
              <w:rPr>
                <w:rFonts w:hint="eastAsia"/>
              </w:rPr>
              <w:t xml:space="preserve">→ </w:t>
            </w:r>
            <w:r>
              <w:t>Sleep quality</w:t>
            </w:r>
          </w:p>
        </w:tc>
        <w:tc>
          <w:tcPr>
            <w:tcW w:w="1696" w:type="dxa"/>
          </w:tcPr>
          <w:p>
            <w:pPr>
              <w:spacing w:line="240" w:lineRule="auto"/>
              <w:ind w:left="0" w:firstLine="0"/>
            </w:pPr>
            <w:r>
              <w:t>0.022</w:t>
            </w:r>
          </w:p>
        </w:tc>
        <w:tc>
          <w:tcPr>
            <w:tcW w:w="1559" w:type="dxa"/>
          </w:tcPr>
          <w:p>
            <w:pPr>
              <w:spacing w:line="240" w:lineRule="auto"/>
              <w:ind w:left="0" w:firstLine="0"/>
            </w:pPr>
            <w:r>
              <w:t>0.019</w:t>
            </w:r>
          </w:p>
        </w:tc>
        <w:tc>
          <w:tcPr>
            <w:tcW w:w="1497" w:type="dxa"/>
          </w:tcPr>
          <w:p>
            <w:pPr>
              <w:spacing w:line="240" w:lineRule="auto"/>
              <w:ind w:left="0" w:firstLine="0"/>
              <w:jc w:val="left"/>
            </w:pPr>
            <w:r>
              <w:t>0.263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4" w:type="dxa"/>
            <w:tcBorders>
              <w:bottom w:val="single" w:color="auto" w:sz="18" w:space="0"/>
            </w:tcBorders>
          </w:tcPr>
          <w:p>
            <w:pPr>
              <w:spacing w:line="240" w:lineRule="auto"/>
              <w:ind w:left="0" w:firstLine="0"/>
              <w:jc w:val="right"/>
            </w:pPr>
            <w:r>
              <w:rPr>
                <w:rFonts w:hint="eastAsia"/>
              </w:rPr>
              <w:t>P</w:t>
            </w:r>
            <w:r>
              <w:t xml:space="preserve">CB 153 </w:t>
            </w:r>
            <w:r>
              <w:rPr>
                <w:rFonts w:hint="eastAsia"/>
              </w:rPr>
              <w:t xml:space="preserve">→ </w:t>
            </w:r>
            <w:r>
              <w:t>Sleep quality</w:t>
            </w:r>
          </w:p>
        </w:tc>
        <w:tc>
          <w:tcPr>
            <w:tcW w:w="1696" w:type="dxa"/>
            <w:tcBorders>
              <w:bottom w:val="single" w:color="auto" w:sz="18" w:space="0"/>
            </w:tcBorders>
          </w:tcPr>
          <w:p>
            <w:pPr>
              <w:spacing w:line="240" w:lineRule="auto"/>
              <w:ind w:left="0" w:firstLine="0"/>
            </w:pPr>
            <w:r>
              <w:t>0.153</w:t>
            </w:r>
          </w:p>
        </w:tc>
        <w:tc>
          <w:tcPr>
            <w:tcW w:w="1559" w:type="dxa"/>
            <w:tcBorders>
              <w:bottom w:val="single" w:color="auto" w:sz="18" w:space="0"/>
            </w:tcBorders>
          </w:tcPr>
          <w:p>
            <w:pPr>
              <w:spacing w:line="240" w:lineRule="auto"/>
              <w:ind w:left="0" w:firstLine="0"/>
            </w:pPr>
            <w:r>
              <w:t>0.635</w:t>
            </w:r>
          </w:p>
        </w:tc>
        <w:tc>
          <w:tcPr>
            <w:tcW w:w="1497" w:type="dxa"/>
            <w:tcBorders>
              <w:bottom w:val="single" w:color="auto" w:sz="18" w:space="0"/>
            </w:tcBorders>
          </w:tcPr>
          <w:p>
            <w:pPr>
              <w:spacing w:line="240" w:lineRule="auto"/>
              <w:ind w:left="0" w:firstLine="0"/>
              <w:jc w:val="left"/>
            </w:pPr>
            <w:r>
              <w:t>0.809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  <w:tcBorders>
              <w:top w:val="single" w:color="auto" w:sz="18" w:space="0"/>
            </w:tcBorders>
          </w:tcPr>
          <w:p>
            <w:pPr>
              <w:spacing w:line="240" w:lineRule="auto"/>
              <w:ind w:left="0" w:firstLine="0"/>
              <w:jc w:val="both"/>
              <w:rPr>
                <w:rFonts w:cs="Times New Roman"/>
                <w:color w:val="000000"/>
                <w:kern w:val="0"/>
              </w:rPr>
            </w:pPr>
            <w:r>
              <w:rPr>
                <w:rFonts w:hint="eastAsia"/>
              </w:rPr>
              <w:t>a</w:t>
            </w:r>
            <w:r>
              <w:t>: model fit index (</w:t>
            </w:r>
            <w:r>
              <w:rPr>
                <w:rFonts w:cs="Times New Roman"/>
                <w:color w:val="000000"/>
                <w:kern w:val="0"/>
              </w:rPr>
              <w:t xml:space="preserve">X² </w:t>
            </w:r>
            <w:r>
              <w:rPr>
                <w:rFonts w:cs="Times New Roman"/>
                <w:i/>
                <w:iCs/>
                <w:color w:val="000000"/>
                <w:kern w:val="0"/>
              </w:rPr>
              <w:t>p</w:t>
            </w:r>
            <w:r>
              <w:rPr>
                <w:rFonts w:cs="Times New Roman"/>
                <w:color w:val="000000"/>
                <w:kern w:val="0"/>
              </w:rPr>
              <w:t xml:space="preserve"> value</w:t>
            </w:r>
            <w:r>
              <w:t xml:space="preserve"> </w:t>
            </w:r>
            <w:r>
              <w:rPr>
                <w:rFonts w:hint="eastAsia"/>
              </w:rPr>
              <w:t>=</w:t>
            </w:r>
            <w:r>
              <w:t xml:space="preserve"> 0.005, CFI =</w:t>
            </w:r>
            <w:r>
              <w:rPr>
                <w:rFonts w:hint="eastAsia"/>
              </w:rPr>
              <w:t>0.000</w:t>
            </w:r>
            <w:r>
              <w:t xml:space="preserve">, </w:t>
            </w:r>
            <w:r>
              <w:rPr>
                <w:rFonts w:cs="Times New Roman"/>
                <w:color w:val="000000"/>
                <w:kern w:val="0"/>
              </w:rPr>
              <w:t>RMSEA =0.060)</w:t>
            </w:r>
          </w:p>
          <w:p>
            <w:pPr>
              <w:spacing w:line="240" w:lineRule="auto"/>
              <w:ind w:left="0" w:firstLine="0"/>
              <w:jc w:val="both"/>
              <w:rPr>
                <w:rFonts w:cs="Times New Roman"/>
                <w:color w:val="000000"/>
                <w:kern w:val="0"/>
              </w:rPr>
            </w:pPr>
            <w:r>
              <w:t>b: model fit index (</w:t>
            </w:r>
            <w:r>
              <w:rPr>
                <w:rFonts w:cs="Times New Roman"/>
                <w:color w:val="000000"/>
                <w:kern w:val="0"/>
              </w:rPr>
              <w:t xml:space="preserve">X² </w:t>
            </w:r>
            <w:r>
              <w:rPr>
                <w:rFonts w:cs="Times New Roman"/>
                <w:i/>
                <w:iCs/>
                <w:color w:val="000000"/>
                <w:kern w:val="0"/>
              </w:rPr>
              <w:t>p</w:t>
            </w:r>
            <w:r>
              <w:rPr>
                <w:rFonts w:cs="Times New Roman"/>
                <w:color w:val="000000"/>
                <w:kern w:val="0"/>
              </w:rPr>
              <w:t xml:space="preserve"> value</w:t>
            </w:r>
            <w:r>
              <w:t xml:space="preserve"> </w:t>
            </w:r>
            <w:r>
              <w:rPr>
                <w:rFonts w:hint="eastAsia"/>
              </w:rPr>
              <w:t>=</w:t>
            </w:r>
            <w:r>
              <w:t xml:space="preserve"> 0.147, CFI =</w:t>
            </w:r>
            <w:r>
              <w:rPr>
                <w:rFonts w:hint="eastAsia"/>
              </w:rPr>
              <w:t>0.</w:t>
            </w:r>
            <w:r>
              <w:t xml:space="preserve">435, </w:t>
            </w:r>
            <w:r>
              <w:rPr>
                <w:rFonts w:cs="Times New Roman"/>
                <w:color w:val="000000"/>
                <w:kern w:val="0"/>
              </w:rPr>
              <w:t>RMSEA =0.050)</w:t>
            </w:r>
          </w:p>
          <w:p>
            <w:pPr>
              <w:spacing w:line="240" w:lineRule="auto"/>
              <w:jc w:val="both"/>
            </w:pPr>
            <w:r>
              <w:t xml:space="preserve">c: </w:t>
            </w:r>
            <w:r>
              <w:rPr>
                <w:rFonts w:hint="eastAsia"/>
              </w:rPr>
              <w:t xml:space="preserve">* </w:t>
            </w:r>
            <w:r>
              <w:rPr>
                <w:rFonts w:hint="eastAsia"/>
                <w:i/>
                <w:iCs/>
              </w:rPr>
              <w:t>p</w:t>
            </w:r>
            <w:r>
              <w:rPr>
                <w:i/>
                <w:iCs/>
              </w:rPr>
              <w:t xml:space="preserve"> </w:t>
            </w:r>
            <w:r>
              <w:rPr>
                <w:rFonts w:cs="Times New Roman"/>
                <w:szCs w:val="24"/>
              </w:rPr>
              <w:t>&lt;</w:t>
            </w:r>
            <w:r>
              <w:rPr>
                <w:rFonts w:eastAsia="等线" w:cs="Times New Roman"/>
                <w:color w:val="000000"/>
                <w:szCs w:val="24"/>
              </w:rPr>
              <w:t xml:space="preserve"> </w:t>
            </w:r>
            <w:r>
              <w:t>0.05, **</w:t>
            </w:r>
            <w:r>
              <w:rPr>
                <w:rFonts w:hint="eastAsia"/>
                <w:i/>
                <w:iCs/>
              </w:rPr>
              <w:t xml:space="preserve"> p</w:t>
            </w:r>
            <w:r>
              <w:rPr>
                <w:i/>
                <w:iCs/>
              </w:rPr>
              <w:t xml:space="preserve"> </w:t>
            </w:r>
            <w:r>
              <w:rPr>
                <w:rFonts w:cs="Times New Roman"/>
                <w:szCs w:val="24"/>
              </w:rPr>
              <w:t>&lt;</w:t>
            </w:r>
            <w:r>
              <w:rPr>
                <w:rFonts w:eastAsia="等线" w:cs="Times New Roman"/>
                <w:color w:val="000000"/>
                <w:szCs w:val="24"/>
              </w:rPr>
              <w:t xml:space="preserve"> </w:t>
            </w:r>
            <w:r>
              <w:t>0.01, ***</w:t>
            </w:r>
            <w:r>
              <w:rPr>
                <w:rFonts w:hint="eastAsia"/>
                <w:i/>
                <w:iCs/>
              </w:rPr>
              <w:t>p</w:t>
            </w:r>
            <w:r>
              <w:rPr>
                <w:i/>
                <w:iCs/>
              </w:rPr>
              <w:t xml:space="preserve"> </w:t>
            </w:r>
            <w:r>
              <w:rPr>
                <w:rFonts w:cs="Times New Roman"/>
                <w:szCs w:val="24"/>
              </w:rPr>
              <w:t>&lt;</w:t>
            </w:r>
            <w:r>
              <w:rPr>
                <w:rFonts w:eastAsia="等线" w:cs="Times New Roman"/>
                <w:color w:val="000000"/>
                <w:szCs w:val="24"/>
              </w:rPr>
              <w:t xml:space="preserve"> </w:t>
            </w:r>
            <w:r>
              <w:t>0.001.</w:t>
            </w:r>
          </w:p>
        </w:tc>
      </w:tr>
    </w:tbl>
    <w:p>
      <w:pPr>
        <w:ind w:left="0" w:firstLine="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F2F"/>
    <w:rsid w:val="00010464"/>
    <w:rsid w:val="00014531"/>
    <w:rsid w:val="00015B65"/>
    <w:rsid w:val="000312EA"/>
    <w:rsid w:val="00051BB9"/>
    <w:rsid w:val="000569E2"/>
    <w:rsid w:val="00062AD2"/>
    <w:rsid w:val="00064650"/>
    <w:rsid w:val="0007656B"/>
    <w:rsid w:val="0008116A"/>
    <w:rsid w:val="000B0AD8"/>
    <w:rsid w:val="000C26D5"/>
    <w:rsid w:val="000D42FC"/>
    <w:rsid w:val="000E6F19"/>
    <w:rsid w:val="000E7DB5"/>
    <w:rsid w:val="0011500B"/>
    <w:rsid w:val="00120FDD"/>
    <w:rsid w:val="00122C0D"/>
    <w:rsid w:val="0012392E"/>
    <w:rsid w:val="00134283"/>
    <w:rsid w:val="00151F7F"/>
    <w:rsid w:val="001552D9"/>
    <w:rsid w:val="00161908"/>
    <w:rsid w:val="00161E42"/>
    <w:rsid w:val="0017101F"/>
    <w:rsid w:val="0019205B"/>
    <w:rsid w:val="00196B94"/>
    <w:rsid w:val="001A71D0"/>
    <w:rsid w:val="001A7FFB"/>
    <w:rsid w:val="001C1386"/>
    <w:rsid w:val="001E24A4"/>
    <w:rsid w:val="00200F2F"/>
    <w:rsid w:val="002078D7"/>
    <w:rsid w:val="00243ABB"/>
    <w:rsid w:val="00245E4D"/>
    <w:rsid w:val="002538D6"/>
    <w:rsid w:val="00253920"/>
    <w:rsid w:val="002559A1"/>
    <w:rsid w:val="002717B1"/>
    <w:rsid w:val="00287157"/>
    <w:rsid w:val="00290A6F"/>
    <w:rsid w:val="002A52A0"/>
    <w:rsid w:val="002A5E33"/>
    <w:rsid w:val="002D3CBE"/>
    <w:rsid w:val="002D55D8"/>
    <w:rsid w:val="002D7A5A"/>
    <w:rsid w:val="0031663B"/>
    <w:rsid w:val="00362BBF"/>
    <w:rsid w:val="00383342"/>
    <w:rsid w:val="00383A34"/>
    <w:rsid w:val="0038729B"/>
    <w:rsid w:val="00397556"/>
    <w:rsid w:val="003A105C"/>
    <w:rsid w:val="003B2C8E"/>
    <w:rsid w:val="003B41B6"/>
    <w:rsid w:val="003C6AE6"/>
    <w:rsid w:val="003C6D11"/>
    <w:rsid w:val="003D129C"/>
    <w:rsid w:val="003D13B0"/>
    <w:rsid w:val="003D4E6A"/>
    <w:rsid w:val="003D55CF"/>
    <w:rsid w:val="00401EA3"/>
    <w:rsid w:val="00406D42"/>
    <w:rsid w:val="004305E0"/>
    <w:rsid w:val="00440A8B"/>
    <w:rsid w:val="00451518"/>
    <w:rsid w:val="00462C5A"/>
    <w:rsid w:val="00473A20"/>
    <w:rsid w:val="004A2078"/>
    <w:rsid w:val="004A3BC9"/>
    <w:rsid w:val="004B5430"/>
    <w:rsid w:val="004B7894"/>
    <w:rsid w:val="004C009D"/>
    <w:rsid w:val="004C34FA"/>
    <w:rsid w:val="004D0071"/>
    <w:rsid w:val="004F3A18"/>
    <w:rsid w:val="0051290E"/>
    <w:rsid w:val="00514F55"/>
    <w:rsid w:val="005151F7"/>
    <w:rsid w:val="00536F2E"/>
    <w:rsid w:val="005546F9"/>
    <w:rsid w:val="00563E8A"/>
    <w:rsid w:val="00573983"/>
    <w:rsid w:val="00592622"/>
    <w:rsid w:val="005B3BE3"/>
    <w:rsid w:val="005C51D4"/>
    <w:rsid w:val="005C5254"/>
    <w:rsid w:val="005C5F24"/>
    <w:rsid w:val="005E7602"/>
    <w:rsid w:val="00620596"/>
    <w:rsid w:val="00627BF8"/>
    <w:rsid w:val="00665C1D"/>
    <w:rsid w:val="00684D4A"/>
    <w:rsid w:val="006A7B96"/>
    <w:rsid w:val="006C307D"/>
    <w:rsid w:val="006E0A9D"/>
    <w:rsid w:val="007077FE"/>
    <w:rsid w:val="00713290"/>
    <w:rsid w:val="00730406"/>
    <w:rsid w:val="00750D06"/>
    <w:rsid w:val="00757FA4"/>
    <w:rsid w:val="00781E05"/>
    <w:rsid w:val="007B685B"/>
    <w:rsid w:val="007C58F3"/>
    <w:rsid w:val="007C6D76"/>
    <w:rsid w:val="007D3925"/>
    <w:rsid w:val="007E14DA"/>
    <w:rsid w:val="007F0FDE"/>
    <w:rsid w:val="007F3086"/>
    <w:rsid w:val="00823F3D"/>
    <w:rsid w:val="00826A17"/>
    <w:rsid w:val="00830A20"/>
    <w:rsid w:val="00847D1A"/>
    <w:rsid w:val="00864BE8"/>
    <w:rsid w:val="00885C16"/>
    <w:rsid w:val="00892A30"/>
    <w:rsid w:val="008A76A7"/>
    <w:rsid w:val="008B2623"/>
    <w:rsid w:val="008D40BD"/>
    <w:rsid w:val="008D4146"/>
    <w:rsid w:val="008E1067"/>
    <w:rsid w:val="008E76D3"/>
    <w:rsid w:val="008F70EC"/>
    <w:rsid w:val="00905C18"/>
    <w:rsid w:val="00924086"/>
    <w:rsid w:val="00941F4B"/>
    <w:rsid w:val="009528D9"/>
    <w:rsid w:val="00974AEF"/>
    <w:rsid w:val="009A2D99"/>
    <w:rsid w:val="009A4714"/>
    <w:rsid w:val="009B57A3"/>
    <w:rsid w:val="009F1393"/>
    <w:rsid w:val="00A2348B"/>
    <w:rsid w:val="00A34E47"/>
    <w:rsid w:val="00A3514D"/>
    <w:rsid w:val="00A41F63"/>
    <w:rsid w:val="00A47033"/>
    <w:rsid w:val="00A50005"/>
    <w:rsid w:val="00A509A0"/>
    <w:rsid w:val="00A64F99"/>
    <w:rsid w:val="00A96B77"/>
    <w:rsid w:val="00AA066A"/>
    <w:rsid w:val="00AA3FA0"/>
    <w:rsid w:val="00AC34BA"/>
    <w:rsid w:val="00AD024B"/>
    <w:rsid w:val="00AE0A02"/>
    <w:rsid w:val="00AE5E44"/>
    <w:rsid w:val="00AF0812"/>
    <w:rsid w:val="00AF4129"/>
    <w:rsid w:val="00AF6950"/>
    <w:rsid w:val="00B1365D"/>
    <w:rsid w:val="00B2283C"/>
    <w:rsid w:val="00B31995"/>
    <w:rsid w:val="00B361BA"/>
    <w:rsid w:val="00B51089"/>
    <w:rsid w:val="00B60C4D"/>
    <w:rsid w:val="00B675BB"/>
    <w:rsid w:val="00B85686"/>
    <w:rsid w:val="00B86DEF"/>
    <w:rsid w:val="00B927B3"/>
    <w:rsid w:val="00BA0567"/>
    <w:rsid w:val="00BA5D5F"/>
    <w:rsid w:val="00BB7FDD"/>
    <w:rsid w:val="00C10D8C"/>
    <w:rsid w:val="00C1191B"/>
    <w:rsid w:val="00C156C3"/>
    <w:rsid w:val="00C21B9C"/>
    <w:rsid w:val="00C2476C"/>
    <w:rsid w:val="00C27F9A"/>
    <w:rsid w:val="00C620AF"/>
    <w:rsid w:val="00C635FC"/>
    <w:rsid w:val="00C805ED"/>
    <w:rsid w:val="00C816ED"/>
    <w:rsid w:val="00C864AC"/>
    <w:rsid w:val="00C93E98"/>
    <w:rsid w:val="00CB4969"/>
    <w:rsid w:val="00CB5F5F"/>
    <w:rsid w:val="00CC1393"/>
    <w:rsid w:val="00CC5A02"/>
    <w:rsid w:val="00CD4F44"/>
    <w:rsid w:val="00CD75FA"/>
    <w:rsid w:val="00CD7997"/>
    <w:rsid w:val="00CE09C7"/>
    <w:rsid w:val="00CF7704"/>
    <w:rsid w:val="00D07C0A"/>
    <w:rsid w:val="00D167B5"/>
    <w:rsid w:val="00D22B95"/>
    <w:rsid w:val="00D45E90"/>
    <w:rsid w:val="00D608CB"/>
    <w:rsid w:val="00D73549"/>
    <w:rsid w:val="00DE7C70"/>
    <w:rsid w:val="00E110E9"/>
    <w:rsid w:val="00E1273D"/>
    <w:rsid w:val="00E32BEB"/>
    <w:rsid w:val="00E40927"/>
    <w:rsid w:val="00E44770"/>
    <w:rsid w:val="00E52624"/>
    <w:rsid w:val="00E60390"/>
    <w:rsid w:val="00E614A6"/>
    <w:rsid w:val="00E8739F"/>
    <w:rsid w:val="00E92235"/>
    <w:rsid w:val="00E969E6"/>
    <w:rsid w:val="00EA1AC5"/>
    <w:rsid w:val="00EA1FE4"/>
    <w:rsid w:val="00EB71BB"/>
    <w:rsid w:val="00ED781D"/>
    <w:rsid w:val="00F0449D"/>
    <w:rsid w:val="00F06A90"/>
    <w:rsid w:val="00F06FDF"/>
    <w:rsid w:val="00F1415A"/>
    <w:rsid w:val="00F37E4F"/>
    <w:rsid w:val="00F41FD5"/>
    <w:rsid w:val="00F52684"/>
    <w:rsid w:val="00FB31D2"/>
    <w:rsid w:val="00FC327F"/>
    <w:rsid w:val="00FE3695"/>
    <w:rsid w:val="00FF2720"/>
    <w:rsid w:val="3F5F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left="357" w:hanging="357"/>
      <w:jc w:val="center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styleId="6">
    <w:name w:val="Table Grid"/>
    <w:basedOn w:val="5"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38A049-CA4E-474B-9E54-AA62362979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307</Words>
  <Characters>1753</Characters>
  <Lines>14</Lines>
  <Paragraphs>4</Paragraphs>
  <TotalTime>716</TotalTime>
  <ScaleCrop>false</ScaleCrop>
  <LinksUpToDate>false</LinksUpToDate>
  <CharactersWithSpaces>2056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2020-08-12T01:43:00Z</dcterms:created>
  <dc:creator>赵惠涓</dc:creator>
  <cp:lastModifiedBy>Xun Li</cp:lastModifiedBy>
  <dcterms:modified xsi:type="dcterms:W3CDTF">2020-12-21T07:32:15Z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