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B900E" w14:textId="77777777" w:rsidR="00492865" w:rsidRDefault="00492865" w:rsidP="00492865">
      <w:pPr>
        <w:spacing w:line="480" w:lineRule="auto"/>
        <w:rPr>
          <w:rStyle w:val="Strong"/>
        </w:rPr>
      </w:pPr>
      <w:r w:rsidRPr="00B4512F">
        <w:rPr>
          <w:rStyle w:val="Strong"/>
        </w:rPr>
        <w:t xml:space="preserve">Table </w:t>
      </w:r>
      <w:r>
        <w:rPr>
          <w:rStyle w:val="Strong"/>
        </w:rPr>
        <w:t>2: P</w:t>
      </w:r>
      <w:r w:rsidRPr="00B4512F">
        <w:rPr>
          <w:rStyle w:val="Strong"/>
        </w:rPr>
        <w:t>ublic health research about lobbying and political contributions in Australia</w:t>
      </w:r>
    </w:p>
    <w:tbl>
      <w:tblPr>
        <w:tblW w:w="5000" w:type="pct"/>
        <w:tblLook w:val="04A0" w:firstRow="1" w:lastRow="0" w:firstColumn="1" w:lastColumn="0" w:noHBand="0" w:noVBand="1"/>
      </w:tblPr>
      <w:tblGrid>
        <w:gridCol w:w="846"/>
        <w:gridCol w:w="1761"/>
        <w:gridCol w:w="460"/>
        <w:gridCol w:w="1678"/>
        <w:gridCol w:w="1010"/>
        <w:gridCol w:w="979"/>
        <w:gridCol w:w="873"/>
        <w:gridCol w:w="846"/>
        <w:gridCol w:w="1289"/>
        <w:gridCol w:w="1125"/>
        <w:gridCol w:w="1284"/>
        <w:gridCol w:w="1223"/>
        <w:gridCol w:w="1016"/>
      </w:tblGrid>
      <w:tr w:rsidR="00492865" w:rsidRPr="00DD38A3" w14:paraId="2F8F29AF" w14:textId="77777777" w:rsidTr="000532FC">
        <w:trPr>
          <w:trHeight w:val="480"/>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320237FD" w14:textId="77777777" w:rsidR="00492865" w:rsidRPr="00DD38A3" w:rsidRDefault="00492865" w:rsidP="000532FC">
            <w:pPr>
              <w:spacing w:after="0"/>
              <w:rPr>
                <w:rFonts w:eastAsia="Times New Roman" w:cstheme="minorHAnsi"/>
                <w:b/>
                <w:bCs/>
                <w:sz w:val="12"/>
                <w:szCs w:val="12"/>
                <w:lang w:eastAsia="en-AU"/>
              </w:rPr>
            </w:pPr>
            <w:r>
              <w:rPr>
                <w:rFonts w:eastAsia="Times New Roman" w:cstheme="minorHAnsi"/>
                <w:b/>
                <w:bCs/>
                <w:sz w:val="12"/>
                <w:szCs w:val="12"/>
                <w:lang w:eastAsia="en-AU"/>
              </w:rPr>
              <w:t>Lead author</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A2A7"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title</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EADEB"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year</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52F49F"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Topic(s)</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F7977"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Industry focus</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638DE4"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Named actors</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473E7E"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Jurisdictional level</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35395F"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Government sector</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E6C3EE"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Government actor type</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F77A2B"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Purpose detail</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16B571"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Data sources</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B603B"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Data demographics</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E78968" w14:textId="77777777" w:rsidR="00492865" w:rsidRPr="00DD38A3" w:rsidRDefault="00492865" w:rsidP="000532FC">
            <w:pPr>
              <w:spacing w:after="0"/>
              <w:rPr>
                <w:rFonts w:eastAsia="Times New Roman" w:cstheme="minorHAnsi"/>
                <w:b/>
                <w:bCs/>
                <w:sz w:val="12"/>
                <w:szCs w:val="12"/>
                <w:lang w:eastAsia="en-AU"/>
              </w:rPr>
            </w:pPr>
            <w:r w:rsidRPr="00DD38A3">
              <w:rPr>
                <w:rFonts w:eastAsia="Times New Roman" w:cstheme="minorHAnsi"/>
                <w:b/>
                <w:bCs/>
                <w:sz w:val="12"/>
                <w:szCs w:val="12"/>
                <w:lang w:eastAsia="en-AU"/>
              </w:rPr>
              <w:t>Coding frameworks shared</w:t>
            </w:r>
          </w:p>
        </w:tc>
      </w:tr>
      <w:tr w:rsidR="00492865" w:rsidRPr="00DD38A3" w14:paraId="64E69DE3" w14:textId="77777777" w:rsidTr="000532FC">
        <w:trPr>
          <w:trHeight w:val="612"/>
        </w:trPr>
        <w:tc>
          <w:tcPr>
            <w:tcW w:w="294" w:type="pct"/>
            <w:tcBorders>
              <w:top w:val="single" w:sz="4" w:space="0" w:color="auto"/>
              <w:left w:val="single" w:sz="4" w:space="0" w:color="auto"/>
              <w:bottom w:val="single" w:sz="4" w:space="0" w:color="auto"/>
              <w:right w:val="single" w:sz="4" w:space="0" w:color="auto"/>
            </w:tcBorders>
            <w:vAlign w:val="center"/>
          </w:tcPr>
          <w:p w14:paraId="223EDC51"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Hooker</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96DCA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Structural elements in achieving legislative tobacco control in NSW, 1955-95: Political reflections and implications</w:t>
            </w:r>
          </w:p>
        </w:tc>
        <w:tc>
          <w:tcPr>
            <w:tcW w:w="160" w:type="pct"/>
            <w:tcBorders>
              <w:top w:val="nil"/>
              <w:left w:val="nil"/>
              <w:bottom w:val="single" w:sz="4" w:space="0" w:color="auto"/>
              <w:right w:val="single" w:sz="4" w:space="0" w:color="auto"/>
            </w:tcBorders>
            <w:shd w:val="clear" w:color="auto" w:fill="auto"/>
            <w:vAlign w:val="center"/>
            <w:hideMark/>
          </w:tcPr>
          <w:p w14:paraId="169CBD1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2006</w:t>
            </w:r>
          </w:p>
        </w:tc>
        <w:tc>
          <w:tcPr>
            <w:tcW w:w="583" w:type="pct"/>
            <w:tcBorders>
              <w:top w:val="nil"/>
              <w:left w:val="nil"/>
              <w:bottom w:val="single" w:sz="4" w:space="0" w:color="auto"/>
              <w:right w:val="single" w:sz="4" w:space="0" w:color="auto"/>
            </w:tcBorders>
            <w:shd w:val="clear" w:color="auto" w:fill="auto"/>
            <w:vAlign w:val="center"/>
            <w:hideMark/>
          </w:tcPr>
          <w:p w14:paraId="160F69A3"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Lobbying, financial contributions</w:t>
            </w:r>
          </w:p>
        </w:tc>
        <w:tc>
          <w:tcPr>
            <w:tcW w:w="351" w:type="pct"/>
            <w:tcBorders>
              <w:top w:val="nil"/>
              <w:left w:val="nil"/>
              <w:bottom w:val="single" w:sz="4" w:space="0" w:color="auto"/>
              <w:right w:val="single" w:sz="4" w:space="0" w:color="auto"/>
            </w:tcBorders>
            <w:shd w:val="clear" w:color="auto" w:fill="auto"/>
            <w:vAlign w:val="center"/>
            <w:hideMark/>
          </w:tcPr>
          <w:p w14:paraId="685447D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Tobacco</w:t>
            </w:r>
          </w:p>
        </w:tc>
        <w:tc>
          <w:tcPr>
            <w:tcW w:w="340" w:type="pct"/>
            <w:tcBorders>
              <w:top w:val="nil"/>
              <w:left w:val="nil"/>
              <w:bottom w:val="single" w:sz="4" w:space="0" w:color="auto"/>
              <w:right w:val="single" w:sz="4" w:space="0" w:color="auto"/>
            </w:tcBorders>
            <w:shd w:val="clear" w:color="auto" w:fill="auto"/>
            <w:vAlign w:val="center"/>
            <w:hideMark/>
          </w:tcPr>
          <w:p w14:paraId="0455C53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None</w:t>
            </w:r>
          </w:p>
        </w:tc>
        <w:tc>
          <w:tcPr>
            <w:tcW w:w="303" w:type="pct"/>
            <w:tcBorders>
              <w:top w:val="nil"/>
              <w:left w:val="nil"/>
              <w:bottom w:val="single" w:sz="4" w:space="0" w:color="auto"/>
              <w:right w:val="single" w:sz="4" w:space="0" w:color="auto"/>
            </w:tcBorders>
            <w:shd w:val="clear" w:color="auto" w:fill="auto"/>
            <w:vAlign w:val="center"/>
            <w:hideMark/>
          </w:tcPr>
          <w:p w14:paraId="697BF0AC"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State, federal</w:t>
            </w:r>
          </w:p>
        </w:tc>
        <w:tc>
          <w:tcPr>
            <w:tcW w:w="294" w:type="pct"/>
            <w:tcBorders>
              <w:top w:val="nil"/>
              <w:left w:val="nil"/>
              <w:bottom w:val="single" w:sz="4" w:space="0" w:color="auto"/>
              <w:right w:val="single" w:sz="4" w:space="0" w:color="auto"/>
            </w:tcBorders>
            <w:shd w:val="clear" w:color="auto" w:fill="auto"/>
            <w:vAlign w:val="center"/>
            <w:hideMark/>
          </w:tcPr>
          <w:p w14:paraId="52CCF5F0"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Health</w:t>
            </w:r>
          </w:p>
        </w:tc>
        <w:tc>
          <w:tcPr>
            <w:tcW w:w="448" w:type="pct"/>
            <w:tcBorders>
              <w:top w:val="nil"/>
              <w:left w:val="nil"/>
              <w:bottom w:val="single" w:sz="4" w:space="0" w:color="auto"/>
              <w:right w:val="single" w:sz="4" w:space="0" w:color="auto"/>
            </w:tcBorders>
            <w:shd w:val="clear" w:color="auto" w:fill="auto"/>
            <w:vAlign w:val="center"/>
            <w:hideMark/>
          </w:tcPr>
          <w:p w14:paraId="1C03D0E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Politicians</w:t>
            </w:r>
          </w:p>
        </w:tc>
        <w:tc>
          <w:tcPr>
            <w:tcW w:w="391" w:type="pct"/>
            <w:tcBorders>
              <w:top w:val="nil"/>
              <w:left w:val="nil"/>
              <w:bottom w:val="single" w:sz="4" w:space="0" w:color="auto"/>
              <w:right w:val="single" w:sz="4" w:space="0" w:color="auto"/>
            </w:tcBorders>
            <w:shd w:val="clear" w:color="auto" w:fill="auto"/>
            <w:vAlign w:val="center"/>
            <w:hideMark/>
          </w:tcPr>
          <w:p w14:paraId="59720A27"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None</w:t>
            </w:r>
          </w:p>
        </w:tc>
        <w:tc>
          <w:tcPr>
            <w:tcW w:w="446" w:type="pct"/>
            <w:tcBorders>
              <w:top w:val="nil"/>
              <w:left w:val="nil"/>
              <w:bottom w:val="single" w:sz="4" w:space="0" w:color="auto"/>
              <w:right w:val="single" w:sz="4" w:space="0" w:color="auto"/>
            </w:tcBorders>
            <w:shd w:val="clear" w:color="auto" w:fill="auto"/>
            <w:vAlign w:val="center"/>
            <w:hideMark/>
          </w:tcPr>
          <w:p w14:paraId="06FC6B04"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Interviews</w:t>
            </w:r>
          </w:p>
        </w:tc>
        <w:tc>
          <w:tcPr>
            <w:tcW w:w="425" w:type="pct"/>
            <w:tcBorders>
              <w:top w:val="nil"/>
              <w:left w:val="nil"/>
              <w:bottom w:val="single" w:sz="4" w:space="0" w:color="auto"/>
              <w:right w:val="single" w:sz="4" w:space="0" w:color="auto"/>
            </w:tcBorders>
            <w:shd w:val="clear" w:color="auto" w:fill="auto"/>
            <w:vAlign w:val="center"/>
            <w:hideMark/>
          </w:tcPr>
          <w:p w14:paraId="1CA21AB3"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Former politicians</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6F8E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None</w:t>
            </w:r>
          </w:p>
        </w:tc>
      </w:tr>
      <w:tr w:rsidR="00492865" w:rsidRPr="00DD38A3" w14:paraId="76858D57" w14:textId="77777777" w:rsidTr="000532FC">
        <w:trPr>
          <w:trHeight w:val="1020"/>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7E43F89C"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Bryan-Jones</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A56F23"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Political dynamics promoting the incremental regulation of secondhand smoke: a case study of New South Wales, Australia</w:t>
            </w:r>
          </w:p>
        </w:tc>
        <w:tc>
          <w:tcPr>
            <w:tcW w:w="160" w:type="pct"/>
            <w:tcBorders>
              <w:top w:val="nil"/>
              <w:left w:val="nil"/>
              <w:bottom w:val="single" w:sz="4" w:space="0" w:color="auto"/>
              <w:right w:val="single" w:sz="4" w:space="0" w:color="auto"/>
            </w:tcBorders>
            <w:shd w:val="clear" w:color="auto" w:fill="auto"/>
            <w:vAlign w:val="center"/>
            <w:hideMark/>
          </w:tcPr>
          <w:p w14:paraId="35A54BE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2006</w:t>
            </w:r>
          </w:p>
        </w:tc>
        <w:tc>
          <w:tcPr>
            <w:tcW w:w="583" w:type="pct"/>
            <w:tcBorders>
              <w:top w:val="nil"/>
              <w:left w:val="nil"/>
              <w:bottom w:val="single" w:sz="4" w:space="0" w:color="auto"/>
              <w:right w:val="single" w:sz="4" w:space="0" w:color="auto"/>
            </w:tcBorders>
            <w:shd w:val="clear" w:color="auto" w:fill="auto"/>
            <w:vAlign w:val="center"/>
            <w:hideMark/>
          </w:tcPr>
          <w:p w14:paraId="215EEED6"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Lobbying, financial contributions</w:t>
            </w:r>
          </w:p>
        </w:tc>
        <w:tc>
          <w:tcPr>
            <w:tcW w:w="351" w:type="pct"/>
            <w:tcBorders>
              <w:top w:val="nil"/>
              <w:left w:val="nil"/>
              <w:bottom w:val="single" w:sz="4" w:space="0" w:color="auto"/>
              <w:right w:val="single" w:sz="4" w:space="0" w:color="auto"/>
            </w:tcBorders>
            <w:shd w:val="clear" w:color="auto" w:fill="auto"/>
            <w:vAlign w:val="center"/>
            <w:hideMark/>
          </w:tcPr>
          <w:p w14:paraId="51FD478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Tobacco</w:t>
            </w:r>
          </w:p>
        </w:tc>
        <w:tc>
          <w:tcPr>
            <w:tcW w:w="340" w:type="pct"/>
            <w:tcBorders>
              <w:top w:val="nil"/>
              <w:left w:val="nil"/>
              <w:bottom w:val="single" w:sz="4" w:space="0" w:color="auto"/>
              <w:right w:val="single" w:sz="4" w:space="0" w:color="auto"/>
            </w:tcBorders>
            <w:shd w:val="clear" w:color="auto" w:fill="auto"/>
            <w:vAlign w:val="center"/>
            <w:hideMark/>
          </w:tcPr>
          <w:p w14:paraId="7CAD0FCE"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Australian Hotels Association (AHA), Clubs NSW</w:t>
            </w:r>
          </w:p>
        </w:tc>
        <w:tc>
          <w:tcPr>
            <w:tcW w:w="303" w:type="pct"/>
            <w:tcBorders>
              <w:top w:val="nil"/>
              <w:left w:val="nil"/>
              <w:bottom w:val="single" w:sz="4" w:space="0" w:color="auto"/>
              <w:right w:val="single" w:sz="4" w:space="0" w:color="auto"/>
            </w:tcBorders>
            <w:shd w:val="clear" w:color="auto" w:fill="auto"/>
            <w:vAlign w:val="center"/>
            <w:hideMark/>
          </w:tcPr>
          <w:p w14:paraId="164439E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State</w:t>
            </w:r>
          </w:p>
        </w:tc>
        <w:tc>
          <w:tcPr>
            <w:tcW w:w="294" w:type="pct"/>
            <w:tcBorders>
              <w:top w:val="nil"/>
              <w:left w:val="nil"/>
              <w:bottom w:val="single" w:sz="4" w:space="0" w:color="auto"/>
              <w:right w:val="single" w:sz="4" w:space="0" w:color="auto"/>
            </w:tcBorders>
            <w:shd w:val="clear" w:color="auto" w:fill="auto"/>
            <w:vAlign w:val="center"/>
            <w:hideMark/>
          </w:tcPr>
          <w:p w14:paraId="526E8506"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Government</w:t>
            </w:r>
          </w:p>
        </w:tc>
        <w:tc>
          <w:tcPr>
            <w:tcW w:w="448" w:type="pct"/>
            <w:tcBorders>
              <w:top w:val="nil"/>
              <w:left w:val="nil"/>
              <w:bottom w:val="single" w:sz="4" w:space="0" w:color="auto"/>
              <w:right w:val="single" w:sz="4" w:space="0" w:color="auto"/>
            </w:tcBorders>
            <w:shd w:val="clear" w:color="auto" w:fill="auto"/>
            <w:vAlign w:val="center"/>
            <w:hideMark/>
          </w:tcPr>
          <w:p w14:paraId="74F207C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political parties, politicians</w:t>
            </w:r>
          </w:p>
        </w:tc>
        <w:tc>
          <w:tcPr>
            <w:tcW w:w="391" w:type="pct"/>
            <w:tcBorders>
              <w:top w:val="nil"/>
              <w:left w:val="nil"/>
              <w:bottom w:val="single" w:sz="4" w:space="0" w:color="auto"/>
              <w:right w:val="single" w:sz="4" w:space="0" w:color="auto"/>
            </w:tcBorders>
            <w:shd w:val="clear" w:color="000000" w:fill="FFFFFF"/>
            <w:vAlign w:val="center"/>
            <w:hideMark/>
          </w:tcPr>
          <w:p w14:paraId="04222E66"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To avoid smoking bans in pubs and clubs</w:t>
            </w:r>
          </w:p>
        </w:tc>
        <w:tc>
          <w:tcPr>
            <w:tcW w:w="446" w:type="pct"/>
            <w:tcBorders>
              <w:top w:val="nil"/>
              <w:left w:val="nil"/>
              <w:bottom w:val="single" w:sz="4" w:space="0" w:color="auto"/>
              <w:right w:val="single" w:sz="4" w:space="0" w:color="auto"/>
            </w:tcBorders>
            <w:shd w:val="clear" w:color="auto" w:fill="auto"/>
            <w:vAlign w:val="center"/>
            <w:hideMark/>
          </w:tcPr>
          <w:p w14:paraId="2E5ABA53"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Interviews</w:t>
            </w:r>
          </w:p>
        </w:tc>
        <w:tc>
          <w:tcPr>
            <w:tcW w:w="425" w:type="pct"/>
            <w:tcBorders>
              <w:top w:val="nil"/>
              <w:left w:val="nil"/>
              <w:bottom w:val="single" w:sz="4" w:space="0" w:color="auto"/>
              <w:right w:val="single" w:sz="4" w:space="0" w:color="auto"/>
            </w:tcBorders>
            <w:shd w:val="clear" w:color="auto" w:fill="auto"/>
            <w:vAlign w:val="center"/>
            <w:hideMark/>
          </w:tcPr>
          <w:p w14:paraId="69AACFA0"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C</w:t>
            </w:r>
            <w:r w:rsidRPr="00DD38A3">
              <w:rPr>
                <w:rFonts w:eastAsia="Times New Roman" w:cstheme="minorHAnsi"/>
                <w:color w:val="000000"/>
                <w:sz w:val="12"/>
                <w:szCs w:val="12"/>
                <w:lang w:eastAsia="en-AU"/>
              </w:rPr>
              <w:t>urrent and former politicians, political advisors, current and former health bureaucrats, tobacco control advocates, catering industry and labo</w:t>
            </w:r>
            <w:r>
              <w:rPr>
                <w:rFonts w:eastAsia="Times New Roman" w:cstheme="minorHAnsi"/>
                <w:color w:val="000000"/>
                <w:sz w:val="12"/>
                <w:szCs w:val="12"/>
                <w:lang w:eastAsia="en-AU"/>
              </w:rPr>
              <w:t>u</w:t>
            </w:r>
            <w:r w:rsidRPr="00DD38A3">
              <w:rPr>
                <w:rFonts w:eastAsia="Times New Roman" w:cstheme="minorHAnsi"/>
                <w:color w:val="000000"/>
                <w:sz w:val="12"/>
                <w:szCs w:val="12"/>
                <w:lang w:eastAsia="en-AU"/>
              </w:rPr>
              <w:t>r union representatives</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EC2648"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w:t>
            </w:r>
            <w:r w:rsidRPr="00DD38A3">
              <w:rPr>
                <w:rFonts w:eastAsia="Times New Roman" w:cstheme="minorHAnsi"/>
                <w:color w:val="000000"/>
                <w:sz w:val="12"/>
                <w:szCs w:val="12"/>
                <w:lang w:eastAsia="en-AU"/>
              </w:rPr>
              <w:t>one</w:t>
            </w:r>
          </w:p>
        </w:tc>
      </w:tr>
      <w:tr w:rsidR="00492865" w:rsidRPr="00DD38A3" w14:paraId="4EB02044" w14:textId="77777777" w:rsidTr="000532FC">
        <w:trPr>
          <w:trHeight w:val="2040"/>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7C8C461A"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Thompson</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6A4B4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Alcohol Industry Donations to Victorian Political Parties:</w:t>
            </w:r>
          </w:p>
        </w:tc>
        <w:tc>
          <w:tcPr>
            <w:tcW w:w="160" w:type="pct"/>
            <w:tcBorders>
              <w:top w:val="nil"/>
              <w:left w:val="nil"/>
              <w:bottom w:val="single" w:sz="4" w:space="0" w:color="auto"/>
              <w:right w:val="single" w:sz="4" w:space="0" w:color="auto"/>
            </w:tcBorders>
            <w:shd w:val="clear" w:color="auto" w:fill="auto"/>
            <w:vAlign w:val="center"/>
            <w:hideMark/>
          </w:tcPr>
          <w:p w14:paraId="04D5E78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2014</w:t>
            </w:r>
          </w:p>
        </w:tc>
        <w:tc>
          <w:tcPr>
            <w:tcW w:w="583" w:type="pct"/>
            <w:tcBorders>
              <w:top w:val="nil"/>
              <w:left w:val="nil"/>
              <w:bottom w:val="single" w:sz="4" w:space="0" w:color="auto"/>
              <w:right w:val="single" w:sz="4" w:space="0" w:color="auto"/>
            </w:tcBorders>
            <w:shd w:val="clear" w:color="auto" w:fill="auto"/>
            <w:vAlign w:val="center"/>
            <w:hideMark/>
          </w:tcPr>
          <w:p w14:paraId="1D205454"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Political donations</w:t>
            </w:r>
          </w:p>
        </w:tc>
        <w:tc>
          <w:tcPr>
            <w:tcW w:w="351" w:type="pct"/>
            <w:tcBorders>
              <w:top w:val="nil"/>
              <w:left w:val="nil"/>
              <w:bottom w:val="single" w:sz="4" w:space="0" w:color="auto"/>
              <w:right w:val="single" w:sz="4" w:space="0" w:color="auto"/>
            </w:tcBorders>
            <w:shd w:val="clear" w:color="auto" w:fill="auto"/>
            <w:vAlign w:val="center"/>
            <w:hideMark/>
          </w:tcPr>
          <w:p w14:paraId="7C4FE105"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Alcohol</w:t>
            </w:r>
          </w:p>
        </w:tc>
        <w:tc>
          <w:tcPr>
            <w:tcW w:w="340" w:type="pct"/>
            <w:tcBorders>
              <w:top w:val="nil"/>
              <w:left w:val="nil"/>
              <w:bottom w:val="single" w:sz="4" w:space="0" w:color="auto"/>
              <w:right w:val="single" w:sz="4" w:space="0" w:color="auto"/>
            </w:tcBorders>
            <w:shd w:val="clear" w:color="auto" w:fill="auto"/>
            <w:vAlign w:val="center"/>
            <w:hideMark/>
          </w:tcPr>
          <w:p w14:paraId="1F787A19"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Cormack Foundation, Woolworths, Wesfarmers, Australian Hotels and Hospitality Association, Australian Hotels Association (Victoria) (AHA), Crown Limited, Australian Leisure and Hospitality Group (ALH), GNT International, Fosters Group Ltd, Clubs NSW, The Australian Club</w:t>
            </w:r>
          </w:p>
        </w:tc>
        <w:tc>
          <w:tcPr>
            <w:tcW w:w="303" w:type="pct"/>
            <w:tcBorders>
              <w:top w:val="nil"/>
              <w:left w:val="nil"/>
              <w:bottom w:val="single" w:sz="4" w:space="0" w:color="auto"/>
              <w:right w:val="single" w:sz="4" w:space="0" w:color="auto"/>
            </w:tcBorders>
            <w:shd w:val="clear" w:color="auto" w:fill="auto"/>
            <w:vAlign w:val="center"/>
            <w:hideMark/>
          </w:tcPr>
          <w:p w14:paraId="6BF0DF8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State</w:t>
            </w:r>
          </w:p>
        </w:tc>
        <w:tc>
          <w:tcPr>
            <w:tcW w:w="294" w:type="pct"/>
            <w:tcBorders>
              <w:top w:val="nil"/>
              <w:left w:val="nil"/>
              <w:bottom w:val="single" w:sz="4" w:space="0" w:color="auto"/>
              <w:right w:val="single" w:sz="4" w:space="0" w:color="auto"/>
            </w:tcBorders>
            <w:shd w:val="clear" w:color="auto" w:fill="auto"/>
            <w:vAlign w:val="center"/>
            <w:hideMark/>
          </w:tcPr>
          <w:p w14:paraId="12BC451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Government</w:t>
            </w:r>
          </w:p>
        </w:tc>
        <w:tc>
          <w:tcPr>
            <w:tcW w:w="448" w:type="pct"/>
            <w:tcBorders>
              <w:top w:val="nil"/>
              <w:left w:val="nil"/>
              <w:bottom w:val="single" w:sz="4" w:space="0" w:color="auto"/>
              <w:right w:val="single" w:sz="4" w:space="0" w:color="auto"/>
            </w:tcBorders>
            <w:shd w:val="clear" w:color="auto" w:fill="auto"/>
            <w:vAlign w:val="center"/>
            <w:hideMark/>
          </w:tcPr>
          <w:p w14:paraId="5BB25CF0"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Victorian branches of major political parties (Liberals, Nationals, Labor, Greens)</w:t>
            </w:r>
          </w:p>
        </w:tc>
        <w:tc>
          <w:tcPr>
            <w:tcW w:w="391" w:type="pct"/>
            <w:tcBorders>
              <w:top w:val="nil"/>
              <w:left w:val="nil"/>
              <w:bottom w:val="single" w:sz="4" w:space="0" w:color="auto"/>
              <w:right w:val="single" w:sz="4" w:space="0" w:color="auto"/>
            </w:tcBorders>
            <w:shd w:val="clear" w:color="auto" w:fill="auto"/>
            <w:vAlign w:val="center"/>
            <w:hideMark/>
          </w:tcPr>
          <w:p w14:paraId="64A4532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None</w:t>
            </w:r>
          </w:p>
        </w:tc>
        <w:tc>
          <w:tcPr>
            <w:tcW w:w="446" w:type="pct"/>
            <w:tcBorders>
              <w:top w:val="nil"/>
              <w:left w:val="nil"/>
              <w:bottom w:val="single" w:sz="4" w:space="0" w:color="auto"/>
              <w:right w:val="single" w:sz="4" w:space="0" w:color="auto"/>
            </w:tcBorders>
            <w:shd w:val="clear" w:color="auto" w:fill="auto"/>
            <w:vAlign w:val="center"/>
            <w:hideMark/>
          </w:tcPr>
          <w:p w14:paraId="0F16011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Australian Electoral Commission (AEC) data for donations</w:t>
            </w:r>
          </w:p>
        </w:tc>
        <w:tc>
          <w:tcPr>
            <w:tcW w:w="425" w:type="pct"/>
            <w:tcBorders>
              <w:top w:val="nil"/>
              <w:left w:val="nil"/>
              <w:bottom w:val="single" w:sz="4" w:space="0" w:color="auto"/>
              <w:right w:val="single" w:sz="4" w:space="0" w:color="auto"/>
            </w:tcBorders>
            <w:shd w:val="clear" w:color="auto" w:fill="auto"/>
            <w:vAlign w:val="center"/>
            <w:hideMark/>
          </w:tcPr>
          <w:p w14:paraId="5A33A81D"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n/a</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C5508E"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Appendix 1: Detailed breakdown of donations from the alcohol industry to Victorian Political Parties</w:t>
            </w:r>
          </w:p>
        </w:tc>
      </w:tr>
      <w:tr w:rsidR="00492865" w:rsidRPr="00DD38A3" w14:paraId="61A188D8" w14:textId="77777777" w:rsidTr="000532FC">
        <w:trPr>
          <w:trHeight w:val="2652"/>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55D2B1E2"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Thompson</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FF1B7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Alcohol Industry Donations to Queensland Political Parties</w:t>
            </w:r>
          </w:p>
        </w:tc>
        <w:tc>
          <w:tcPr>
            <w:tcW w:w="160" w:type="pct"/>
            <w:tcBorders>
              <w:top w:val="nil"/>
              <w:left w:val="nil"/>
              <w:bottom w:val="single" w:sz="4" w:space="0" w:color="auto"/>
              <w:right w:val="single" w:sz="4" w:space="0" w:color="auto"/>
            </w:tcBorders>
            <w:shd w:val="clear" w:color="auto" w:fill="auto"/>
            <w:vAlign w:val="center"/>
            <w:hideMark/>
          </w:tcPr>
          <w:p w14:paraId="6BCE9C4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2015</w:t>
            </w:r>
          </w:p>
        </w:tc>
        <w:tc>
          <w:tcPr>
            <w:tcW w:w="583" w:type="pct"/>
            <w:tcBorders>
              <w:top w:val="nil"/>
              <w:left w:val="nil"/>
              <w:bottom w:val="single" w:sz="4" w:space="0" w:color="auto"/>
              <w:right w:val="single" w:sz="4" w:space="0" w:color="auto"/>
            </w:tcBorders>
            <w:shd w:val="clear" w:color="auto" w:fill="auto"/>
            <w:vAlign w:val="center"/>
            <w:hideMark/>
          </w:tcPr>
          <w:p w14:paraId="704EDC2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Political donations</w:t>
            </w:r>
          </w:p>
        </w:tc>
        <w:tc>
          <w:tcPr>
            <w:tcW w:w="351" w:type="pct"/>
            <w:tcBorders>
              <w:top w:val="nil"/>
              <w:left w:val="nil"/>
              <w:bottom w:val="single" w:sz="4" w:space="0" w:color="auto"/>
              <w:right w:val="single" w:sz="4" w:space="0" w:color="auto"/>
            </w:tcBorders>
            <w:shd w:val="clear" w:color="auto" w:fill="auto"/>
            <w:vAlign w:val="center"/>
            <w:hideMark/>
          </w:tcPr>
          <w:p w14:paraId="1C61E97E"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Alcohol</w:t>
            </w:r>
          </w:p>
        </w:tc>
        <w:tc>
          <w:tcPr>
            <w:tcW w:w="340" w:type="pct"/>
            <w:tcBorders>
              <w:top w:val="nil"/>
              <w:left w:val="nil"/>
              <w:bottom w:val="single" w:sz="4" w:space="0" w:color="auto"/>
              <w:right w:val="single" w:sz="4" w:space="0" w:color="auto"/>
            </w:tcBorders>
            <w:shd w:val="clear" w:color="auto" w:fill="auto"/>
            <w:vAlign w:val="center"/>
            <w:hideMark/>
          </w:tcPr>
          <w:p w14:paraId="73474855"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Australian Hotels Association (AHA), Clubs Australia, Distilled Spirits Industry Council of Australia, Wine Federation of Australia, Brewers Association, Wesfarmers, Treasury Wine Estates Ltd</w:t>
            </w:r>
          </w:p>
        </w:tc>
        <w:tc>
          <w:tcPr>
            <w:tcW w:w="303" w:type="pct"/>
            <w:tcBorders>
              <w:top w:val="nil"/>
              <w:left w:val="nil"/>
              <w:bottom w:val="single" w:sz="4" w:space="0" w:color="auto"/>
              <w:right w:val="single" w:sz="4" w:space="0" w:color="auto"/>
            </w:tcBorders>
            <w:shd w:val="clear" w:color="auto" w:fill="auto"/>
            <w:vAlign w:val="center"/>
            <w:hideMark/>
          </w:tcPr>
          <w:p w14:paraId="10AEE29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 </w:t>
            </w:r>
            <w:r>
              <w:rPr>
                <w:rFonts w:eastAsia="Times New Roman" w:cstheme="minorHAnsi"/>
                <w:color w:val="000000"/>
                <w:sz w:val="12"/>
                <w:szCs w:val="12"/>
                <w:lang w:eastAsia="en-AU"/>
              </w:rPr>
              <w:t>State</w:t>
            </w:r>
          </w:p>
        </w:tc>
        <w:tc>
          <w:tcPr>
            <w:tcW w:w="294" w:type="pct"/>
            <w:tcBorders>
              <w:top w:val="nil"/>
              <w:left w:val="nil"/>
              <w:bottom w:val="single" w:sz="4" w:space="0" w:color="auto"/>
              <w:right w:val="single" w:sz="4" w:space="0" w:color="auto"/>
            </w:tcBorders>
            <w:shd w:val="clear" w:color="auto" w:fill="auto"/>
            <w:vAlign w:val="center"/>
            <w:hideMark/>
          </w:tcPr>
          <w:p w14:paraId="20384CB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Government</w:t>
            </w:r>
          </w:p>
        </w:tc>
        <w:tc>
          <w:tcPr>
            <w:tcW w:w="448" w:type="pct"/>
            <w:tcBorders>
              <w:top w:val="nil"/>
              <w:left w:val="nil"/>
              <w:bottom w:val="single" w:sz="4" w:space="0" w:color="auto"/>
              <w:right w:val="single" w:sz="4" w:space="0" w:color="auto"/>
            </w:tcBorders>
            <w:shd w:val="clear" w:color="auto" w:fill="auto"/>
            <w:vAlign w:val="center"/>
            <w:hideMark/>
          </w:tcPr>
          <w:p w14:paraId="2AE404B7"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Queensland divisions of major political parties (Labor, Liberal, Katter Australian Party, Greens, Palmer United Party) and associated entities (Fadden Forum, Forward Brisbane Leadership, Labor Holdings Pty Ltd)</w:t>
            </w:r>
          </w:p>
        </w:tc>
        <w:tc>
          <w:tcPr>
            <w:tcW w:w="391" w:type="pct"/>
            <w:tcBorders>
              <w:top w:val="nil"/>
              <w:left w:val="nil"/>
              <w:bottom w:val="single" w:sz="4" w:space="0" w:color="auto"/>
              <w:right w:val="single" w:sz="4" w:space="0" w:color="auto"/>
            </w:tcBorders>
            <w:shd w:val="clear" w:color="auto" w:fill="auto"/>
            <w:vAlign w:val="center"/>
            <w:hideMark/>
          </w:tcPr>
          <w:p w14:paraId="08959A1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None</w:t>
            </w:r>
          </w:p>
        </w:tc>
        <w:tc>
          <w:tcPr>
            <w:tcW w:w="446" w:type="pct"/>
            <w:tcBorders>
              <w:top w:val="nil"/>
              <w:left w:val="nil"/>
              <w:bottom w:val="single" w:sz="4" w:space="0" w:color="auto"/>
              <w:right w:val="single" w:sz="4" w:space="0" w:color="auto"/>
            </w:tcBorders>
            <w:shd w:val="clear" w:color="auto" w:fill="auto"/>
            <w:vAlign w:val="center"/>
            <w:hideMark/>
          </w:tcPr>
          <w:p w14:paraId="6E45A51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AEC data</w:t>
            </w:r>
          </w:p>
        </w:tc>
        <w:tc>
          <w:tcPr>
            <w:tcW w:w="425" w:type="pct"/>
            <w:tcBorders>
              <w:top w:val="nil"/>
              <w:left w:val="nil"/>
              <w:bottom w:val="single" w:sz="4" w:space="0" w:color="auto"/>
              <w:right w:val="single" w:sz="4" w:space="0" w:color="auto"/>
            </w:tcBorders>
            <w:shd w:val="clear" w:color="auto" w:fill="auto"/>
            <w:vAlign w:val="center"/>
            <w:hideMark/>
          </w:tcPr>
          <w:p w14:paraId="00DA8447"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n/a</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113816"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Appendix 1: Detailed breakdown of donations from the alcohol industry to Queensland political parties</w:t>
            </w:r>
          </w:p>
        </w:tc>
      </w:tr>
      <w:tr w:rsidR="00492865" w:rsidRPr="00DD38A3" w14:paraId="72417804" w14:textId="77777777" w:rsidTr="000532FC">
        <w:trPr>
          <w:trHeight w:val="1224"/>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0D0BBE82"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Thomas</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98344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Gambling advocacy: lessons from tobacco, alcohol and junk food</w:t>
            </w:r>
          </w:p>
        </w:tc>
        <w:tc>
          <w:tcPr>
            <w:tcW w:w="160" w:type="pct"/>
            <w:tcBorders>
              <w:top w:val="nil"/>
              <w:left w:val="nil"/>
              <w:bottom w:val="single" w:sz="4" w:space="0" w:color="auto"/>
              <w:right w:val="single" w:sz="4" w:space="0" w:color="auto"/>
            </w:tcBorders>
            <w:shd w:val="clear" w:color="auto" w:fill="auto"/>
            <w:vAlign w:val="center"/>
            <w:hideMark/>
          </w:tcPr>
          <w:p w14:paraId="68196FD6"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2016</w:t>
            </w:r>
          </w:p>
        </w:tc>
        <w:tc>
          <w:tcPr>
            <w:tcW w:w="583" w:type="pct"/>
            <w:tcBorders>
              <w:top w:val="nil"/>
              <w:left w:val="nil"/>
              <w:bottom w:val="single" w:sz="4" w:space="0" w:color="auto"/>
              <w:right w:val="single" w:sz="4" w:space="0" w:color="auto"/>
            </w:tcBorders>
            <w:shd w:val="clear" w:color="auto" w:fill="auto"/>
            <w:vAlign w:val="center"/>
            <w:hideMark/>
          </w:tcPr>
          <w:p w14:paraId="32E456DC"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Lobbying; political contributions; taxation revenue; framing; influence science</w:t>
            </w:r>
          </w:p>
        </w:tc>
        <w:tc>
          <w:tcPr>
            <w:tcW w:w="351" w:type="pct"/>
            <w:tcBorders>
              <w:top w:val="nil"/>
              <w:left w:val="nil"/>
              <w:bottom w:val="single" w:sz="4" w:space="0" w:color="auto"/>
              <w:right w:val="single" w:sz="4" w:space="0" w:color="auto"/>
            </w:tcBorders>
            <w:shd w:val="clear" w:color="auto" w:fill="auto"/>
            <w:vAlign w:val="center"/>
            <w:hideMark/>
          </w:tcPr>
          <w:p w14:paraId="7CE501E5"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 xml:space="preserve">Gambling, tobacco, alcohol </w:t>
            </w:r>
            <w:r w:rsidRPr="00DD38A3">
              <w:rPr>
                <w:rFonts w:eastAsia="Times New Roman" w:cstheme="minorHAnsi"/>
                <w:color w:val="000000"/>
                <w:sz w:val="12"/>
                <w:szCs w:val="12"/>
                <w:lang w:eastAsia="en-AU"/>
              </w:rPr>
              <w:br/>
              <w:t>and junk food industries</w:t>
            </w:r>
            <w:r w:rsidRPr="00DD38A3">
              <w:rPr>
                <w:rFonts w:eastAsia="Times New Roman" w:cstheme="minorHAnsi"/>
                <w:color w:val="000000"/>
                <w:sz w:val="12"/>
                <w:szCs w:val="12"/>
                <w:lang w:eastAsia="en-AU"/>
              </w:rPr>
              <w:br/>
              <w:t xml:space="preserve">organisations, peak professional </w:t>
            </w:r>
            <w:r w:rsidRPr="00DD38A3">
              <w:rPr>
                <w:rFonts w:eastAsia="Times New Roman" w:cstheme="minorHAnsi"/>
                <w:color w:val="000000"/>
                <w:sz w:val="12"/>
                <w:szCs w:val="12"/>
                <w:lang w:eastAsia="en-AU"/>
              </w:rPr>
              <w:lastRenderedPageBreak/>
              <w:t xml:space="preserve">bodies, local </w:t>
            </w:r>
            <w:r w:rsidRPr="00DD38A3">
              <w:rPr>
                <w:rFonts w:eastAsia="Times New Roman" w:cstheme="minorHAnsi"/>
                <w:color w:val="000000"/>
                <w:sz w:val="12"/>
                <w:szCs w:val="12"/>
                <w:lang w:eastAsia="en-AU"/>
              </w:rPr>
              <w:br/>
              <w:t>government</w:t>
            </w:r>
            <w:r>
              <w:rPr>
                <w:rFonts w:eastAsia="Times New Roman" w:cstheme="minorHAnsi"/>
                <w:color w:val="000000"/>
                <w:sz w:val="12"/>
                <w:szCs w:val="12"/>
                <w:lang w:eastAsia="en-AU"/>
              </w:rPr>
              <w:t xml:space="preserve"> </w:t>
            </w:r>
            <w:r w:rsidRPr="00DD38A3">
              <w:rPr>
                <w:rFonts w:eastAsia="Times New Roman" w:cstheme="minorHAnsi"/>
                <w:color w:val="000000"/>
                <w:sz w:val="12"/>
                <w:szCs w:val="12"/>
                <w:lang w:eastAsia="en-AU"/>
              </w:rPr>
              <w:t>organisations and academia</w:t>
            </w:r>
          </w:p>
        </w:tc>
        <w:tc>
          <w:tcPr>
            <w:tcW w:w="340" w:type="pct"/>
            <w:tcBorders>
              <w:top w:val="nil"/>
              <w:left w:val="nil"/>
              <w:bottom w:val="single" w:sz="4" w:space="0" w:color="auto"/>
              <w:right w:val="single" w:sz="4" w:space="0" w:color="auto"/>
            </w:tcBorders>
            <w:shd w:val="clear" w:color="auto" w:fill="auto"/>
            <w:vAlign w:val="center"/>
            <w:hideMark/>
          </w:tcPr>
          <w:p w14:paraId="7886B56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lastRenderedPageBreak/>
              <w:t>Clubs New South Wales; Australian Hotels Association</w:t>
            </w:r>
          </w:p>
        </w:tc>
        <w:tc>
          <w:tcPr>
            <w:tcW w:w="303" w:type="pct"/>
            <w:tcBorders>
              <w:top w:val="nil"/>
              <w:left w:val="nil"/>
              <w:bottom w:val="single" w:sz="4" w:space="0" w:color="auto"/>
              <w:right w:val="single" w:sz="4" w:space="0" w:color="auto"/>
            </w:tcBorders>
            <w:shd w:val="clear" w:color="auto" w:fill="auto"/>
            <w:vAlign w:val="center"/>
            <w:hideMark/>
          </w:tcPr>
          <w:p w14:paraId="62EB5E4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State, local</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8CCCD7"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Government</w:t>
            </w:r>
          </w:p>
        </w:tc>
        <w:tc>
          <w:tcPr>
            <w:tcW w:w="448" w:type="pct"/>
            <w:tcBorders>
              <w:top w:val="nil"/>
              <w:left w:val="nil"/>
              <w:bottom w:val="single" w:sz="4" w:space="0" w:color="auto"/>
              <w:right w:val="single" w:sz="4" w:space="0" w:color="auto"/>
            </w:tcBorders>
            <w:shd w:val="clear" w:color="auto" w:fill="auto"/>
            <w:vAlign w:val="center"/>
            <w:hideMark/>
          </w:tcPr>
          <w:p w14:paraId="069B4866"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w:t>
            </w:r>
            <w:r w:rsidRPr="00DD38A3">
              <w:rPr>
                <w:rFonts w:eastAsia="Times New Roman" w:cstheme="minorHAnsi"/>
                <w:color w:val="000000"/>
                <w:sz w:val="12"/>
                <w:szCs w:val="12"/>
                <w:lang w:eastAsia="en-AU"/>
              </w:rPr>
              <w:t>ot discussed</w:t>
            </w:r>
          </w:p>
        </w:tc>
        <w:tc>
          <w:tcPr>
            <w:tcW w:w="391" w:type="pct"/>
            <w:tcBorders>
              <w:top w:val="nil"/>
              <w:left w:val="nil"/>
              <w:bottom w:val="single" w:sz="4" w:space="0" w:color="auto"/>
              <w:right w:val="single" w:sz="4" w:space="0" w:color="auto"/>
            </w:tcBorders>
            <w:shd w:val="clear" w:color="auto" w:fill="auto"/>
            <w:vAlign w:val="center"/>
            <w:hideMark/>
          </w:tcPr>
          <w:p w14:paraId="0E3520F0"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None</w:t>
            </w:r>
          </w:p>
        </w:tc>
        <w:tc>
          <w:tcPr>
            <w:tcW w:w="446" w:type="pct"/>
            <w:tcBorders>
              <w:top w:val="nil"/>
              <w:left w:val="nil"/>
              <w:bottom w:val="single" w:sz="4" w:space="0" w:color="auto"/>
              <w:right w:val="single" w:sz="4" w:space="0" w:color="auto"/>
            </w:tcBorders>
            <w:shd w:val="clear" w:color="auto" w:fill="auto"/>
            <w:vAlign w:val="center"/>
            <w:hideMark/>
          </w:tcPr>
          <w:p w14:paraId="273D4D4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Interviews</w:t>
            </w:r>
          </w:p>
        </w:tc>
        <w:tc>
          <w:tcPr>
            <w:tcW w:w="425" w:type="pct"/>
            <w:tcBorders>
              <w:top w:val="nil"/>
              <w:left w:val="nil"/>
              <w:bottom w:val="single" w:sz="4" w:space="0" w:color="auto"/>
              <w:right w:val="single" w:sz="4" w:space="0" w:color="auto"/>
            </w:tcBorders>
            <w:shd w:val="clear" w:color="auto" w:fill="auto"/>
            <w:vAlign w:val="center"/>
            <w:hideMark/>
          </w:tcPr>
          <w:p w14:paraId="75CAC8E6"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w:t>
            </w:r>
            <w:r w:rsidRPr="00DD38A3">
              <w:rPr>
                <w:rFonts w:eastAsia="Times New Roman" w:cstheme="minorHAnsi"/>
                <w:color w:val="000000"/>
                <w:sz w:val="12"/>
                <w:szCs w:val="12"/>
                <w:lang w:eastAsia="en-AU"/>
              </w:rPr>
              <w:t xml:space="preserve">on-government </w:t>
            </w:r>
            <w:r w:rsidRPr="00DD38A3">
              <w:rPr>
                <w:rFonts w:eastAsia="Times New Roman" w:cstheme="minorHAnsi"/>
                <w:color w:val="000000"/>
                <w:sz w:val="12"/>
                <w:szCs w:val="12"/>
                <w:lang w:eastAsia="en-AU"/>
              </w:rPr>
              <w:br/>
              <w:t xml:space="preserve">organisations, peak professional bodies, local </w:t>
            </w:r>
            <w:r w:rsidRPr="00DD38A3">
              <w:rPr>
                <w:rFonts w:eastAsia="Times New Roman" w:cstheme="minorHAnsi"/>
                <w:color w:val="000000"/>
                <w:sz w:val="12"/>
                <w:szCs w:val="12"/>
                <w:lang w:eastAsia="en-AU"/>
              </w:rPr>
              <w:br/>
              <w:t>government organisations and academia</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8A2885"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Yes: figure 1 Themes and sub-themes</w:t>
            </w:r>
          </w:p>
        </w:tc>
      </w:tr>
      <w:tr w:rsidR="00492865" w:rsidRPr="00DD38A3" w14:paraId="736FE0EF" w14:textId="77777777" w:rsidTr="000532FC">
        <w:trPr>
          <w:trHeight w:val="1224"/>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54A61B7A"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Mialon</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78F210"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Maximising shareholder value': a detailed insight into the corporate political activity of the Australian food industry</w:t>
            </w:r>
          </w:p>
        </w:tc>
        <w:tc>
          <w:tcPr>
            <w:tcW w:w="160" w:type="pct"/>
            <w:tcBorders>
              <w:top w:val="nil"/>
              <w:left w:val="nil"/>
              <w:bottom w:val="single" w:sz="4" w:space="0" w:color="auto"/>
              <w:right w:val="single" w:sz="4" w:space="0" w:color="auto"/>
            </w:tcBorders>
            <w:shd w:val="clear" w:color="auto" w:fill="auto"/>
            <w:vAlign w:val="center"/>
            <w:hideMark/>
          </w:tcPr>
          <w:p w14:paraId="51EB0204"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2017</w:t>
            </w:r>
          </w:p>
        </w:tc>
        <w:tc>
          <w:tcPr>
            <w:tcW w:w="583" w:type="pct"/>
            <w:tcBorders>
              <w:top w:val="nil"/>
              <w:left w:val="nil"/>
              <w:bottom w:val="single" w:sz="4" w:space="0" w:color="auto"/>
              <w:right w:val="single" w:sz="4" w:space="0" w:color="auto"/>
            </w:tcBorders>
            <w:shd w:val="clear" w:color="auto" w:fill="auto"/>
            <w:vAlign w:val="center"/>
            <w:hideMark/>
          </w:tcPr>
          <w:p w14:paraId="3FB921C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Lobbying; information and messaging, framing, shaping the evidence base, revolving door; financial incentives, constituency building, legal strategies, policy substitution, opposition fragmentation/destabilisation</w:t>
            </w:r>
          </w:p>
        </w:tc>
        <w:tc>
          <w:tcPr>
            <w:tcW w:w="351" w:type="pct"/>
            <w:tcBorders>
              <w:top w:val="nil"/>
              <w:left w:val="nil"/>
              <w:bottom w:val="single" w:sz="4" w:space="0" w:color="auto"/>
              <w:right w:val="single" w:sz="4" w:space="0" w:color="auto"/>
            </w:tcBorders>
            <w:shd w:val="clear" w:color="auto" w:fill="auto"/>
            <w:vAlign w:val="center"/>
            <w:hideMark/>
          </w:tcPr>
          <w:p w14:paraId="3C50BBD6"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Food industry</w:t>
            </w:r>
          </w:p>
        </w:tc>
        <w:tc>
          <w:tcPr>
            <w:tcW w:w="340" w:type="pct"/>
            <w:tcBorders>
              <w:top w:val="nil"/>
              <w:left w:val="nil"/>
              <w:bottom w:val="single" w:sz="4" w:space="0" w:color="auto"/>
              <w:right w:val="single" w:sz="4" w:space="0" w:color="auto"/>
            </w:tcBorders>
            <w:shd w:val="clear" w:color="auto" w:fill="auto"/>
            <w:vAlign w:val="center"/>
            <w:hideMark/>
          </w:tcPr>
          <w:p w14:paraId="0042C89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Coca Cola, Nestlé, McDonalds, Australian Food and Grocery Council</w:t>
            </w:r>
          </w:p>
        </w:tc>
        <w:tc>
          <w:tcPr>
            <w:tcW w:w="303" w:type="pct"/>
            <w:tcBorders>
              <w:top w:val="nil"/>
              <w:left w:val="nil"/>
              <w:bottom w:val="single" w:sz="4" w:space="0" w:color="auto"/>
              <w:right w:val="single" w:sz="4" w:space="0" w:color="auto"/>
            </w:tcBorders>
            <w:shd w:val="clear" w:color="auto" w:fill="auto"/>
            <w:vAlign w:val="center"/>
            <w:hideMark/>
          </w:tcPr>
          <w:p w14:paraId="1D1676D7"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State, federal</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D9E71C"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Policy makers</w:t>
            </w:r>
          </w:p>
        </w:tc>
        <w:tc>
          <w:tcPr>
            <w:tcW w:w="448" w:type="pct"/>
            <w:tcBorders>
              <w:top w:val="nil"/>
              <w:left w:val="nil"/>
              <w:bottom w:val="single" w:sz="4" w:space="0" w:color="auto"/>
              <w:right w:val="single" w:sz="4" w:space="0" w:color="auto"/>
            </w:tcBorders>
            <w:shd w:val="clear" w:color="auto" w:fill="auto"/>
            <w:vAlign w:val="center"/>
            <w:hideMark/>
          </w:tcPr>
          <w:p w14:paraId="1F83C63C"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Policy makers, politicians, media, health organisations/opinion leaders</w:t>
            </w:r>
          </w:p>
        </w:tc>
        <w:tc>
          <w:tcPr>
            <w:tcW w:w="391" w:type="pct"/>
            <w:tcBorders>
              <w:top w:val="nil"/>
              <w:left w:val="nil"/>
              <w:bottom w:val="single" w:sz="4" w:space="0" w:color="auto"/>
              <w:right w:val="single" w:sz="4" w:space="0" w:color="auto"/>
            </w:tcBorders>
            <w:shd w:val="clear" w:color="000000" w:fill="FFFFFF"/>
            <w:vAlign w:val="center"/>
            <w:hideMark/>
          </w:tcPr>
          <w:p w14:paraId="1D58B3F5"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To avoid regulation</w:t>
            </w:r>
          </w:p>
        </w:tc>
        <w:tc>
          <w:tcPr>
            <w:tcW w:w="446" w:type="pct"/>
            <w:tcBorders>
              <w:top w:val="nil"/>
              <w:left w:val="nil"/>
              <w:bottom w:val="single" w:sz="4" w:space="0" w:color="auto"/>
              <w:right w:val="single" w:sz="4" w:space="0" w:color="auto"/>
            </w:tcBorders>
            <w:shd w:val="clear" w:color="auto" w:fill="auto"/>
            <w:vAlign w:val="center"/>
            <w:hideMark/>
          </w:tcPr>
          <w:p w14:paraId="6EFC856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Interviews</w:t>
            </w:r>
          </w:p>
        </w:tc>
        <w:tc>
          <w:tcPr>
            <w:tcW w:w="425" w:type="pct"/>
            <w:tcBorders>
              <w:top w:val="nil"/>
              <w:left w:val="nil"/>
              <w:bottom w:val="single" w:sz="4" w:space="0" w:color="auto"/>
              <w:right w:val="single" w:sz="4" w:space="0" w:color="auto"/>
            </w:tcBorders>
            <w:shd w:val="clear" w:color="auto" w:fill="auto"/>
            <w:vAlign w:val="center"/>
            <w:hideMark/>
          </w:tcPr>
          <w:p w14:paraId="6896EAF4"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G</w:t>
            </w:r>
            <w:r w:rsidRPr="00DD38A3">
              <w:rPr>
                <w:rFonts w:eastAsia="Times New Roman" w:cstheme="minorHAnsi"/>
                <w:color w:val="000000"/>
                <w:sz w:val="12"/>
                <w:szCs w:val="12"/>
                <w:lang w:eastAsia="en-AU"/>
              </w:rPr>
              <w:t>overnment, NGO, academic, nutritionist, former industry</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C07C5E"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Yes: ref to CPA framework</w:t>
            </w:r>
          </w:p>
        </w:tc>
      </w:tr>
      <w:tr w:rsidR="00492865" w:rsidRPr="00DD38A3" w14:paraId="6D966461" w14:textId="77777777" w:rsidTr="000532FC">
        <w:trPr>
          <w:trHeight w:val="612"/>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26153946"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Roberston</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42E89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Australian lobbyist registers are not serving the purposes they were designed for</w:t>
            </w:r>
          </w:p>
        </w:tc>
        <w:tc>
          <w:tcPr>
            <w:tcW w:w="160" w:type="pct"/>
            <w:tcBorders>
              <w:top w:val="nil"/>
              <w:left w:val="nil"/>
              <w:bottom w:val="single" w:sz="4" w:space="0" w:color="auto"/>
              <w:right w:val="single" w:sz="4" w:space="0" w:color="auto"/>
            </w:tcBorders>
            <w:shd w:val="clear" w:color="000000" w:fill="FFFFFF"/>
            <w:vAlign w:val="center"/>
            <w:hideMark/>
          </w:tcPr>
          <w:p w14:paraId="7CE2424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2018</w:t>
            </w:r>
          </w:p>
        </w:tc>
        <w:tc>
          <w:tcPr>
            <w:tcW w:w="583" w:type="pct"/>
            <w:tcBorders>
              <w:top w:val="nil"/>
              <w:left w:val="nil"/>
              <w:bottom w:val="single" w:sz="4" w:space="0" w:color="auto"/>
              <w:right w:val="single" w:sz="4" w:space="0" w:color="auto"/>
            </w:tcBorders>
            <w:shd w:val="clear" w:color="auto" w:fill="auto"/>
            <w:vAlign w:val="center"/>
            <w:hideMark/>
          </w:tcPr>
          <w:p w14:paraId="0F163C19"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Lobbyist registers</w:t>
            </w:r>
          </w:p>
        </w:tc>
        <w:tc>
          <w:tcPr>
            <w:tcW w:w="351" w:type="pct"/>
            <w:tcBorders>
              <w:top w:val="nil"/>
              <w:left w:val="nil"/>
              <w:bottom w:val="single" w:sz="4" w:space="0" w:color="auto"/>
              <w:right w:val="single" w:sz="4" w:space="0" w:color="auto"/>
            </w:tcBorders>
            <w:shd w:val="clear" w:color="auto" w:fill="auto"/>
            <w:vAlign w:val="center"/>
            <w:hideMark/>
          </w:tcPr>
          <w:p w14:paraId="630C408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Industries selling 'unhealthy commodities'</w:t>
            </w:r>
          </w:p>
        </w:tc>
        <w:tc>
          <w:tcPr>
            <w:tcW w:w="340" w:type="pct"/>
            <w:tcBorders>
              <w:top w:val="nil"/>
              <w:left w:val="nil"/>
              <w:bottom w:val="single" w:sz="4" w:space="0" w:color="auto"/>
              <w:right w:val="single" w:sz="4" w:space="0" w:color="auto"/>
            </w:tcBorders>
            <w:shd w:val="clear" w:color="auto" w:fill="auto"/>
            <w:vAlign w:val="center"/>
            <w:hideMark/>
          </w:tcPr>
          <w:p w14:paraId="6813824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none</w:t>
            </w:r>
          </w:p>
        </w:tc>
        <w:tc>
          <w:tcPr>
            <w:tcW w:w="303" w:type="pct"/>
            <w:tcBorders>
              <w:top w:val="nil"/>
              <w:left w:val="nil"/>
              <w:bottom w:val="single" w:sz="4" w:space="0" w:color="auto"/>
              <w:right w:val="single" w:sz="4" w:space="0" w:color="auto"/>
            </w:tcBorders>
            <w:shd w:val="clear" w:color="auto" w:fill="auto"/>
            <w:vAlign w:val="center"/>
            <w:hideMark/>
          </w:tcPr>
          <w:p w14:paraId="4F78FF4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State</w:t>
            </w:r>
          </w:p>
        </w:tc>
        <w:tc>
          <w:tcPr>
            <w:tcW w:w="294" w:type="pct"/>
            <w:tcBorders>
              <w:top w:val="nil"/>
              <w:left w:val="nil"/>
              <w:bottom w:val="single" w:sz="4" w:space="0" w:color="auto"/>
              <w:right w:val="single" w:sz="4" w:space="0" w:color="auto"/>
            </w:tcBorders>
            <w:shd w:val="clear" w:color="auto" w:fill="auto"/>
            <w:vAlign w:val="center"/>
            <w:hideMark/>
          </w:tcPr>
          <w:p w14:paraId="6FE751A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Government</w:t>
            </w:r>
          </w:p>
        </w:tc>
        <w:tc>
          <w:tcPr>
            <w:tcW w:w="448" w:type="pct"/>
            <w:tcBorders>
              <w:top w:val="nil"/>
              <w:left w:val="nil"/>
              <w:bottom w:val="single" w:sz="4" w:space="0" w:color="auto"/>
              <w:right w:val="single" w:sz="4" w:space="0" w:color="auto"/>
            </w:tcBorders>
            <w:shd w:val="clear" w:color="auto" w:fill="auto"/>
            <w:vAlign w:val="center"/>
            <w:hideMark/>
          </w:tcPr>
          <w:p w14:paraId="1834CA0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Ministers, parliamentarians, officials</w:t>
            </w:r>
          </w:p>
        </w:tc>
        <w:tc>
          <w:tcPr>
            <w:tcW w:w="391" w:type="pct"/>
            <w:tcBorders>
              <w:top w:val="nil"/>
              <w:left w:val="nil"/>
              <w:bottom w:val="single" w:sz="4" w:space="0" w:color="auto"/>
              <w:right w:val="single" w:sz="4" w:space="0" w:color="auto"/>
            </w:tcBorders>
            <w:shd w:val="clear" w:color="auto" w:fill="auto"/>
            <w:vAlign w:val="center"/>
            <w:hideMark/>
          </w:tcPr>
          <w:p w14:paraId="3C37AF09"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None</w:t>
            </w:r>
          </w:p>
        </w:tc>
        <w:tc>
          <w:tcPr>
            <w:tcW w:w="446" w:type="pct"/>
            <w:tcBorders>
              <w:top w:val="nil"/>
              <w:left w:val="nil"/>
              <w:bottom w:val="single" w:sz="4" w:space="0" w:color="auto"/>
              <w:right w:val="single" w:sz="4" w:space="0" w:color="auto"/>
            </w:tcBorders>
            <w:shd w:val="clear" w:color="auto" w:fill="auto"/>
            <w:vAlign w:val="center"/>
            <w:hideMark/>
          </w:tcPr>
          <w:p w14:paraId="3F42B819"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Document analysis, web searches of lobbyist registers, phone calls and emails</w:t>
            </w:r>
          </w:p>
        </w:tc>
        <w:tc>
          <w:tcPr>
            <w:tcW w:w="425" w:type="pct"/>
            <w:tcBorders>
              <w:top w:val="nil"/>
              <w:left w:val="nil"/>
              <w:bottom w:val="single" w:sz="4" w:space="0" w:color="auto"/>
              <w:right w:val="single" w:sz="4" w:space="0" w:color="auto"/>
            </w:tcBorders>
            <w:shd w:val="clear" w:color="auto" w:fill="auto"/>
            <w:vAlign w:val="center"/>
            <w:hideMark/>
          </w:tcPr>
          <w:p w14:paraId="7D9D6A06"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L</w:t>
            </w:r>
            <w:r w:rsidRPr="00DD38A3">
              <w:rPr>
                <w:rFonts w:eastAsia="Times New Roman" w:cstheme="minorHAnsi"/>
                <w:color w:val="000000"/>
                <w:sz w:val="12"/>
                <w:szCs w:val="12"/>
                <w:lang w:eastAsia="en-AU"/>
              </w:rPr>
              <w:t>obbyist registers and registrars</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F96B4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Table 1- summary of lobbyists registers maintenance and availability</w:t>
            </w:r>
          </w:p>
        </w:tc>
      </w:tr>
      <w:tr w:rsidR="00492865" w:rsidRPr="00DD38A3" w14:paraId="1B8CA361" w14:textId="77777777" w:rsidTr="000532FC">
        <w:trPr>
          <w:trHeight w:val="1836"/>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3D95BD4C"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Wood</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8BE15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Who's in the Room</w:t>
            </w:r>
          </w:p>
        </w:tc>
        <w:tc>
          <w:tcPr>
            <w:tcW w:w="160" w:type="pct"/>
            <w:tcBorders>
              <w:top w:val="nil"/>
              <w:left w:val="nil"/>
              <w:bottom w:val="single" w:sz="4" w:space="0" w:color="auto"/>
              <w:right w:val="single" w:sz="4" w:space="0" w:color="auto"/>
            </w:tcBorders>
            <w:shd w:val="clear" w:color="auto" w:fill="auto"/>
            <w:vAlign w:val="center"/>
            <w:hideMark/>
          </w:tcPr>
          <w:p w14:paraId="7551243E"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2018</w:t>
            </w:r>
          </w:p>
        </w:tc>
        <w:tc>
          <w:tcPr>
            <w:tcW w:w="583" w:type="pct"/>
            <w:tcBorders>
              <w:top w:val="nil"/>
              <w:left w:val="nil"/>
              <w:bottom w:val="single" w:sz="4" w:space="0" w:color="auto"/>
              <w:right w:val="single" w:sz="4" w:space="0" w:color="auto"/>
            </w:tcBorders>
            <w:shd w:val="clear" w:color="auto" w:fill="auto"/>
            <w:vAlign w:val="center"/>
            <w:hideMark/>
          </w:tcPr>
          <w:p w14:paraId="44E8439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Lobbying, political donations, revolving door</w:t>
            </w:r>
          </w:p>
        </w:tc>
        <w:tc>
          <w:tcPr>
            <w:tcW w:w="351" w:type="pct"/>
            <w:tcBorders>
              <w:top w:val="nil"/>
              <w:left w:val="nil"/>
              <w:bottom w:val="single" w:sz="4" w:space="0" w:color="auto"/>
              <w:right w:val="single" w:sz="4" w:space="0" w:color="auto"/>
            </w:tcBorders>
            <w:shd w:val="clear" w:color="auto" w:fill="auto"/>
            <w:vAlign w:val="center"/>
            <w:hideMark/>
          </w:tcPr>
          <w:p w14:paraId="1D764623"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All</w:t>
            </w:r>
          </w:p>
        </w:tc>
        <w:tc>
          <w:tcPr>
            <w:tcW w:w="340" w:type="pct"/>
            <w:tcBorders>
              <w:top w:val="nil"/>
              <w:left w:val="nil"/>
              <w:bottom w:val="single" w:sz="4" w:space="0" w:color="auto"/>
              <w:right w:val="single" w:sz="4" w:space="0" w:color="auto"/>
            </w:tcBorders>
            <w:shd w:val="clear" w:color="auto" w:fill="auto"/>
            <w:vAlign w:val="center"/>
            <w:hideMark/>
          </w:tcPr>
          <w:p w14:paraId="5D6D625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Yes, many e.g.Adani, Australian Livestock Exporters Council, Franchise Council of Australia, Landbridge Group, Cormack Foundation, Australian Hotels Association, Coca-Cola, Nestle, McDonalds, Mars, Mondelez, Australian Food and Grocery Council</w:t>
            </w:r>
          </w:p>
        </w:tc>
        <w:tc>
          <w:tcPr>
            <w:tcW w:w="303" w:type="pct"/>
            <w:tcBorders>
              <w:top w:val="nil"/>
              <w:left w:val="nil"/>
              <w:bottom w:val="single" w:sz="4" w:space="0" w:color="auto"/>
              <w:right w:val="single" w:sz="4" w:space="0" w:color="auto"/>
            </w:tcBorders>
            <w:shd w:val="clear" w:color="auto" w:fill="auto"/>
            <w:vAlign w:val="center"/>
            <w:hideMark/>
          </w:tcPr>
          <w:p w14:paraId="486365B9"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State, federal, transnational</w:t>
            </w:r>
          </w:p>
        </w:tc>
        <w:tc>
          <w:tcPr>
            <w:tcW w:w="294" w:type="pct"/>
            <w:tcBorders>
              <w:top w:val="nil"/>
              <w:left w:val="nil"/>
              <w:bottom w:val="single" w:sz="4" w:space="0" w:color="auto"/>
              <w:right w:val="single" w:sz="4" w:space="0" w:color="auto"/>
            </w:tcBorders>
            <w:shd w:val="clear" w:color="auto" w:fill="auto"/>
            <w:vAlign w:val="center"/>
            <w:hideMark/>
          </w:tcPr>
          <w:p w14:paraId="28423F2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Government</w:t>
            </w:r>
          </w:p>
        </w:tc>
        <w:tc>
          <w:tcPr>
            <w:tcW w:w="448" w:type="pct"/>
            <w:tcBorders>
              <w:top w:val="nil"/>
              <w:left w:val="nil"/>
              <w:bottom w:val="single" w:sz="4" w:space="0" w:color="auto"/>
              <w:right w:val="single" w:sz="4" w:space="0" w:color="auto"/>
            </w:tcBorders>
            <w:shd w:val="clear" w:color="auto" w:fill="auto"/>
            <w:vAlign w:val="center"/>
            <w:hideMark/>
          </w:tcPr>
          <w:p w14:paraId="107E7A7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Politicians, public servants, political parties</w:t>
            </w:r>
          </w:p>
        </w:tc>
        <w:tc>
          <w:tcPr>
            <w:tcW w:w="391" w:type="pct"/>
            <w:tcBorders>
              <w:top w:val="nil"/>
              <w:left w:val="nil"/>
              <w:bottom w:val="single" w:sz="4" w:space="0" w:color="auto"/>
              <w:right w:val="single" w:sz="4" w:space="0" w:color="auto"/>
            </w:tcBorders>
            <w:shd w:val="clear" w:color="auto" w:fill="auto"/>
            <w:vAlign w:val="center"/>
            <w:hideMark/>
          </w:tcPr>
          <w:p w14:paraId="5F2BF367"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Brief case studies in Appendix A (e.g. casino licensing, sugar tax, pharmaceutical pricing, climate change policy, pokies reform, greyhound racing), and also throughout text e.g. Wine Equalisation Tax</w:t>
            </w:r>
          </w:p>
        </w:tc>
        <w:tc>
          <w:tcPr>
            <w:tcW w:w="446" w:type="pct"/>
            <w:tcBorders>
              <w:top w:val="nil"/>
              <w:left w:val="nil"/>
              <w:bottom w:val="single" w:sz="4" w:space="0" w:color="auto"/>
              <w:right w:val="single" w:sz="4" w:space="0" w:color="auto"/>
            </w:tcBorders>
            <w:shd w:val="clear" w:color="auto" w:fill="auto"/>
            <w:vAlign w:val="center"/>
            <w:hideMark/>
          </w:tcPr>
          <w:p w14:paraId="342592A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Australian Government Lobbyists Register, Ministerial diaries (NSW and Queensland), Australian Electoral Commission (AEC) and State Electoral Commissions data</w:t>
            </w:r>
          </w:p>
        </w:tc>
        <w:tc>
          <w:tcPr>
            <w:tcW w:w="425" w:type="pct"/>
            <w:tcBorders>
              <w:top w:val="nil"/>
              <w:left w:val="nil"/>
              <w:bottom w:val="single" w:sz="4" w:space="0" w:color="auto"/>
              <w:right w:val="single" w:sz="4" w:space="0" w:color="auto"/>
            </w:tcBorders>
            <w:shd w:val="clear" w:color="auto" w:fill="auto"/>
            <w:vAlign w:val="center"/>
            <w:hideMark/>
          </w:tcPr>
          <w:p w14:paraId="20780183"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n/a</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DEC732"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w:t>
            </w:r>
            <w:r w:rsidRPr="00DD38A3">
              <w:rPr>
                <w:rFonts w:eastAsia="Times New Roman" w:cstheme="minorHAnsi"/>
                <w:color w:val="000000"/>
                <w:sz w:val="12"/>
                <w:szCs w:val="12"/>
                <w:lang w:eastAsia="en-AU"/>
              </w:rPr>
              <w:t>one</w:t>
            </w:r>
          </w:p>
        </w:tc>
      </w:tr>
      <w:tr w:rsidR="00492865" w:rsidRPr="00DD38A3" w14:paraId="20F371EA" w14:textId="77777777" w:rsidTr="000532FC">
        <w:trPr>
          <w:trHeight w:val="1224"/>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7D648E63"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Kypri</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B7571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If someone donates $1000, they support you. If they donate $100000, they have bought you'. Mixed methods study of tobacco, alcohol and gambling industry donations to Australian political parties</w:t>
            </w:r>
          </w:p>
        </w:tc>
        <w:tc>
          <w:tcPr>
            <w:tcW w:w="160" w:type="pct"/>
            <w:tcBorders>
              <w:top w:val="nil"/>
              <w:left w:val="nil"/>
              <w:bottom w:val="single" w:sz="4" w:space="0" w:color="auto"/>
              <w:right w:val="single" w:sz="4" w:space="0" w:color="auto"/>
            </w:tcBorders>
            <w:shd w:val="clear" w:color="auto" w:fill="auto"/>
            <w:vAlign w:val="center"/>
            <w:hideMark/>
          </w:tcPr>
          <w:p w14:paraId="3595C3C9"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2019</w:t>
            </w:r>
          </w:p>
        </w:tc>
        <w:tc>
          <w:tcPr>
            <w:tcW w:w="583" w:type="pct"/>
            <w:tcBorders>
              <w:top w:val="nil"/>
              <w:left w:val="nil"/>
              <w:bottom w:val="single" w:sz="4" w:space="0" w:color="auto"/>
              <w:right w:val="single" w:sz="4" w:space="0" w:color="auto"/>
            </w:tcBorders>
            <w:shd w:val="clear" w:color="auto" w:fill="auto"/>
            <w:vAlign w:val="center"/>
            <w:hideMark/>
          </w:tcPr>
          <w:p w14:paraId="4D84BE1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Political donations, gifting,</w:t>
            </w:r>
          </w:p>
        </w:tc>
        <w:tc>
          <w:tcPr>
            <w:tcW w:w="351" w:type="pct"/>
            <w:tcBorders>
              <w:top w:val="nil"/>
              <w:left w:val="nil"/>
              <w:bottom w:val="single" w:sz="4" w:space="0" w:color="auto"/>
              <w:right w:val="single" w:sz="4" w:space="0" w:color="auto"/>
            </w:tcBorders>
            <w:shd w:val="clear" w:color="auto" w:fill="auto"/>
            <w:vAlign w:val="center"/>
            <w:hideMark/>
          </w:tcPr>
          <w:p w14:paraId="787DBB3E"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Tobacco, alcohol, and gambling industries, major supermarket chains (Coles and Woolworths)</w:t>
            </w:r>
          </w:p>
        </w:tc>
        <w:tc>
          <w:tcPr>
            <w:tcW w:w="340" w:type="pct"/>
            <w:tcBorders>
              <w:top w:val="nil"/>
              <w:left w:val="nil"/>
              <w:bottom w:val="single" w:sz="4" w:space="0" w:color="auto"/>
              <w:right w:val="single" w:sz="4" w:space="0" w:color="auto"/>
            </w:tcBorders>
            <w:shd w:val="clear" w:color="auto" w:fill="auto"/>
            <w:vAlign w:val="center"/>
            <w:hideMark/>
          </w:tcPr>
          <w:p w14:paraId="0A852486"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Coles, Woolworths, Australian Hotels Association (AHA)</w:t>
            </w:r>
          </w:p>
        </w:tc>
        <w:tc>
          <w:tcPr>
            <w:tcW w:w="303" w:type="pct"/>
            <w:tcBorders>
              <w:top w:val="nil"/>
              <w:left w:val="nil"/>
              <w:bottom w:val="single" w:sz="4" w:space="0" w:color="auto"/>
              <w:right w:val="single" w:sz="4" w:space="0" w:color="auto"/>
            </w:tcBorders>
            <w:shd w:val="clear" w:color="auto" w:fill="auto"/>
            <w:vAlign w:val="center"/>
            <w:hideMark/>
          </w:tcPr>
          <w:p w14:paraId="30D6EAD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Federal</w:t>
            </w:r>
          </w:p>
        </w:tc>
        <w:tc>
          <w:tcPr>
            <w:tcW w:w="294" w:type="pct"/>
            <w:tcBorders>
              <w:top w:val="nil"/>
              <w:left w:val="nil"/>
              <w:bottom w:val="single" w:sz="4" w:space="0" w:color="auto"/>
              <w:right w:val="single" w:sz="4" w:space="0" w:color="auto"/>
            </w:tcBorders>
            <w:shd w:val="clear" w:color="auto" w:fill="auto"/>
            <w:vAlign w:val="center"/>
            <w:hideMark/>
          </w:tcPr>
          <w:p w14:paraId="3FFC22D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Political parties</w:t>
            </w:r>
          </w:p>
        </w:tc>
        <w:tc>
          <w:tcPr>
            <w:tcW w:w="448" w:type="pct"/>
            <w:tcBorders>
              <w:top w:val="nil"/>
              <w:left w:val="nil"/>
              <w:bottom w:val="single" w:sz="4" w:space="0" w:color="auto"/>
              <w:right w:val="single" w:sz="4" w:space="0" w:color="auto"/>
            </w:tcBorders>
            <w:shd w:val="clear" w:color="auto" w:fill="auto"/>
            <w:vAlign w:val="center"/>
            <w:hideMark/>
          </w:tcPr>
          <w:p w14:paraId="46D202DA"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P</w:t>
            </w:r>
            <w:r w:rsidRPr="00DD38A3">
              <w:rPr>
                <w:rFonts w:eastAsia="Times New Roman" w:cstheme="minorHAnsi"/>
                <w:color w:val="000000"/>
                <w:sz w:val="12"/>
                <w:szCs w:val="12"/>
                <w:lang w:eastAsia="en-AU"/>
              </w:rPr>
              <w:t>olitical parties,</w:t>
            </w:r>
          </w:p>
        </w:tc>
        <w:tc>
          <w:tcPr>
            <w:tcW w:w="391" w:type="pct"/>
            <w:tcBorders>
              <w:top w:val="nil"/>
              <w:left w:val="nil"/>
              <w:bottom w:val="single" w:sz="4" w:space="0" w:color="auto"/>
              <w:right w:val="single" w:sz="4" w:space="0" w:color="auto"/>
            </w:tcBorders>
            <w:shd w:val="clear" w:color="000000" w:fill="FFFFFF"/>
            <w:vAlign w:val="center"/>
            <w:hideMark/>
          </w:tcPr>
          <w:p w14:paraId="01C4302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For immediate influence and long-term relationship-building, favor exchange</w:t>
            </w:r>
          </w:p>
        </w:tc>
        <w:tc>
          <w:tcPr>
            <w:tcW w:w="446" w:type="pct"/>
            <w:tcBorders>
              <w:top w:val="nil"/>
              <w:left w:val="nil"/>
              <w:bottom w:val="single" w:sz="4" w:space="0" w:color="auto"/>
              <w:right w:val="single" w:sz="4" w:space="0" w:color="auto"/>
            </w:tcBorders>
            <w:shd w:val="clear" w:color="auto" w:fill="auto"/>
            <w:vAlign w:val="center"/>
            <w:hideMark/>
          </w:tcPr>
          <w:p w14:paraId="5E7707A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Australian electoral commission data on donations to political parties, and interviews</w:t>
            </w:r>
          </w:p>
        </w:tc>
        <w:tc>
          <w:tcPr>
            <w:tcW w:w="425" w:type="pct"/>
            <w:tcBorders>
              <w:top w:val="nil"/>
              <w:left w:val="nil"/>
              <w:bottom w:val="single" w:sz="4" w:space="0" w:color="auto"/>
              <w:right w:val="single" w:sz="4" w:space="0" w:color="auto"/>
            </w:tcBorders>
            <w:shd w:val="clear" w:color="auto" w:fill="auto"/>
            <w:vAlign w:val="center"/>
            <w:hideMark/>
          </w:tcPr>
          <w:p w14:paraId="176E5FB4"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Donations data: Australian Electoral Commission. Interview participants: Current and former politicians, ex-political staffers,journalists, public health advocates, civil servant, lobbyist, senior police officer</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5A3D6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Figures 1 and 2 (tobacco, alcohol and gambling industry donations to the Labor and Liberal parties)</w:t>
            </w:r>
          </w:p>
        </w:tc>
      </w:tr>
      <w:tr w:rsidR="00492865" w:rsidRPr="00DD38A3" w14:paraId="2885773C" w14:textId="77777777" w:rsidTr="000532FC">
        <w:trPr>
          <w:trHeight w:val="1224"/>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3665E664"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Clarke</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E445E05"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Investigating menu kilojoule labelling policy adoption from a political science perspective</w:t>
            </w:r>
          </w:p>
        </w:tc>
        <w:tc>
          <w:tcPr>
            <w:tcW w:w="160" w:type="pct"/>
            <w:tcBorders>
              <w:top w:val="nil"/>
              <w:left w:val="nil"/>
              <w:bottom w:val="single" w:sz="4" w:space="0" w:color="auto"/>
              <w:right w:val="single" w:sz="4" w:space="0" w:color="auto"/>
            </w:tcBorders>
            <w:shd w:val="clear" w:color="auto" w:fill="auto"/>
            <w:vAlign w:val="center"/>
            <w:hideMark/>
          </w:tcPr>
          <w:p w14:paraId="1FD7E1E6"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2019</w:t>
            </w:r>
          </w:p>
        </w:tc>
        <w:tc>
          <w:tcPr>
            <w:tcW w:w="583" w:type="pct"/>
            <w:tcBorders>
              <w:top w:val="nil"/>
              <w:left w:val="nil"/>
              <w:bottom w:val="single" w:sz="4" w:space="0" w:color="auto"/>
              <w:right w:val="single" w:sz="4" w:space="0" w:color="auto"/>
            </w:tcBorders>
            <w:shd w:val="clear" w:color="auto" w:fill="auto"/>
            <w:vAlign w:val="center"/>
            <w:hideMark/>
          </w:tcPr>
          <w:p w14:paraId="3802069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Lobbying, framing</w:t>
            </w:r>
          </w:p>
        </w:tc>
        <w:tc>
          <w:tcPr>
            <w:tcW w:w="351" w:type="pct"/>
            <w:tcBorders>
              <w:top w:val="nil"/>
              <w:left w:val="nil"/>
              <w:bottom w:val="single" w:sz="4" w:space="0" w:color="auto"/>
              <w:right w:val="single" w:sz="4" w:space="0" w:color="auto"/>
            </w:tcBorders>
            <w:shd w:val="clear" w:color="auto" w:fill="auto"/>
            <w:vAlign w:val="center"/>
            <w:hideMark/>
          </w:tcPr>
          <w:p w14:paraId="40C417D0"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Food industry</w:t>
            </w:r>
          </w:p>
        </w:tc>
        <w:tc>
          <w:tcPr>
            <w:tcW w:w="340" w:type="pct"/>
            <w:tcBorders>
              <w:top w:val="nil"/>
              <w:left w:val="nil"/>
              <w:bottom w:val="single" w:sz="4" w:space="0" w:color="auto"/>
              <w:right w:val="single" w:sz="4" w:space="0" w:color="auto"/>
            </w:tcBorders>
            <w:shd w:val="clear" w:color="auto" w:fill="auto"/>
            <w:vAlign w:val="center"/>
            <w:hideMark/>
          </w:tcPr>
          <w:p w14:paraId="3DD2668C"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Quick Food Service Group, AFGC</w:t>
            </w:r>
          </w:p>
        </w:tc>
        <w:tc>
          <w:tcPr>
            <w:tcW w:w="303" w:type="pct"/>
            <w:tcBorders>
              <w:top w:val="nil"/>
              <w:left w:val="nil"/>
              <w:bottom w:val="single" w:sz="4" w:space="0" w:color="auto"/>
              <w:right w:val="single" w:sz="4" w:space="0" w:color="auto"/>
            </w:tcBorders>
            <w:shd w:val="clear" w:color="auto" w:fill="auto"/>
            <w:vAlign w:val="center"/>
            <w:hideMark/>
          </w:tcPr>
          <w:p w14:paraId="4BB4D67C"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State (Victorian)</w:t>
            </w:r>
          </w:p>
        </w:tc>
        <w:tc>
          <w:tcPr>
            <w:tcW w:w="294" w:type="pct"/>
            <w:tcBorders>
              <w:top w:val="nil"/>
              <w:left w:val="nil"/>
              <w:bottom w:val="single" w:sz="4" w:space="0" w:color="auto"/>
              <w:right w:val="single" w:sz="4" w:space="0" w:color="auto"/>
            </w:tcBorders>
            <w:shd w:val="clear" w:color="auto" w:fill="auto"/>
            <w:vAlign w:val="center"/>
            <w:hideMark/>
          </w:tcPr>
          <w:p w14:paraId="739533C7"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Health</w:t>
            </w:r>
          </w:p>
        </w:tc>
        <w:tc>
          <w:tcPr>
            <w:tcW w:w="448" w:type="pct"/>
            <w:tcBorders>
              <w:top w:val="nil"/>
              <w:left w:val="nil"/>
              <w:bottom w:val="single" w:sz="4" w:space="0" w:color="auto"/>
              <w:right w:val="single" w:sz="4" w:space="0" w:color="auto"/>
            </w:tcBorders>
            <w:shd w:val="clear" w:color="auto" w:fill="auto"/>
            <w:vAlign w:val="center"/>
            <w:hideMark/>
          </w:tcPr>
          <w:p w14:paraId="3DF0463D"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w:t>
            </w:r>
            <w:r w:rsidRPr="00DD38A3">
              <w:rPr>
                <w:rFonts w:eastAsia="Times New Roman" w:cstheme="minorHAnsi"/>
                <w:color w:val="000000"/>
                <w:sz w:val="12"/>
                <w:szCs w:val="12"/>
                <w:lang w:eastAsia="en-AU"/>
              </w:rPr>
              <w:t>ot discussed</w:t>
            </w:r>
          </w:p>
        </w:tc>
        <w:tc>
          <w:tcPr>
            <w:tcW w:w="391" w:type="pct"/>
            <w:tcBorders>
              <w:top w:val="nil"/>
              <w:left w:val="nil"/>
              <w:bottom w:val="single" w:sz="4" w:space="0" w:color="auto"/>
              <w:right w:val="single" w:sz="4" w:space="0" w:color="auto"/>
            </w:tcBorders>
            <w:shd w:val="clear" w:color="auto" w:fill="auto"/>
            <w:vAlign w:val="center"/>
            <w:hideMark/>
          </w:tcPr>
          <w:p w14:paraId="45C3703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Opposition to introduction of Menu Kilojoule Labelling Legislation policy in state of Victoria</w:t>
            </w:r>
          </w:p>
        </w:tc>
        <w:tc>
          <w:tcPr>
            <w:tcW w:w="446" w:type="pct"/>
            <w:tcBorders>
              <w:top w:val="nil"/>
              <w:left w:val="nil"/>
              <w:bottom w:val="single" w:sz="4" w:space="0" w:color="auto"/>
              <w:right w:val="single" w:sz="4" w:space="0" w:color="auto"/>
            </w:tcBorders>
            <w:shd w:val="clear" w:color="auto" w:fill="auto"/>
            <w:vAlign w:val="center"/>
            <w:hideMark/>
          </w:tcPr>
          <w:p w14:paraId="75B4066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Interviews, document anaysis (policy documents, media reports), field observations (Victorian Department of Health and Human Services)</w:t>
            </w:r>
          </w:p>
        </w:tc>
        <w:tc>
          <w:tcPr>
            <w:tcW w:w="425" w:type="pct"/>
            <w:tcBorders>
              <w:top w:val="nil"/>
              <w:left w:val="nil"/>
              <w:bottom w:val="single" w:sz="4" w:space="0" w:color="auto"/>
              <w:right w:val="single" w:sz="4" w:space="0" w:color="auto"/>
            </w:tcBorders>
            <w:shd w:val="clear" w:color="auto" w:fill="auto"/>
            <w:vAlign w:val="center"/>
            <w:hideMark/>
          </w:tcPr>
          <w:p w14:paraId="166782C1"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P</w:t>
            </w:r>
            <w:r w:rsidRPr="00DD38A3">
              <w:rPr>
                <w:rFonts w:eastAsia="Times New Roman" w:cstheme="minorHAnsi"/>
                <w:color w:val="000000"/>
                <w:sz w:val="12"/>
                <w:szCs w:val="12"/>
                <w:lang w:eastAsia="en-AU"/>
              </w:rPr>
              <w:t>oliticians, political advisors, civil servants (policy officers as well as members of the executive), academics, and senior representatives of key public health NGOs and private organisations</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0FE30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Ref to ACF and MST analytical frameworks</w:t>
            </w:r>
          </w:p>
        </w:tc>
      </w:tr>
      <w:tr w:rsidR="00492865" w:rsidRPr="00DD38A3" w14:paraId="2A465B67" w14:textId="77777777" w:rsidTr="000532FC">
        <w:trPr>
          <w:trHeight w:val="816"/>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233BFDA8"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lastRenderedPageBreak/>
              <w:t>Cullerton</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7EED19"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Doctors rule: an analysis of health ministers' diaries in Australia</w:t>
            </w:r>
          </w:p>
        </w:tc>
        <w:tc>
          <w:tcPr>
            <w:tcW w:w="160" w:type="pct"/>
            <w:tcBorders>
              <w:top w:val="nil"/>
              <w:left w:val="nil"/>
              <w:bottom w:val="single" w:sz="4" w:space="0" w:color="auto"/>
              <w:right w:val="single" w:sz="4" w:space="0" w:color="auto"/>
            </w:tcBorders>
            <w:shd w:val="clear" w:color="auto" w:fill="auto"/>
            <w:vAlign w:val="center"/>
            <w:hideMark/>
          </w:tcPr>
          <w:p w14:paraId="535AB47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2019</w:t>
            </w:r>
          </w:p>
        </w:tc>
        <w:tc>
          <w:tcPr>
            <w:tcW w:w="583" w:type="pct"/>
            <w:tcBorders>
              <w:top w:val="nil"/>
              <w:left w:val="nil"/>
              <w:bottom w:val="single" w:sz="4" w:space="0" w:color="auto"/>
              <w:right w:val="single" w:sz="4" w:space="0" w:color="auto"/>
            </w:tcBorders>
            <w:shd w:val="clear" w:color="auto" w:fill="auto"/>
            <w:vAlign w:val="center"/>
            <w:hideMark/>
          </w:tcPr>
          <w:p w14:paraId="59CA380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Lobbying</w:t>
            </w:r>
          </w:p>
        </w:tc>
        <w:tc>
          <w:tcPr>
            <w:tcW w:w="351" w:type="pct"/>
            <w:tcBorders>
              <w:top w:val="nil"/>
              <w:left w:val="nil"/>
              <w:bottom w:val="single" w:sz="4" w:space="0" w:color="auto"/>
              <w:right w:val="single" w:sz="4" w:space="0" w:color="auto"/>
            </w:tcBorders>
            <w:shd w:val="clear" w:color="auto" w:fill="auto"/>
            <w:vAlign w:val="center"/>
            <w:hideMark/>
          </w:tcPr>
          <w:p w14:paraId="3DD38B74"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Food industry</w:t>
            </w:r>
          </w:p>
        </w:tc>
        <w:tc>
          <w:tcPr>
            <w:tcW w:w="340" w:type="pct"/>
            <w:tcBorders>
              <w:top w:val="nil"/>
              <w:left w:val="nil"/>
              <w:bottom w:val="single" w:sz="4" w:space="0" w:color="auto"/>
              <w:right w:val="single" w:sz="4" w:space="0" w:color="auto"/>
            </w:tcBorders>
            <w:shd w:val="clear" w:color="auto" w:fill="auto"/>
            <w:vAlign w:val="center"/>
            <w:hideMark/>
          </w:tcPr>
          <w:p w14:paraId="7799BC1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Australian Beverages Council, Nutrition Australia,</w:t>
            </w:r>
          </w:p>
        </w:tc>
        <w:tc>
          <w:tcPr>
            <w:tcW w:w="303" w:type="pct"/>
            <w:tcBorders>
              <w:top w:val="nil"/>
              <w:left w:val="nil"/>
              <w:bottom w:val="single" w:sz="4" w:space="0" w:color="auto"/>
              <w:right w:val="single" w:sz="4" w:space="0" w:color="auto"/>
            </w:tcBorders>
            <w:shd w:val="clear" w:color="auto" w:fill="auto"/>
            <w:vAlign w:val="center"/>
            <w:hideMark/>
          </w:tcPr>
          <w:p w14:paraId="5FD21EE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State (NSW and Queensland)</w:t>
            </w:r>
          </w:p>
        </w:tc>
        <w:tc>
          <w:tcPr>
            <w:tcW w:w="294" w:type="pct"/>
            <w:tcBorders>
              <w:top w:val="nil"/>
              <w:left w:val="nil"/>
              <w:bottom w:val="single" w:sz="4" w:space="0" w:color="auto"/>
              <w:right w:val="single" w:sz="4" w:space="0" w:color="auto"/>
            </w:tcBorders>
            <w:shd w:val="clear" w:color="auto" w:fill="auto"/>
            <w:vAlign w:val="center"/>
            <w:hideMark/>
          </w:tcPr>
          <w:p w14:paraId="1AF8DF63"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Health</w:t>
            </w:r>
          </w:p>
        </w:tc>
        <w:tc>
          <w:tcPr>
            <w:tcW w:w="448" w:type="pct"/>
            <w:tcBorders>
              <w:top w:val="nil"/>
              <w:left w:val="nil"/>
              <w:bottom w:val="single" w:sz="4" w:space="0" w:color="auto"/>
              <w:right w:val="single" w:sz="4" w:space="0" w:color="auto"/>
            </w:tcBorders>
            <w:shd w:val="clear" w:color="auto" w:fill="auto"/>
            <w:vAlign w:val="center"/>
            <w:hideMark/>
          </w:tcPr>
          <w:p w14:paraId="589E8D6A"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P</w:t>
            </w:r>
            <w:r w:rsidRPr="00DD38A3">
              <w:rPr>
                <w:rFonts w:eastAsia="Times New Roman" w:cstheme="minorHAnsi"/>
                <w:color w:val="000000"/>
                <w:sz w:val="12"/>
                <w:szCs w:val="12"/>
                <w:lang w:eastAsia="en-AU"/>
              </w:rPr>
              <w:t>oliticians (health ministers and assistant health ministers)</w:t>
            </w:r>
          </w:p>
        </w:tc>
        <w:tc>
          <w:tcPr>
            <w:tcW w:w="391" w:type="pct"/>
            <w:tcBorders>
              <w:top w:val="nil"/>
              <w:left w:val="nil"/>
              <w:bottom w:val="single" w:sz="4" w:space="0" w:color="auto"/>
              <w:right w:val="single" w:sz="4" w:space="0" w:color="auto"/>
            </w:tcBorders>
            <w:shd w:val="clear" w:color="auto" w:fill="auto"/>
            <w:vAlign w:val="center"/>
            <w:hideMark/>
          </w:tcPr>
          <w:p w14:paraId="55A3FB0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NSW Healthy Choices in Health Facilities Policy (other topics linked to health advocates)</w:t>
            </w:r>
          </w:p>
        </w:tc>
        <w:tc>
          <w:tcPr>
            <w:tcW w:w="446" w:type="pct"/>
            <w:tcBorders>
              <w:top w:val="nil"/>
              <w:left w:val="nil"/>
              <w:bottom w:val="single" w:sz="4" w:space="0" w:color="auto"/>
              <w:right w:val="single" w:sz="4" w:space="0" w:color="auto"/>
            </w:tcBorders>
            <w:shd w:val="clear" w:color="auto" w:fill="auto"/>
            <w:vAlign w:val="center"/>
            <w:hideMark/>
          </w:tcPr>
          <w:p w14:paraId="0EE29F2E"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Ministers' diaries</w:t>
            </w:r>
          </w:p>
        </w:tc>
        <w:tc>
          <w:tcPr>
            <w:tcW w:w="425" w:type="pct"/>
            <w:tcBorders>
              <w:top w:val="nil"/>
              <w:left w:val="nil"/>
              <w:bottom w:val="single" w:sz="4" w:space="0" w:color="auto"/>
              <w:right w:val="single" w:sz="4" w:space="0" w:color="auto"/>
            </w:tcBorders>
            <w:shd w:val="clear" w:color="auto" w:fill="auto"/>
            <w:vAlign w:val="center"/>
            <w:hideMark/>
          </w:tcPr>
          <w:p w14:paraId="27015472"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P</w:t>
            </w:r>
            <w:r w:rsidRPr="00DD38A3">
              <w:rPr>
                <w:rFonts w:eastAsia="Times New Roman" w:cstheme="minorHAnsi"/>
                <w:color w:val="000000"/>
                <w:sz w:val="12"/>
                <w:szCs w:val="12"/>
                <w:lang w:eastAsia="en-AU"/>
              </w:rPr>
              <w:t>oliticians (health ministers and assistant health ministers)</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115DB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Yes - Tables 2-5</w:t>
            </w:r>
          </w:p>
        </w:tc>
      </w:tr>
      <w:tr w:rsidR="00492865" w:rsidRPr="00DD38A3" w14:paraId="12624215" w14:textId="77777777" w:rsidTr="000532FC">
        <w:trPr>
          <w:trHeight w:val="816"/>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682D515D"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Friel</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97398C"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An exposé of the realpolitik of trade negotiations: implications for population nutrition</w:t>
            </w:r>
          </w:p>
        </w:tc>
        <w:tc>
          <w:tcPr>
            <w:tcW w:w="160" w:type="pct"/>
            <w:tcBorders>
              <w:top w:val="nil"/>
              <w:left w:val="nil"/>
              <w:bottom w:val="single" w:sz="4" w:space="0" w:color="auto"/>
              <w:right w:val="single" w:sz="4" w:space="0" w:color="auto"/>
            </w:tcBorders>
            <w:shd w:val="clear" w:color="000000" w:fill="FFFFFF"/>
            <w:vAlign w:val="center"/>
            <w:hideMark/>
          </w:tcPr>
          <w:p w14:paraId="1D8784C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2019</w:t>
            </w:r>
          </w:p>
        </w:tc>
        <w:tc>
          <w:tcPr>
            <w:tcW w:w="583" w:type="pct"/>
            <w:tcBorders>
              <w:top w:val="nil"/>
              <w:left w:val="nil"/>
              <w:bottom w:val="single" w:sz="4" w:space="0" w:color="auto"/>
              <w:right w:val="single" w:sz="4" w:space="0" w:color="auto"/>
            </w:tcBorders>
            <w:shd w:val="clear" w:color="auto" w:fill="auto"/>
            <w:vAlign w:val="center"/>
            <w:hideMark/>
          </w:tcPr>
          <w:p w14:paraId="72FCB23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Lobbying, revolving door, networks/coalition building, media strategies, framing</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E84A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Industry' (in relation to nutrition and trade negotiations)</w:t>
            </w:r>
          </w:p>
        </w:tc>
        <w:tc>
          <w:tcPr>
            <w:tcW w:w="340" w:type="pct"/>
            <w:tcBorders>
              <w:top w:val="nil"/>
              <w:left w:val="nil"/>
              <w:bottom w:val="single" w:sz="4" w:space="0" w:color="auto"/>
              <w:right w:val="single" w:sz="4" w:space="0" w:color="auto"/>
            </w:tcBorders>
            <w:shd w:val="clear" w:color="auto" w:fill="auto"/>
            <w:vAlign w:val="center"/>
            <w:hideMark/>
          </w:tcPr>
          <w:p w14:paraId="564316C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none</w:t>
            </w:r>
          </w:p>
        </w:tc>
        <w:tc>
          <w:tcPr>
            <w:tcW w:w="303" w:type="pct"/>
            <w:tcBorders>
              <w:top w:val="nil"/>
              <w:left w:val="nil"/>
              <w:bottom w:val="single" w:sz="4" w:space="0" w:color="auto"/>
              <w:right w:val="single" w:sz="4" w:space="0" w:color="auto"/>
            </w:tcBorders>
            <w:shd w:val="clear" w:color="auto" w:fill="auto"/>
            <w:vAlign w:val="center"/>
            <w:hideMark/>
          </w:tcPr>
          <w:p w14:paraId="66CE1859"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Federal, transnational (Australian trade policy)</w:t>
            </w:r>
          </w:p>
        </w:tc>
        <w:tc>
          <w:tcPr>
            <w:tcW w:w="294" w:type="pct"/>
            <w:tcBorders>
              <w:top w:val="nil"/>
              <w:left w:val="nil"/>
              <w:bottom w:val="single" w:sz="4" w:space="0" w:color="auto"/>
              <w:right w:val="single" w:sz="4" w:space="0" w:color="auto"/>
            </w:tcBorders>
            <w:shd w:val="clear" w:color="auto" w:fill="auto"/>
            <w:vAlign w:val="center"/>
            <w:hideMark/>
          </w:tcPr>
          <w:p w14:paraId="0B890DC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Health, foreign affairs and trade</w:t>
            </w:r>
          </w:p>
        </w:tc>
        <w:tc>
          <w:tcPr>
            <w:tcW w:w="448" w:type="pct"/>
            <w:tcBorders>
              <w:top w:val="nil"/>
              <w:left w:val="nil"/>
              <w:bottom w:val="single" w:sz="4" w:space="0" w:color="auto"/>
              <w:right w:val="single" w:sz="4" w:space="0" w:color="auto"/>
            </w:tcBorders>
            <w:shd w:val="clear" w:color="auto" w:fill="auto"/>
            <w:vAlign w:val="center"/>
            <w:hideMark/>
          </w:tcPr>
          <w:p w14:paraId="23E2B0BD"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Politicians, policymakers, political adivsors (trade)</w:t>
            </w:r>
          </w:p>
        </w:tc>
        <w:tc>
          <w:tcPr>
            <w:tcW w:w="391" w:type="pct"/>
            <w:tcBorders>
              <w:top w:val="nil"/>
              <w:left w:val="nil"/>
              <w:bottom w:val="single" w:sz="4" w:space="0" w:color="auto"/>
              <w:right w:val="single" w:sz="4" w:space="0" w:color="auto"/>
            </w:tcBorders>
            <w:shd w:val="clear" w:color="auto" w:fill="auto"/>
            <w:vAlign w:val="center"/>
            <w:hideMark/>
          </w:tcPr>
          <w:p w14:paraId="4AA2F889"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Influencing trade negotiations to pursue own interest (industry and NGOs)</w:t>
            </w:r>
          </w:p>
        </w:tc>
        <w:tc>
          <w:tcPr>
            <w:tcW w:w="446" w:type="pct"/>
            <w:tcBorders>
              <w:top w:val="nil"/>
              <w:left w:val="nil"/>
              <w:bottom w:val="single" w:sz="4" w:space="0" w:color="auto"/>
              <w:right w:val="single" w:sz="4" w:space="0" w:color="auto"/>
            </w:tcBorders>
            <w:shd w:val="clear" w:color="auto" w:fill="auto"/>
            <w:vAlign w:val="center"/>
            <w:hideMark/>
          </w:tcPr>
          <w:p w14:paraId="69256A3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Interviews</w:t>
            </w:r>
          </w:p>
        </w:tc>
        <w:tc>
          <w:tcPr>
            <w:tcW w:w="425" w:type="pct"/>
            <w:tcBorders>
              <w:top w:val="nil"/>
              <w:left w:val="nil"/>
              <w:bottom w:val="single" w:sz="4" w:space="0" w:color="auto"/>
              <w:right w:val="single" w:sz="4" w:space="0" w:color="auto"/>
            </w:tcBorders>
            <w:shd w:val="clear" w:color="auto" w:fill="auto"/>
            <w:vAlign w:val="center"/>
            <w:hideMark/>
          </w:tcPr>
          <w:p w14:paraId="5B69E1D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Government officials, industry, public interest NGOs and academics</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A68C7"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w:t>
            </w:r>
            <w:r w:rsidRPr="00DD38A3">
              <w:rPr>
                <w:rFonts w:eastAsia="Times New Roman" w:cstheme="minorHAnsi"/>
                <w:color w:val="000000"/>
                <w:sz w:val="12"/>
                <w:szCs w:val="12"/>
                <w:lang w:eastAsia="en-AU"/>
              </w:rPr>
              <w:t>one</w:t>
            </w:r>
          </w:p>
        </w:tc>
      </w:tr>
      <w:tr w:rsidR="00492865" w:rsidRPr="00DD38A3" w14:paraId="722A88D1" w14:textId="77777777" w:rsidTr="000532FC">
        <w:trPr>
          <w:trHeight w:val="1224"/>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5E8DE469"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Robertson</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80869C"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The revolving door between government and the alcohol, food and gambling industries in Australia</w:t>
            </w:r>
          </w:p>
        </w:tc>
        <w:tc>
          <w:tcPr>
            <w:tcW w:w="160" w:type="pct"/>
            <w:tcBorders>
              <w:top w:val="nil"/>
              <w:left w:val="nil"/>
              <w:bottom w:val="single" w:sz="4" w:space="0" w:color="auto"/>
              <w:right w:val="single" w:sz="4" w:space="0" w:color="auto"/>
            </w:tcBorders>
            <w:shd w:val="clear" w:color="auto" w:fill="auto"/>
            <w:vAlign w:val="center"/>
            <w:hideMark/>
          </w:tcPr>
          <w:p w14:paraId="51B8C8D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2019</w:t>
            </w:r>
          </w:p>
        </w:tc>
        <w:tc>
          <w:tcPr>
            <w:tcW w:w="583" w:type="pct"/>
            <w:tcBorders>
              <w:top w:val="nil"/>
              <w:left w:val="nil"/>
              <w:bottom w:val="single" w:sz="4" w:space="0" w:color="auto"/>
              <w:right w:val="single" w:sz="4" w:space="0" w:color="auto"/>
            </w:tcBorders>
            <w:shd w:val="clear" w:color="auto" w:fill="auto"/>
            <w:vAlign w:val="center"/>
            <w:hideMark/>
          </w:tcPr>
          <w:p w14:paraId="38FCD1F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Revolving door</w:t>
            </w:r>
          </w:p>
        </w:tc>
        <w:tc>
          <w:tcPr>
            <w:tcW w:w="351" w:type="pct"/>
            <w:tcBorders>
              <w:top w:val="nil"/>
              <w:left w:val="nil"/>
              <w:bottom w:val="single" w:sz="4" w:space="0" w:color="auto"/>
              <w:right w:val="single" w:sz="4" w:space="0" w:color="auto"/>
            </w:tcBorders>
            <w:shd w:val="clear" w:color="auto" w:fill="auto"/>
            <w:vAlign w:val="center"/>
            <w:hideMark/>
          </w:tcPr>
          <w:p w14:paraId="560FDAF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Alcohol, food and gambling industries</w:t>
            </w:r>
          </w:p>
        </w:tc>
        <w:tc>
          <w:tcPr>
            <w:tcW w:w="340" w:type="pct"/>
            <w:tcBorders>
              <w:top w:val="nil"/>
              <w:left w:val="nil"/>
              <w:bottom w:val="single" w:sz="4" w:space="0" w:color="auto"/>
              <w:right w:val="single" w:sz="4" w:space="0" w:color="auto"/>
            </w:tcBorders>
            <w:shd w:val="clear" w:color="auto" w:fill="auto"/>
            <w:vAlign w:val="center"/>
            <w:hideMark/>
          </w:tcPr>
          <w:p w14:paraId="39509864"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Y - List of major lobbying firms and clients in Appendix A</w:t>
            </w:r>
          </w:p>
        </w:tc>
        <w:tc>
          <w:tcPr>
            <w:tcW w:w="303" w:type="pct"/>
            <w:tcBorders>
              <w:top w:val="nil"/>
              <w:left w:val="nil"/>
              <w:bottom w:val="single" w:sz="4" w:space="0" w:color="auto"/>
              <w:right w:val="single" w:sz="4" w:space="0" w:color="auto"/>
            </w:tcBorders>
            <w:shd w:val="clear" w:color="auto" w:fill="auto"/>
            <w:vAlign w:val="center"/>
            <w:hideMark/>
          </w:tcPr>
          <w:p w14:paraId="63F2F98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Federal</w:t>
            </w:r>
          </w:p>
        </w:tc>
        <w:tc>
          <w:tcPr>
            <w:tcW w:w="294" w:type="pct"/>
            <w:tcBorders>
              <w:top w:val="nil"/>
              <w:left w:val="nil"/>
              <w:bottom w:val="single" w:sz="4" w:space="0" w:color="auto"/>
              <w:right w:val="single" w:sz="4" w:space="0" w:color="auto"/>
            </w:tcBorders>
            <w:shd w:val="clear" w:color="auto" w:fill="auto"/>
            <w:vAlign w:val="center"/>
            <w:hideMark/>
          </w:tcPr>
          <w:p w14:paraId="7B5CDCDB"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Government</w:t>
            </w:r>
          </w:p>
        </w:tc>
        <w:tc>
          <w:tcPr>
            <w:tcW w:w="448" w:type="pct"/>
            <w:tcBorders>
              <w:top w:val="nil"/>
              <w:left w:val="nil"/>
              <w:bottom w:val="single" w:sz="4" w:space="0" w:color="auto"/>
              <w:right w:val="single" w:sz="4" w:space="0" w:color="auto"/>
            </w:tcBorders>
            <w:shd w:val="clear" w:color="auto" w:fill="auto"/>
            <w:vAlign w:val="center"/>
            <w:hideMark/>
          </w:tcPr>
          <w:p w14:paraId="3491ABB4"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w:t>
            </w:r>
            <w:r w:rsidRPr="00DD38A3">
              <w:rPr>
                <w:rFonts w:eastAsia="Times New Roman" w:cstheme="minorHAnsi"/>
                <w:color w:val="000000"/>
                <w:sz w:val="12"/>
                <w:szCs w:val="12"/>
                <w:lang w:eastAsia="en-AU"/>
              </w:rPr>
              <w:t>ot discussed</w:t>
            </w:r>
          </w:p>
        </w:tc>
        <w:tc>
          <w:tcPr>
            <w:tcW w:w="391" w:type="pct"/>
            <w:tcBorders>
              <w:top w:val="nil"/>
              <w:left w:val="nil"/>
              <w:bottom w:val="single" w:sz="4" w:space="0" w:color="auto"/>
              <w:right w:val="single" w:sz="4" w:space="0" w:color="auto"/>
            </w:tcBorders>
            <w:shd w:val="clear" w:color="auto" w:fill="auto"/>
            <w:vAlign w:val="center"/>
            <w:hideMark/>
          </w:tcPr>
          <w:p w14:paraId="5374F2D4"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w:t>
            </w:r>
            <w:r w:rsidRPr="00DD38A3">
              <w:rPr>
                <w:rFonts w:eastAsia="Times New Roman" w:cstheme="minorHAnsi"/>
                <w:color w:val="000000"/>
                <w:sz w:val="12"/>
                <w:szCs w:val="12"/>
                <w:lang w:eastAsia="en-AU"/>
              </w:rPr>
              <w:t>one</w:t>
            </w:r>
          </w:p>
        </w:tc>
        <w:tc>
          <w:tcPr>
            <w:tcW w:w="446" w:type="pct"/>
            <w:tcBorders>
              <w:top w:val="nil"/>
              <w:left w:val="nil"/>
              <w:bottom w:val="single" w:sz="4" w:space="0" w:color="auto"/>
              <w:right w:val="single" w:sz="4" w:space="0" w:color="auto"/>
            </w:tcBorders>
            <w:shd w:val="clear" w:color="auto" w:fill="auto"/>
            <w:vAlign w:val="center"/>
            <w:hideMark/>
          </w:tcPr>
          <w:p w14:paraId="4894921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Australian Government Register of Lobbyists databases and related social network content, linkedin, lobbyist business websites, key informant interviews</w:t>
            </w:r>
          </w:p>
        </w:tc>
        <w:tc>
          <w:tcPr>
            <w:tcW w:w="425" w:type="pct"/>
            <w:tcBorders>
              <w:top w:val="nil"/>
              <w:left w:val="nil"/>
              <w:bottom w:val="single" w:sz="4" w:space="0" w:color="auto"/>
              <w:right w:val="single" w:sz="4" w:space="0" w:color="auto"/>
            </w:tcBorders>
            <w:shd w:val="clear" w:color="auto" w:fill="auto"/>
            <w:vAlign w:val="center"/>
            <w:hideMark/>
          </w:tcPr>
          <w:p w14:paraId="06B49B54"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Current lobbyists who self-identified as former government representatives, current politicians, journalists, former political staffers, public health advocates, current civil servants, current police</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B79060"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Tables 1 and 2 (Registered lobbyists who self-identified as former government representatives) Appendix A (list of clients of major lobbying firms)</w:t>
            </w:r>
          </w:p>
        </w:tc>
      </w:tr>
      <w:tr w:rsidR="00492865" w:rsidRPr="00DD38A3" w14:paraId="452CFE5A" w14:textId="77777777" w:rsidTr="000532FC">
        <w:trPr>
          <w:trHeight w:val="1428"/>
        </w:trPr>
        <w:tc>
          <w:tcPr>
            <w:tcW w:w="294" w:type="pct"/>
            <w:tcBorders>
              <w:top w:val="single" w:sz="4" w:space="0" w:color="auto"/>
              <w:left w:val="single" w:sz="4" w:space="0" w:color="auto"/>
              <w:bottom w:val="single" w:sz="4" w:space="0" w:color="auto"/>
              <w:right w:val="single" w:sz="4" w:space="0" w:color="auto"/>
            </w:tcBorders>
            <w:shd w:val="clear" w:color="000000" w:fill="FFFFFF"/>
            <w:vAlign w:val="center"/>
          </w:tcPr>
          <w:p w14:paraId="64CFA0E0"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Sainsbury</w:t>
            </w:r>
          </w:p>
        </w:tc>
        <w:tc>
          <w:tcPr>
            <w:tcW w:w="6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5BA165"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Explaining resistance to regulatory interventions to prevent obesity and improve nutrition: a case-study of a sugar-sweetened beverages tax in Australia</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B685F"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2020</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FE5B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Lobbying, political donations, framing, policy substitution, corporate social responsibility</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4BA7B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Soft drink industry</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6D1CD2"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Australian Beverages Council, Australian Food and Grocery Council (AFGC), Coca-Cola, Canegrowers (peak body for Australian sugarcane growers), National Farmers Federation</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F7973A"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Federal</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717E56"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Government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088328"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political parties, politicians, policymakers</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9C6E2C"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Campaign against SSB tax, specific mention of AFGC’s Annual Industry Leaders Forum - opportunity for food industry to engage with government ministers and policymakers</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3B6341"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Academic literature, parlinfo (policy documents, parliamentary press releases, senate notice papers, government transcripts), Factiva (Australian media articles), websites of relevant ngos, industry associations and other key policy actors</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5B8337" w14:textId="77777777" w:rsidR="00492865" w:rsidRPr="00DD38A3" w:rsidRDefault="00492865" w:rsidP="000532FC">
            <w:pPr>
              <w:spacing w:after="0"/>
              <w:rPr>
                <w:rFonts w:eastAsia="Times New Roman" w:cstheme="minorHAnsi"/>
                <w:color w:val="000000"/>
                <w:sz w:val="12"/>
                <w:szCs w:val="12"/>
                <w:lang w:eastAsia="en-AU"/>
              </w:rPr>
            </w:pPr>
            <w:r>
              <w:rPr>
                <w:rFonts w:eastAsia="Times New Roman" w:cstheme="minorHAnsi"/>
                <w:color w:val="000000"/>
                <w:sz w:val="12"/>
                <w:szCs w:val="12"/>
                <w:lang w:eastAsia="en-AU"/>
              </w:rPr>
              <w:t>n/a</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59D35" w14:textId="77777777" w:rsidR="00492865" w:rsidRPr="00DD38A3" w:rsidRDefault="00492865" w:rsidP="000532FC">
            <w:pPr>
              <w:spacing w:after="0"/>
              <w:rPr>
                <w:rFonts w:eastAsia="Times New Roman" w:cstheme="minorHAnsi"/>
                <w:color w:val="000000"/>
                <w:sz w:val="12"/>
                <w:szCs w:val="12"/>
                <w:lang w:eastAsia="en-AU"/>
              </w:rPr>
            </w:pPr>
            <w:r w:rsidRPr="00DD38A3">
              <w:rPr>
                <w:rFonts w:eastAsia="Times New Roman" w:cstheme="minorHAnsi"/>
                <w:color w:val="000000"/>
                <w:sz w:val="12"/>
                <w:szCs w:val="12"/>
                <w:lang w:eastAsia="en-AU"/>
              </w:rPr>
              <w:t>Table 1</w:t>
            </w:r>
          </w:p>
        </w:tc>
      </w:tr>
    </w:tbl>
    <w:p w14:paraId="6A26A586" w14:textId="77777777" w:rsidR="00492865" w:rsidRDefault="00492865" w:rsidP="00492865">
      <w:pPr>
        <w:rPr>
          <w:rFonts w:cstheme="minorHAnsi"/>
          <w:lang w:eastAsia="en-AU"/>
        </w:rPr>
        <w:sectPr w:rsidR="00492865" w:rsidSect="007306B8">
          <w:footnotePr>
            <w:numFmt w:val="chicago"/>
          </w:footnotePr>
          <w:pgSz w:w="15840" w:h="12240" w:orient="landscape"/>
          <w:pgMar w:top="720" w:right="720" w:bottom="720" w:left="720" w:header="708" w:footer="708" w:gutter="0"/>
          <w:cols w:space="708"/>
          <w:docGrid w:linePitch="360"/>
        </w:sectPr>
      </w:pPr>
    </w:p>
    <w:p w14:paraId="75B5E3B5" w14:textId="77777777" w:rsidR="00386883" w:rsidRDefault="00492865"/>
    <w:sectPr w:rsidR="00386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65"/>
    <w:rsid w:val="003107CE"/>
    <w:rsid w:val="00316534"/>
    <w:rsid w:val="00373D83"/>
    <w:rsid w:val="00492865"/>
    <w:rsid w:val="005C224D"/>
    <w:rsid w:val="00622525"/>
    <w:rsid w:val="006B2C4D"/>
    <w:rsid w:val="00786892"/>
    <w:rsid w:val="007A60A6"/>
    <w:rsid w:val="00A0389B"/>
    <w:rsid w:val="00B1250C"/>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AA93"/>
  <w15:chartTrackingRefBased/>
  <w15:docId w15:val="{801A0A8A-6E84-42C9-9B02-9A847B99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865"/>
    <w:pPr>
      <w:spacing w:line="240" w:lineRule="auto"/>
    </w:pPr>
    <w:rPr>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92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7612</Characters>
  <Application>Microsoft Office Word</Application>
  <DocSecurity>0</DocSecurity>
  <Lines>63</Lines>
  <Paragraphs>17</Paragraphs>
  <ScaleCrop>false</ScaleCrop>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2022-02-21T18:54:00Z</dcterms:created>
  <dcterms:modified xsi:type="dcterms:W3CDTF">2022-02-21T18:54:00Z</dcterms:modified>
</cp:coreProperties>
</file>