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197" w:rsidRPr="00711CF3" w:rsidRDefault="00A02197" w:rsidP="00A02197">
      <w:pPr>
        <w:pStyle w:val="Title2"/>
        <w:spacing w:line="360" w:lineRule="auto"/>
        <w:rPr>
          <w:rFonts w:ascii="Arial" w:hAnsi="Arial" w:cs="Arial"/>
          <w:b w:val="0"/>
          <w:sz w:val="32"/>
          <w:szCs w:val="32"/>
        </w:rPr>
      </w:pPr>
      <w:r w:rsidRPr="00711CF3">
        <w:rPr>
          <w:rFonts w:ascii="Arial" w:hAnsi="Arial" w:cs="Arial"/>
          <w:b w:val="0"/>
          <w:sz w:val="32"/>
          <w:szCs w:val="32"/>
        </w:rPr>
        <w:t xml:space="preserve">Supporting Information </w:t>
      </w:r>
    </w:p>
    <w:p w:rsidR="00A02197" w:rsidRPr="00711CF3" w:rsidRDefault="00A02197" w:rsidP="00A02197">
      <w:pPr>
        <w:pStyle w:val="Tableofcontents"/>
        <w:spacing w:line="360" w:lineRule="auto"/>
        <w:rPr>
          <w:rFonts w:ascii="Arial" w:hAnsi="Arial" w:cs="Arial"/>
        </w:rPr>
      </w:pPr>
    </w:p>
    <w:p w:rsidR="00A02197" w:rsidRPr="00711CF3" w:rsidRDefault="00A02197" w:rsidP="00A02197">
      <w:pPr>
        <w:pStyle w:val="Tableofcontents"/>
        <w:spacing w:line="360" w:lineRule="auto"/>
        <w:rPr>
          <w:rFonts w:ascii="Arial" w:hAnsi="Arial" w:cs="Arial"/>
        </w:rPr>
      </w:pPr>
      <w:r w:rsidRPr="00711CF3">
        <w:rPr>
          <w:rFonts w:ascii="Arial" w:hAnsi="Arial" w:cs="Arial"/>
          <w:b/>
          <w:lang w:val="en-GB"/>
        </w:rPr>
        <w:t>Monitor</w:t>
      </w:r>
      <w:bookmarkStart w:id="0" w:name="_GoBack"/>
      <w:bookmarkEnd w:id="0"/>
      <w:r w:rsidRPr="00711CF3">
        <w:rPr>
          <w:rFonts w:ascii="Arial" w:hAnsi="Arial" w:cs="Arial"/>
          <w:b/>
          <w:lang w:val="en-GB"/>
        </w:rPr>
        <w:t>ing and imaging pH in biofilms utilizing a fluorescent polymeric nanosensor</w:t>
      </w:r>
    </w:p>
    <w:p w:rsidR="00A02197" w:rsidRPr="00341F3D" w:rsidRDefault="00A02197" w:rsidP="00341F3D">
      <w:pPr>
        <w:pStyle w:val="BBAuthorName"/>
      </w:pPr>
      <w:r w:rsidRPr="00341F3D">
        <w:t>Charlotte Kromer</w:t>
      </w:r>
      <w:r w:rsidRPr="00341F3D">
        <w:rPr>
          <w:vertAlign w:val="superscript"/>
        </w:rPr>
        <w:t>1</w:t>
      </w:r>
      <w:proofErr w:type="gramStart"/>
      <w:r w:rsidRPr="00341F3D">
        <w:rPr>
          <w:vertAlign w:val="superscript"/>
        </w:rPr>
        <w:t>,2</w:t>
      </w:r>
      <w:proofErr w:type="gramEnd"/>
      <w:r w:rsidRPr="00341F3D">
        <w:t>, Karin Schwibbert</w:t>
      </w:r>
      <w:r w:rsidRPr="00341F3D">
        <w:rPr>
          <w:vertAlign w:val="superscript"/>
        </w:rPr>
        <w:t>3</w:t>
      </w:r>
      <w:r w:rsidRPr="00341F3D">
        <w:t>, Ashish K. Gadicherla</w:t>
      </w:r>
      <w:r w:rsidRPr="00341F3D">
        <w:rPr>
          <w:vertAlign w:val="superscript"/>
        </w:rPr>
        <w:t>4</w:t>
      </w:r>
      <w:r w:rsidRPr="00341F3D">
        <w:t>, Dorothea Thiele</w:t>
      </w:r>
      <w:r w:rsidRPr="00341F3D">
        <w:rPr>
          <w:vertAlign w:val="superscript"/>
        </w:rPr>
        <w:t>3</w:t>
      </w:r>
      <w:r w:rsidRPr="00341F3D">
        <w:t>, Nithiya Nirmalananthan-Budau</w:t>
      </w:r>
      <w:r w:rsidRPr="00341F3D">
        <w:rPr>
          <w:vertAlign w:val="superscript"/>
        </w:rPr>
        <w:t>5</w:t>
      </w:r>
      <w:r w:rsidRPr="00341F3D">
        <w:t>, Peter Laux</w:t>
      </w:r>
      <w:r w:rsidRPr="00341F3D">
        <w:rPr>
          <w:vertAlign w:val="superscript"/>
        </w:rPr>
        <w:t>1</w:t>
      </w:r>
      <w:r w:rsidRPr="00341F3D">
        <w:t>, Ute Resch-Genger</w:t>
      </w:r>
      <w:r w:rsidRPr="00341F3D">
        <w:rPr>
          <w:vertAlign w:val="superscript"/>
        </w:rPr>
        <w:t>5</w:t>
      </w:r>
      <w:r w:rsidRPr="00341F3D">
        <w:t>*, Andreas Luch</w:t>
      </w:r>
      <w:r w:rsidRPr="00341F3D">
        <w:rPr>
          <w:vertAlign w:val="superscript"/>
        </w:rPr>
        <w:t>1,2</w:t>
      </w:r>
      <w:r w:rsidRPr="00341F3D">
        <w:t>, Harald R. Tschiche</w:t>
      </w:r>
      <w:r w:rsidRPr="00341F3D">
        <w:rPr>
          <w:vertAlign w:val="superscript"/>
        </w:rPr>
        <w:t>1</w:t>
      </w:r>
      <w:r w:rsidRPr="00341F3D">
        <w:t>*</w:t>
      </w:r>
    </w:p>
    <w:p w:rsidR="00A02197" w:rsidRPr="00711CF3" w:rsidRDefault="00341F3D" w:rsidP="00A02197">
      <w:pPr>
        <w:pStyle w:val="TAMainText"/>
        <w:rPr>
          <w:rFonts w:ascii="Arial" w:hAnsi="Arial" w:cs="Arial"/>
        </w:rPr>
      </w:pPr>
      <m:oMathPara>
        <m:oMathParaPr>
          <m:jc m:val="left"/>
        </m:oMathParaPr>
        <m:oMath>
          <m:sSub>
            <m:sSubPr>
              <m:ctrlPr>
                <w:rPr>
                  <w:rFonts w:ascii="Cambria Math" w:hAnsi="Cambria Math" w:cs="Arial"/>
                </w:rPr>
              </m:ctrlPr>
            </m:sSubPr>
            <m:e>
              <m:r>
                <w:rPr>
                  <w:rFonts w:ascii="Cambria Math" w:hAnsi="Cambria Math" w:cs="Arial"/>
                </w:rPr>
                <m:t>ratio</m:t>
              </m:r>
            </m:e>
            <m:sub>
              <m:r>
                <w:rPr>
                  <w:rFonts w:ascii="Cambria Math" w:hAnsi="Cambria Math" w:cs="Arial"/>
                </w:rPr>
                <m:t>FI</m:t>
              </m:r>
            </m:sub>
          </m:sSub>
          <m:r>
            <m:rPr>
              <m:sty m:val="p"/>
            </m:rPr>
            <w:rPr>
              <w:rFonts w:ascii="Cambria Math" w:hAnsi="Cambria Math" w:cs="Arial"/>
            </w:rPr>
            <m:t>=</m:t>
          </m:r>
          <m:r>
            <w:rPr>
              <w:rFonts w:ascii="Cambria Math" w:hAnsi="Cambria Math" w:cs="Arial"/>
            </w:rPr>
            <m:t>d</m:t>
          </m:r>
          <m:r>
            <m:rPr>
              <m:sty m:val="p"/>
            </m:rPr>
            <w:rPr>
              <w:rFonts w:ascii="Cambria Math" w:hAnsi="Cambria Math" w:cs="Arial"/>
            </w:rPr>
            <m:t>+</m:t>
          </m:r>
          <m:d>
            <m:dPr>
              <m:ctrlPr>
                <w:rPr>
                  <w:rFonts w:ascii="Cambria Math" w:hAnsi="Cambria Math" w:cs="Arial"/>
                </w:rPr>
              </m:ctrlPr>
            </m:dPr>
            <m:e>
              <m:f>
                <m:fPr>
                  <m:ctrlPr>
                    <w:rPr>
                      <w:rFonts w:ascii="Cambria Math" w:hAnsi="Cambria Math" w:cs="Arial"/>
                    </w:rPr>
                  </m:ctrlPr>
                </m:fPr>
                <m:num>
                  <m:r>
                    <w:rPr>
                      <w:rFonts w:ascii="Cambria Math" w:hAnsi="Cambria Math" w:cs="Arial"/>
                    </w:rPr>
                    <m:t>a</m:t>
                  </m:r>
                  <m:r>
                    <m:rPr>
                      <m:sty m:val="p"/>
                    </m:rPr>
                    <w:rPr>
                      <w:rFonts w:ascii="Cambria Math" w:hAnsi="Cambria Math" w:cs="Arial"/>
                    </w:rPr>
                    <m:t>-</m:t>
                  </m:r>
                  <m:r>
                    <w:rPr>
                      <w:rFonts w:ascii="Cambria Math" w:hAnsi="Cambria Math" w:cs="Arial"/>
                    </w:rPr>
                    <m:t>d</m:t>
                  </m:r>
                </m:num>
                <m:den>
                  <m:r>
                    <m:rPr>
                      <m:sty m:val="p"/>
                    </m:rPr>
                    <w:rPr>
                      <w:rFonts w:ascii="Cambria Math" w:hAnsi="Cambria Math" w:cs="Arial"/>
                    </w:rPr>
                    <m:t>1+</m:t>
                  </m:r>
                  <m:sSup>
                    <m:sSupPr>
                      <m:ctrlPr>
                        <w:rPr>
                          <w:rFonts w:ascii="Cambria Math" w:hAnsi="Cambria Math" w:cs="Arial"/>
                        </w:rPr>
                      </m:ctrlPr>
                    </m:sSupPr>
                    <m:e>
                      <m:d>
                        <m:dPr>
                          <m:ctrlPr>
                            <w:rPr>
                              <w:rFonts w:ascii="Cambria Math" w:hAnsi="Cambria Math" w:cs="Arial"/>
                            </w:rPr>
                          </m:ctrlPr>
                        </m:dPr>
                        <m:e>
                          <m:f>
                            <m:fPr>
                              <m:ctrlPr>
                                <w:rPr>
                                  <w:rFonts w:ascii="Cambria Math" w:hAnsi="Cambria Math" w:cs="Arial"/>
                                </w:rPr>
                              </m:ctrlPr>
                            </m:fPr>
                            <m:num>
                              <m:r>
                                <w:rPr>
                                  <w:rFonts w:ascii="Cambria Math" w:hAnsi="Cambria Math" w:cs="Arial"/>
                                </w:rPr>
                                <m:t>pH</m:t>
                              </m:r>
                            </m:num>
                            <m:den>
                              <m:r>
                                <w:rPr>
                                  <w:rFonts w:ascii="Cambria Math" w:hAnsi="Cambria Math" w:cs="Arial"/>
                                </w:rPr>
                                <m:t>c</m:t>
                              </m:r>
                            </m:den>
                          </m:f>
                        </m:e>
                      </m:d>
                    </m:e>
                    <m:sup>
                      <m:r>
                        <w:rPr>
                          <w:rFonts w:ascii="Cambria Math" w:hAnsi="Cambria Math" w:cs="Arial"/>
                        </w:rPr>
                        <m:t>b</m:t>
                      </m:r>
                    </m:sup>
                  </m:sSup>
                </m:den>
              </m:f>
            </m:e>
          </m:d>
        </m:oMath>
      </m:oMathPara>
    </w:p>
    <w:p w:rsidR="00A02197" w:rsidRPr="00711CF3" w:rsidRDefault="00C165DB" w:rsidP="00A02197">
      <w:pPr>
        <w:pStyle w:val="TAMainText"/>
        <w:rPr>
          <w:rFonts w:ascii="Arial" w:hAnsi="Arial" w:cs="Arial"/>
        </w:rPr>
      </w:pPr>
      <w:r w:rsidRPr="00711CF3">
        <w:rPr>
          <w:rFonts w:ascii="Arial" w:hAnsi="Arial" w:cs="Arial"/>
          <w:b/>
        </w:rPr>
        <w:t xml:space="preserve">Supporting </w:t>
      </w:r>
      <w:r w:rsidR="00A02197" w:rsidRPr="00711CF3">
        <w:rPr>
          <w:rFonts w:ascii="Arial" w:hAnsi="Arial" w:cs="Arial"/>
          <w:b/>
        </w:rPr>
        <w:t>Equation S1.</w:t>
      </w:r>
      <w:r w:rsidR="00A02197" w:rsidRPr="00711CF3">
        <w:rPr>
          <w:rFonts w:ascii="Arial" w:hAnsi="Arial" w:cs="Arial"/>
        </w:rPr>
        <w:t xml:space="preserve"> Curve fitting for pH calibration.</w:t>
      </w:r>
    </w:p>
    <w:p w:rsidR="00A02197" w:rsidRPr="00711CF3" w:rsidRDefault="00A02197" w:rsidP="00A02197">
      <w:pPr>
        <w:pStyle w:val="TAMainText"/>
        <w:rPr>
          <w:rFonts w:ascii="Arial" w:hAnsi="Arial" w:cs="Arial"/>
          <w:b/>
        </w:rPr>
      </w:pPr>
    </w:p>
    <w:p w:rsidR="00A02197" w:rsidRPr="00711CF3" w:rsidRDefault="00C165DB" w:rsidP="00A02197">
      <w:pPr>
        <w:pStyle w:val="TAMainText"/>
        <w:rPr>
          <w:rFonts w:ascii="Arial" w:hAnsi="Arial" w:cs="Arial"/>
        </w:rPr>
      </w:pPr>
      <w:r w:rsidRPr="00711CF3">
        <w:rPr>
          <w:rFonts w:ascii="Arial" w:hAnsi="Arial" w:cs="Arial"/>
          <w:b/>
        </w:rPr>
        <w:t>Supporting</w:t>
      </w:r>
      <w:r w:rsidRPr="00711CF3">
        <w:rPr>
          <w:rFonts w:ascii="Arial" w:hAnsi="Arial" w:cs="Arial"/>
          <w:b/>
        </w:rPr>
        <w:t xml:space="preserve"> </w:t>
      </w:r>
      <w:r w:rsidR="00A02197" w:rsidRPr="00711CF3">
        <w:rPr>
          <w:rFonts w:ascii="Arial" w:hAnsi="Arial" w:cs="Arial"/>
          <w:b/>
        </w:rPr>
        <w:t>Table S2</w:t>
      </w:r>
      <w:r w:rsidR="00A02197" w:rsidRPr="00711CF3">
        <w:rPr>
          <w:rFonts w:ascii="Arial" w:hAnsi="Arial" w:cs="Arial"/>
        </w:rPr>
        <w:t>. Parameters used for the inverse estimation.</w:t>
      </w:r>
    </w:p>
    <w:tbl>
      <w:tblPr>
        <w:tblW w:w="3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1283"/>
        <w:gridCol w:w="1283"/>
        <w:gridCol w:w="1283"/>
      </w:tblGrid>
      <w:tr w:rsidR="00A02197" w:rsidRPr="00711CF3" w:rsidTr="008F2A89">
        <w:tc>
          <w:tcPr>
            <w:tcW w:w="1283" w:type="dxa"/>
          </w:tcPr>
          <w:p w:rsidR="00A02197" w:rsidRPr="00711CF3" w:rsidRDefault="00A02197" w:rsidP="008F2A89">
            <w:pPr>
              <w:pStyle w:val="TAMainText"/>
              <w:rPr>
                <w:rFonts w:ascii="Arial" w:hAnsi="Arial" w:cs="Arial"/>
              </w:rPr>
            </w:pPr>
            <w:r w:rsidRPr="00711CF3">
              <w:rPr>
                <w:rFonts w:ascii="Arial" w:hAnsi="Arial" w:cs="Arial"/>
              </w:rPr>
              <w:t xml:space="preserve">Parameter </w:t>
            </w:r>
          </w:p>
        </w:tc>
        <w:tc>
          <w:tcPr>
            <w:tcW w:w="1283" w:type="dxa"/>
          </w:tcPr>
          <w:p w:rsidR="00A02197" w:rsidRPr="00711CF3" w:rsidRDefault="00A02197" w:rsidP="008F2A89">
            <w:pPr>
              <w:pStyle w:val="TAMainText"/>
              <w:rPr>
                <w:rFonts w:ascii="Arial" w:hAnsi="Arial" w:cs="Arial"/>
              </w:rPr>
            </w:pPr>
            <w:r w:rsidRPr="00711CF3">
              <w:rPr>
                <w:rFonts w:ascii="Arial" w:hAnsi="Arial" w:cs="Arial"/>
              </w:rPr>
              <w:t>Estimate</w:t>
            </w:r>
          </w:p>
        </w:tc>
        <w:tc>
          <w:tcPr>
            <w:tcW w:w="1283" w:type="dxa"/>
          </w:tcPr>
          <w:p w:rsidR="00A02197" w:rsidRPr="00711CF3" w:rsidRDefault="00A02197" w:rsidP="008F2A89">
            <w:pPr>
              <w:pStyle w:val="TAMainText"/>
              <w:rPr>
                <w:rFonts w:ascii="Arial" w:hAnsi="Arial" w:cs="Arial"/>
              </w:rPr>
            </w:pPr>
            <w:r w:rsidRPr="00711CF3">
              <w:rPr>
                <w:rFonts w:ascii="Arial" w:hAnsi="Arial" w:cs="Arial"/>
              </w:rPr>
              <w:t>Std. Error</w:t>
            </w:r>
          </w:p>
        </w:tc>
      </w:tr>
      <w:tr w:rsidR="00A02197" w:rsidRPr="00711CF3" w:rsidTr="008F2A89">
        <w:tc>
          <w:tcPr>
            <w:tcW w:w="1283" w:type="dxa"/>
          </w:tcPr>
          <w:p w:rsidR="00A02197" w:rsidRPr="00711CF3" w:rsidRDefault="00A02197" w:rsidP="008F2A89">
            <w:pPr>
              <w:pStyle w:val="TAMainText"/>
              <w:rPr>
                <w:rFonts w:ascii="Arial" w:hAnsi="Arial" w:cs="Arial"/>
              </w:rPr>
            </w:pPr>
            <w:r w:rsidRPr="00711CF3">
              <w:rPr>
                <w:rFonts w:ascii="Arial" w:hAnsi="Arial" w:cs="Arial"/>
              </w:rPr>
              <w:t>a</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en-US"/>
              </w:rPr>
              <w:t>0.13383</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en-US"/>
              </w:rPr>
              <w:t>0.01005</w:t>
            </w:r>
          </w:p>
        </w:tc>
      </w:tr>
      <w:tr w:rsidR="00A02197" w:rsidRPr="00711CF3" w:rsidTr="008F2A89">
        <w:tc>
          <w:tcPr>
            <w:tcW w:w="1283" w:type="dxa"/>
          </w:tcPr>
          <w:p w:rsidR="00A02197" w:rsidRPr="00711CF3" w:rsidRDefault="00A02197" w:rsidP="008F2A89">
            <w:pPr>
              <w:pStyle w:val="TAMainText"/>
              <w:rPr>
                <w:rFonts w:ascii="Arial" w:hAnsi="Arial" w:cs="Arial"/>
              </w:rPr>
            </w:pPr>
            <w:r w:rsidRPr="00711CF3">
              <w:rPr>
                <w:rFonts w:ascii="Arial" w:hAnsi="Arial" w:cs="Arial"/>
              </w:rPr>
              <w:t>b</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en-US"/>
              </w:rPr>
              <w:t>0.71996</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en-US"/>
              </w:rPr>
              <w:t>0.01539</w:t>
            </w:r>
          </w:p>
        </w:tc>
      </w:tr>
      <w:tr w:rsidR="00A02197" w:rsidRPr="00711CF3" w:rsidTr="008F2A89">
        <w:tc>
          <w:tcPr>
            <w:tcW w:w="1283" w:type="dxa"/>
          </w:tcPr>
          <w:p w:rsidR="00A02197" w:rsidRPr="00711CF3" w:rsidRDefault="00A02197" w:rsidP="008F2A89">
            <w:pPr>
              <w:pStyle w:val="TAMainText"/>
              <w:rPr>
                <w:rFonts w:ascii="Arial" w:hAnsi="Arial" w:cs="Arial"/>
              </w:rPr>
            </w:pPr>
            <w:r w:rsidRPr="00711CF3">
              <w:rPr>
                <w:rFonts w:ascii="Arial" w:hAnsi="Arial" w:cs="Arial"/>
              </w:rPr>
              <w:t>c</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de-DE"/>
              </w:rPr>
              <w:t>7.16552</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de-DE"/>
              </w:rPr>
              <w:t>0.05673</w:t>
            </w:r>
          </w:p>
        </w:tc>
      </w:tr>
      <w:tr w:rsidR="00A02197" w:rsidRPr="00711CF3" w:rsidTr="008F2A89">
        <w:tc>
          <w:tcPr>
            <w:tcW w:w="1283" w:type="dxa"/>
          </w:tcPr>
          <w:p w:rsidR="00A02197" w:rsidRPr="00711CF3" w:rsidRDefault="00A02197" w:rsidP="008F2A89">
            <w:pPr>
              <w:pStyle w:val="TAMainText"/>
              <w:rPr>
                <w:rFonts w:ascii="Arial" w:hAnsi="Arial" w:cs="Arial"/>
              </w:rPr>
            </w:pPr>
            <w:r w:rsidRPr="00711CF3">
              <w:rPr>
                <w:rFonts w:ascii="Arial" w:hAnsi="Arial" w:cs="Arial"/>
              </w:rPr>
              <w:t>d</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de-DE"/>
              </w:rPr>
              <w:t>0.68475</w:t>
            </w:r>
          </w:p>
        </w:tc>
        <w:tc>
          <w:tcPr>
            <w:tcW w:w="1283" w:type="dxa"/>
          </w:tcPr>
          <w:p w:rsidR="00A02197" w:rsidRPr="00711CF3" w:rsidRDefault="00A02197" w:rsidP="008F2A89">
            <w:pPr>
              <w:pStyle w:val="TAMainText"/>
              <w:rPr>
                <w:rFonts w:ascii="Arial" w:hAnsi="Arial" w:cs="Arial"/>
              </w:rPr>
            </w:pPr>
            <w:r w:rsidRPr="00711CF3">
              <w:rPr>
                <w:rFonts w:ascii="Arial" w:hAnsi="Arial" w:cs="Arial"/>
                <w:lang w:val="de-DE"/>
              </w:rPr>
              <w:t>0.05915</w:t>
            </w:r>
          </w:p>
        </w:tc>
      </w:tr>
    </w:tbl>
    <w:p w:rsidR="00A02197" w:rsidRPr="00711CF3" w:rsidRDefault="00A02197" w:rsidP="00A02197">
      <w:pPr>
        <w:pStyle w:val="TAMainText"/>
        <w:rPr>
          <w:rFonts w:ascii="Arial" w:hAnsi="Arial" w:cs="Arial"/>
          <w:b/>
        </w:rPr>
      </w:pPr>
    </w:p>
    <w:p w:rsidR="00A02197" w:rsidRPr="00711CF3" w:rsidRDefault="00A02197" w:rsidP="00A02197">
      <w:pPr>
        <w:pStyle w:val="TAMainText"/>
        <w:rPr>
          <w:rFonts w:ascii="Arial" w:hAnsi="Arial" w:cs="Arial"/>
        </w:rPr>
      </w:pPr>
      <w:r w:rsidRPr="00711CF3">
        <w:rPr>
          <w:rFonts w:ascii="Arial" w:hAnsi="Arial" w:cs="Arial"/>
          <w:bCs/>
        </w:rPr>
        <w:t xml:space="preserve">The thickness of the biofilm was </w:t>
      </w:r>
      <w:r w:rsidRPr="00711CF3">
        <w:rPr>
          <w:rFonts w:ascii="Arial" w:hAnsi="Arial" w:cs="Arial"/>
        </w:rPr>
        <w:t>determined after 24 h growth time and 2 times washing steps with RB-buffer (</w:t>
      </w:r>
      <w:r w:rsidR="00C165DB" w:rsidRPr="00711CF3">
        <w:rPr>
          <w:rFonts w:ascii="Arial" w:hAnsi="Arial" w:cs="Arial"/>
          <w:b/>
        </w:rPr>
        <w:t>Supporting</w:t>
      </w:r>
      <w:r w:rsidR="00C165DB" w:rsidRPr="00711CF3">
        <w:rPr>
          <w:rFonts w:ascii="Arial" w:hAnsi="Arial" w:cs="Arial"/>
          <w:b/>
          <w:bCs/>
        </w:rPr>
        <w:t xml:space="preserve"> </w:t>
      </w:r>
      <w:r w:rsidRPr="00711CF3">
        <w:rPr>
          <w:rFonts w:ascii="Arial" w:hAnsi="Arial" w:cs="Arial"/>
          <w:b/>
          <w:bCs/>
        </w:rPr>
        <w:t>Table S3</w:t>
      </w:r>
      <w:r w:rsidRPr="00711CF3">
        <w:rPr>
          <w:rFonts w:ascii="Arial" w:hAnsi="Arial" w:cs="Arial"/>
        </w:rPr>
        <w:t xml:space="preserve">). For the measurements, the focus plane of the CLSM </w:t>
      </w:r>
      <w:proofErr w:type="gramStart"/>
      <w:r w:rsidRPr="00711CF3">
        <w:rPr>
          <w:rFonts w:ascii="Arial" w:hAnsi="Arial" w:cs="Arial"/>
        </w:rPr>
        <w:t>was placed</w:t>
      </w:r>
      <w:proofErr w:type="gramEnd"/>
      <w:r w:rsidRPr="00711CF3">
        <w:rPr>
          <w:rFonts w:ascii="Arial" w:hAnsi="Arial" w:cs="Arial"/>
        </w:rPr>
        <w:t xml:space="preserve"> at the lower end of the biofilm in BF mode and a z-stack was recorded until reaching the minimum or maximum upper end. Three measurement points </w:t>
      </w:r>
      <w:proofErr w:type="gramStart"/>
      <w:r w:rsidRPr="00711CF3">
        <w:rPr>
          <w:rFonts w:ascii="Arial" w:hAnsi="Arial" w:cs="Arial"/>
        </w:rPr>
        <w:t>were recorded</w:t>
      </w:r>
      <w:proofErr w:type="gramEnd"/>
      <w:r w:rsidRPr="00711CF3">
        <w:rPr>
          <w:rFonts w:ascii="Arial" w:hAnsi="Arial" w:cs="Arial"/>
        </w:rPr>
        <w:t xml:space="preserve"> for each biological replicate. </w:t>
      </w:r>
      <w:r w:rsidRPr="00711CF3">
        <w:rPr>
          <w:rFonts w:ascii="Arial" w:hAnsi="Arial" w:cs="Arial"/>
          <w:bCs/>
        </w:rPr>
        <w:t>After a growth period of 24 hours, the E. coli biofilms had a uniform thickness and colonized the entire Ibidi glass slide without gaps.</w:t>
      </w:r>
    </w:p>
    <w:p w:rsidR="00A02197" w:rsidRPr="00711CF3" w:rsidRDefault="00A02197" w:rsidP="00A02197">
      <w:pPr>
        <w:pStyle w:val="TAMainText"/>
        <w:rPr>
          <w:rFonts w:ascii="Arial" w:hAnsi="Arial" w:cs="Arial"/>
          <w:bCs/>
        </w:rPr>
      </w:pPr>
    </w:p>
    <w:p w:rsidR="00A02197" w:rsidRPr="00711CF3" w:rsidRDefault="00A02197" w:rsidP="00A02197">
      <w:pPr>
        <w:pStyle w:val="TAMainText"/>
        <w:rPr>
          <w:rFonts w:ascii="Arial" w:hAnsi="Arial" w:cs="Arial"/>
        </w:rPr>
      </w:pPr>
      <w:r w:rsidRPr="00711CF3">
        <w:rPr>
          <w:rFonts w:ascii="Arial" w:hAnsi="Arial" w:cs="Arial"/>
          <w:bCs/>
        </w:rPr>
        <w:t xml:space="preserve">To visualize the structure and viability of the biofilm, a live/dead staining </w:t>
      </w:r>
      <w:proofErr w:type="gramStart"/>
      <w:r w:rsidRPr="00711CF3">
        <w:rPr>
          <w:rFonts w:ascii="Arial" w:hAnsi="Arial" w:cs="Arial"/>
          <w:bCs/>
        </w:rPr>
        <w:t>was performed</w:t>
      </w:r>
      <w:proofErr w:type="gramEnd"/>
      <w:r w:rsidRPr="00711CF3">
        <w:rPr>
          <w:rFonts w:ascii="Arial" w:hAnsi="Arial" w:cs="Arial"/>
          <w:bCs/>
        </w:rPr>
        <w:t xml:space="preserve"> using the </w:t>
      </w:r>
      <w:proofErr w:type="spellStart"/>
      <w:r w:rsidRPr="00711CF3">
        <w:rPr>
          <w:rFonts w:ascii="Arial" w:hAnsi="Arial" w:cs="Arial"/>
          <w:bCs/>
        </w:rPr>
        <w:t>BacLight</w:t>
      </w:r>
      <w:proofErr w:type="spellEnd"/>
      <w:r w:rsidRPr="00711CF3">
        <w:rPr>
          <w:rFonts w:ascii="Arial" w:hAnsi="Arial" w:cs="Arial"/>
          <w:bCs/>
        </w:rPr>
        <w:t xml:space="preserve"> kit (</w:t>
      </w:r>
      <w:proofErr w:type="spellStart"/>
      <w:r w:rsidRPr="00711CF3">
        <w:rPr>
          <w:rFonts w:ascii="Arial" w:hAnsi="Arial" w:cs="Arial"/>
          <w:bCs/>
        </w:rPr>
        <w:t>Thermo</w:t>
      </w:r>
      <w:proofErr w:type="spellEnd"/>
      <w:r w:rsidRPr="00711CF3">
        <w:rPr>
          <w:rFonts w:ascii="Arial" w:hAnsi="Arial" w:cs="Arial"/>
          <w:bCs/>
        </w:rPr>
        <w:t xml:space="preserve"> Fisher Scientific). </w:t>
      </w:r>
      <w:r w:rsidR="00C165DB" w:rsidRPr="00711CF3">
        <w:rPr>
          <w:rFonts w:ascii="Arial" w:hAnsi="Arial" w:cs="Arial"/>
          <w:b/>
        </w:rPr>
        <w:t>Supporting</w:t>
      </w:r>
      <w:r w:rsidR="00C165DB" w:rsidRPr="00711CF3">
        <w:rPr>
          <w:rFonts w:ascii="Arial" w:hAnsi="Arial" w:cs="Arial"/>
          <w:b/>
          <w:bCs/>
        </w:rPr>
        <w:t xml:space="preserve"> </w:t>
      </w:r>
      <w:r w:rsidRPr="00711CF3">
        <w:rPr>
          <w:rFonts w:ascii="Arial" w:hAnsi="Arial" w:cs="Arial"/>
          <w:b/>
          <w:bCs/>
        </w:rPr>
        <w:t>Figure S3</w:t>
      </w:r>
      <w:r w:rsidRPr="00711CF3">
        <w:rPr>
          <w:rFonts w:ascii="Arial" w:hAnsi="Arial" w:cs="Arial"/>
          <w:bCs/>
        </w:rPr>
        <w:t xml:space="preserve"> shows the top and side view of a CLSM image obtained from a live/dead stained biofilm. A dense and homogeneous biofilm uniformly colonizes the slide. The high number of living bacteria (green) shows the high viability of the biofilm with is not altered when PS NP are incubated into the biofilm for 24 hours.</w:t>
      </w:r>
    </w:p>
    <w:p w:rsidR="00A02197" w:rsidRPr="00711CF3" w:rsidRDefault="00A02197" w:rsidP="00A02197">
      <w:pPr>
        <w:pStyle w:val="TAMainText"/>
        <w:rPr>
          <w:rFonts w:ascii="Arial" w:hAnsi="Arial" w:cs="Arial"/>
        </w:rPr>
      </w:pPr>
      <w:r w:rsidRPr="00711CF3">
        <w:rPr>
          <w:rFonts w:ascii="Arial" w:hAnsi="Arial" w:cs="Arial"/>
          <w:noProof/>
          <w:lang w:val="de-DE" w:eastAsia="de-DE"/>
        </w:rPr>
        <w:drawing>
          <wp:inline distT="0" distB="0" distL="0" distR="0" wp14:anchorId="40F6C88F" wp14:editId="5678F110">
            <wp:extent cx="5581313" cy="3248025"/>
            <wp:effectExtent l="0" t="0" r="63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84693" cy="3249992"/>
                    </a:xfrm>
                    <a:prstGeom prst="rect">
                      <a:avLst/>
                    </a:prstGeom>
                    <a:noFill/>
                  </pic:spPr>
                </pic:pic>
              </a:graphicData>
            </a:graphic>
          </wp:inline>
        </w:drawing>
      </w:r>
    </w:p>
    <w:p w:rsidR="00A02197" w:rsidRPr="00711CF3" w:rsidRDefault="00C165DB" w:rsidP="00A02197">
      <w:pPr>
        <w:pStyle w:val="TAMainText"/>
        <w:rPr>
          <w:rFonts w:ascii="Arial" w:hAnsi="Arial" w:cs="Arial"/>
        </w:rPr>
      </w:pPr>
      <w:r w:rsidRPr="00711CF3">
        <w:rPr>
          <w:rFonts w:ascii="Arial" w:hAnsi="Arial" w:cs="Arial"/>
          <w:b/>
        </w:rPr>
        <w:lastRenderedPageBreak/>
        <w:t>Supporting</w:t>
      </w:r>
      <w:r w:rsidRPr="00711CF3">
        <w:rPr>
          <w:rFonts w:ascii="Arial" w:hAnsi="Arial" w:cs="Arial"/>
          <w:b/>
        </w:rPr>
        <w:t xml:space="preserve"> </w:t>
      </w:r>
      <w:r w:rsidR="00A02197" w:rsidRPr="00711CF3">
        <w:rPr>
          <w:rFonts w:ascii="Arial" w:hAnsi="Arial" w:cs="Arial"/>
          <w:b/>
        </w:rPr>
        <w:t xml:space="preserve">Figure S3 </w:t>
      </w:r>
      <w:r w:rsidR="00A02197" w:rsidRPr="00711CF3">
        <w:rPr>
          <w:rFonts w:ascii="Arial" w:hAnsi="Arial" w:cs="Arial"/>
        </w:rPr>
        <w:t>CLSM image of a live/dead stained biofilm. The green SYTO®</w:t>
      </w:r>
      <w:proofErr w:type="gramStart"/>
      <w:r w:rsidR="00A02197" w:rsidRPr="00711CF3">
        <w:rPr>
          <w:rFonts w:ascii="Arial" w:hAnsi="Arial" w:cs="Arial"/>
        </w:rPr>
        <w:t>9</w:t>
      </w:r>
      <w:proofErr w:type="gramEnd"/>
      <w:r w:rsidR="00A02197" w:rsidRPr="00711CF3">
        <w:rPr>
          <w:rFonts w:ascii="Arial" w:hAnsi="Arial" w:cs="Arial"/>
        </w:rPr>
        <w:t xml:space="preserve"> stain represents living cells, the red propidium iodide stain represents dead cells. Left: biofilm grown without nanoparticles for 24 h. Right: biofilm incubated with 1 mg/ml polystyrene nanoparticles for 24 hours.</w:t>
      </w:r>
    </w:p>
    <w:p w:rsidR="00A02197" w:rsidRPr="00711CF3" w:rsidRDefault="00A02197" w:rsidP="00A02197">
      <w:pPr>
        <w:pStyle w:val="TAMainText"/>
        <w:rPr>
          <w:rFonts w:ascii="Arial" w:hAnsi="Arial" w:cs="Arial"/>
        </w:rPr>
      </w:pPr>
    </w:p>
    <w:p w:rsidR="00A02197" w:rsidRPr="00711CF3" w:rsidRDefault="00A02197" w:rsidP="00A02197">
      <w:pPr>
        <w:pStyle w:val="TAMainText"/>
        <w:jc w:val="center"/>
        <w:rPr>
          <w:rFonts w:ascii="Arial" w:hAnsi="Arial" w:cs="Arial"/>
        </w:rPr>
      </w:pPr>
      <w:r w:rsidRPr="00711CF3">
        <w:rPr>
          <w:rFonts w:ascii="Arial" w:hAnsi="Arial" w:cs="Arial"/>
          <w:noProof/>
          <w:lang w:val="de-DE" w:eastAsia="de-DE"/>
        </w:rPr>
        <w:drawing>
          <wp:inline distT="0" distB="0" distL="0" distR="0" wp14:anchorId="78C4DEDB" wp14:editId="33A674EA">
            <wp:extent cx="2504012" cy="3062378"/>
            <wp:effectExtent l="0" t="0" r="0" b="508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507699" cy="3066888"/>
                    </a:xfrm>
                    <a:prstGeom prst="rect">
                      <a:avLst/>
                    </a:prstGeom>
                  </pic:spPr>
                </pic:pic>
              </a:graphicData>
            </a:graphic>
          </wp:inline>
        </w:drawing>
      </w:r>
    </w:p>
    <w:p w:rsidR="00A02197" w:rsidRPr="00711CF3" w:rsidRDefault="00C165DB" w:rsidP="00A02197">
      <w:pPr>
        <w:pStyle w:val="TAMainText"/>
        <w:rPr>
          <w:rFonts w:ascii="Arial" w:hAnsi="Arial" w:cs="Arial"/>
          <w:b/>
          <w:lang w:val="en-US"/>
        </w:rPr>
      </w:pPr>
      <w:r w:rsidRPr="00711CF3">
        <w:rPr>
          <w:rFonts w:ascii="Arial" w:hAnsi="Arial" w:cs="Arial"/>
          <w:b/>
        </w:rPr>
        <w:t>Supporting</w:t>
      </w:r>
      <w:r w:rsidRPr="00711CF3">
        <w:rPr>
          <w:rFonts w:ascii="Arial" w:hAnsi="Arial" w:cs="Arial"/>
          <w:b/>
          <w:lang w:val="en-US"/>
        </w:rPr>
        <w:t xml:space="preserve"> </w:t>
      </w:r>
      <w:r w:rsidR="00A02197" w:rsidRPr="00711CF3">
        <w:rPr>
          <w:rFonts w:ascii="Arial" w:hAnsi="Arial" w:cs="Arial"/>
          <w:b/>
          <w:lang w:val="en-US"/>
        </w:rPr>
        <w:t xml:space="preserve">Figure S4 </w:t>
      </w:r>
      <w:r w:rsidR="00A02197" w:rsidRPr="00711CF3">
        <w:rPr>
          <w:rFonts w:ascii="Arial" w:hAnsi="Arial" w:cs="Arial"/>
          <w:lang w:val="en-US"/>
        </w:rPr>
        <w:t xml:space="preserve">Test for metabolic activity of </w:t>
      </w:r>
      <w:r w:rsidR="00A02197" w:rsidRPr="00711CF3">
        <w:rPr>
          <w:rFonts w:ascii="Arial" w:hAnsi="Arial" w:cs="Arial"/>
          <w:i/>
          <w:iCs/>
          <w:lang w:val="en-US"/>
        </w:rPr>
        <w:t xml:space="preserve">E. coli </w:t>
      </w:r>
      <w:r w:rsidR="00A02197" w:rsidRPr="00711CF3">
        <w:rPr>
          <w:rFonts w:ascii="Arial" w:hAnsi="Arial" w:cs="Arial"/>
          <w:lang w:val="en-US"/>
        </w:rPr>
        <w:t xml:space="preserve">biofilms in terms of acidification of growth media. </w:t>
      </w:r>
      <w:proofErr w:type="spellStart"/>
      <w:r w:rsidR="00A02197" w:rsidRPr="00711CF3">
        <w:rPr>
          <w:rFonts w:ascii="Arial" w:hAnsi="Arial" w:cs="Arial"/>
          <w:lang w:val="en-US"/>
        </w:rPr>
        <w:t>Bromothymol</w:t>
      </w:r>
      <w:proofErr w:type="spellEnd"/>
      <w:r w:rsidR="00A02197" w:rsidRPr="00711CF3">
        <w:rPr>
          <w:rFonts w:ascii="Arial" w:hAnsi="Arial" w:cs="Arial"/>
          <w:lang w:val="en-US"/>
        </w:rPr>
        <w:t xml:space="preserve"> blue </w:t>
      </w:r>
      <w:proofErr w:type="gramStart"/>
      <w:r w:rsidR="00A02197" w:rsidRPr="00711CF3">
        <w:rPr>
          <w:rFonts w:ascii="Arial" w:hAnsi="Arial" w:cs="Arial"/>
          <w:lang w:val="en-US"/>
        </w:rPr>
        <w:t>was used</w:t>
      </w:r>
      <w:proofErr w:type="gramEnd"/>
      <w:r w:rsidR="00A02197" w:rsidRPr="00711CF3">
        <w:rPr>
          <w:rFonts w:ascii="Arial" w:hAnsi="Arial" w:cs="Arial"/>
          <w:lang w:val="en-US"/>
        </w:rPr>
        <w:t xml:space="preserve"> as pH indicator solution. The upper row samples (+) were inoculated with glucose, the lower row samples (-) were control samples without glucose.</w:t>
      </w:r>
      <w:r w:rsidR="00A02197" w:rsidRPr="00711CF3">
        <w:rPr>
          <w:rFonts w:ascii="Arial" w:hAnsi="Arial" w:cs="Arial"/>
          <w:b/>
          <w:lang w:val="en-US"/>
        </w:rPr>
        <w:t xml:space="preserve"> </w:t>
      </w:r>
      <w:r w:rsidR="00A02197" w:rsidRPr="00711CF3">
        <w:rPr>
          <w:rFonts w:ascii="Arial" w:hAnsi="Arial" w:cs="Arial"/>
          <w:lang w:val="en-US"/>
        </w:rPr>
        <w:t xml:space="preserve">The change of color from blue to </w:t>
      </w:r>
      <w:proofErr w:type="gramStart"/>
      <w:r w:rsidR="00A02197" w:rsidRPr="00711CF3">
        <w:rPr>
          <w:rFonts w:ascii="Arial" w:hAnsi="Arial" w:cs="Arial"/>
          <w:lang w:val="en-US"/>
        </w:rPr>
        <w:t>yellow,</w:t>
      </w:r>
      <w:proofErr w:type="gramEnd"/>
      <w:r w:rsidR="00A02197" w:rsidRPr="00711CF3">
        <w:rPr>
          <w:rFonts w:ascii="Arial" w:hAnsi="Arial" w:cs="Arial"/>
          <w:lang w:val="en-US"/>
        </w:rPr>
        <w:t xml:space="preserve"> indicates acidification of the samples containing glucose.</w:t>
      </w:r>
    </w:p>
    <w:p w:rsidR="00A02197" w:rsidRPr="00711CF3" w:rsidRDefault="00A02197" w:rsidP="00A02197">
      <w:pPr>
        <w:pStyle w:val="TAMainText"/>
        <w:rPr>
          <w:rFonts w:ascii="Arial" w:hAnsi="Arial" w:cs="Arial"/>
        </w:rPr>
      </w:pPr>
    </w:p>
    <w:p w:rsidR="00A02197" w:rsidRPr="00711CF3" w:rsidRDefault="00A02197" w:rsidP="00A02197">
      <w:pPr>
        <w:pStyle w:val="TAMainText"/>
        <w:rPr>
          <w:rFonts w:ascii="Arial" w:hAnsi="Arial" w:cs="Arial"/>
        </w:rPr>
      </w:pPr>
      <w:r w:rsidRPr="00711CF3">
        <w:rPr>
          <w:rFonts w:ascii="Arial" w:hAnsi="Arial" w:cs="Arial"/>
          <w:noProof/>
          <w:lang w:val="de-DE" w:eastAsia="de-DE"/>
        </w:rPr>
        <w:drawing>
          <wp:inline distT="0" distB="0" distL="0" distR="0" wp14:anchorId="13E00A81" wp14:editId="14FFB402">
            <wp:extent cx="5956300" cy="2072735"/>
            <wp:effectExtent l="0" t="0" r="6350" b="3810"/>
            <wp:docPr id="1" name="Grafik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6"/>
                    <a:stretch>
                      <a:fillRect/>
                    </a:stretch>
                  </pic:blipFill>
                  <pic:spPr>
                    <a:xfrm>
                      <a:off x="0" y="0"/>
                      <a:ext cx="5971002" cy="2077851"/>
                    </a:xfrm>
                    <a:prstGeom prst="rect">
                      <a:avLst/>
                    </a:prstGeom>
                  </pic:spPr>
                </pic:pic>
              </a:graphicData>
            </a:graphic>
          </wp:inline>
        </w:drawing>
      </w:r>
    </w:p>
    <w:p w:rsidR="00D6775E" w:rsidRPr="00711CF3" w:rsidRDefault="00C165DB" w:rsidP="00711CF3">
      <w:pPr>
        <w:pStyle w:val="TAMainText"/>
        <w:rPr>
          <w:rFonts w:ascii="Arial" w:hAnsi="Arial" w:cs="Arial"/>
          <w:b/>
        </w:rPr>
      </w:pPr>
      <w:r w:rsidRPr="00711CF3">
        <w:rPr>
          <w:rFonts w:ascii="Arial" w:hAnsi="Arial" w:cs="Arial"/>
          <w:b/>
        </w:rPr>
        <w:t>Supporting</w:t>
      </w:r>
      <w:r w:rsidRPr="00711CF3">
        <w:rPr>
          <w:rFonts w:ascii="Arial" w:hAnsi="Arial" w:cs="Arial"/>
          <w:b/>
        </w:rPr>
        <w:t xml:space="preserve"> </w:t>
      </w:r>
      <w:r w:rsidR="00A02197" w:rsidRPr="00711CF3">
        <w:rPr>
          <w:rFonts w:ascii="Arial" w:hAnsi="Arial" w:cs="Arial"/>
          <w:b/>
        </w:rPr>
        <w:t xml:space="preserve">Figure S5 </w:t>
      </w:r>
      <w:r w:rsidR="00A02197" w:rsidRPr="00711CF3">
        <w:rPr>
          <w:rFonts w:ascii="Arial" w:hAnsi="Arial" w:cs="Arial"/>
        </w:rPr>
        <w:t xml:space="preserve">CLSM images of the biofilm in bright field (BF) and fluorescence mode (NR and FITC). In BF mode the dense biofilm composed of rod-shaped </w:t>
      </w:r>
      <w:r w:rsidR="00A02197" w:rsidRPr="00711CF3">
        <w:rPr>
          <w:rFonts w:ascii="Arial" w:hAnsi="Arial" w:cs="Arial"/>
          <w:i/>
          <w:iCs/>
        </w:rPr>
        <w:t xml:space="preserve">E. coli </w:t>
      </w:r>
      <w:r w:rsidR="00A02197" w:rsidRPr="00711CF3">
        <w:rPr>
          <w:rFonts w:ascii="Arial" w:hAnsi="Arial" w:cs="Arial"/>
        </w:rPr>
        <w:t xml:space="preserve">is visible. The NR fluorescence image shows the highest fluorescence signals in extracellular regions, indicating that the </w:t>
      </w:r>
      <w:proofErr w:type="gramStart"/>
      <w:r w:rsidR="00A02197" w:rsidRPr="00711CF3">
        <w:rPr>
          <w:rFonts w:ascii="Arial" w:hAnsi="Arial" w:cs="Arial"/>
        </w:rPr>
        <w:t>nanosensor is not taken up by the bacteria</w:t>
      </w:r>
      <w:proofErr w:type="gramEnd"/>
      <w:r w:rsidR="00A02197" w:rsidRPr="00711CF3">
        <w:rPr>
          <w:rFonts w:ascii="Arial" w:hAnsi="Arial" w:cs="Arial"/>
        </w:rPr>
        <w:t>.</w:t>
      </w:r>
    </w:p>
    <w:sectPr w:rsidR="00D6775E" w:rsidRPr="00711C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197"/>
    <w:rsid w:val="000031F6"/>
    <w:rsid w:val="000033B2"/>
    <w:rsid w:val="00003D75"/>
    <w:rsid w:val="000149F8"/>
    <w:rsid w:val="00024019"/>
    <w:rsid w:val="00026873"/>
    <w:rsid w:val="00043CA2"/>
    <w:rsid w:val="00057A43"/>
    <w:rsid w:val="00064271"/>
    <w:rsid w:val="00076889"/>
    <w:rsid w:val="000770F2"/>
    <w:rsid w:val="00081D8F"/>
    <w:rsid w:val="0009132B"/>
    <w:rsid w:val="00092BEF"/>
    <w:rsid w:val="00092FBD"/>
    <w:rsid w:val="00093D6E"/>
    <w:rsid w:val="00094627"/>
    <w:rsid w:val="000950CF"/>
    <w:rsid w:val="000965F9"/>
    <w:rsid w:val="000A5CED"/>
    <w:rsid w:val="000A6AD2"/>
    <w:rsid w:val="000B06FD"/>
    <w:rsid w:val="000B50EE"/>
    <w:rsid w:val="000B7CA4"/>
    <w:rsid w:val="000C5C80"/>
    <w:rsid w:val="000D1811"/>
    <w:rsid w:val="000E65FC"/>
    <w:rsid w:val="000F58BD"/>
    <w:rsid w:val="000F5C98"/>
    <w:rsid w:val="000F69E1"/>
    <w:rsid w:val="00105DB4"/>
    <w:rsid w:val="00111558"/>
    <w:rsid w:val="00114E7B"/>
    <w:rsid w:val="00121698"/>
    <w:rsid w:val="00124EF5"/>
    <w:rsid w:val="00133343"/>
    <w:rsid w:val="0013517A"/>
    <w:rsid w:val="00145B48"/>
    <w:rsid w:val="001478BE"/>
    <w:rsid w:val="00153C2D"/>
    <w:rsid w:val="00175010"/>
    <w:rsid w:val="00176ADE"/>
    <w:rsid w:val="00177B3E"/>
    <w:rsid w:val="00177F8F"/>
    <w:rsid w:val="001836FB"/>
    <w:rsid w:val="00185DF0"/>
    <w:rsid w:val="001906A7"/>
    <w:rsid w:val="001918AB"/>
    <w:rsid w:val="00191BB3"/>
    <w:rsid w:val="001A41C4"/>
    <w:rsid w:val="001B20DB"/>
    <w:rsid w:val="001B4E48"/>
    <w:rsid w:val="001C3128"/>
    <w:rsid w:val="001D3871"/>
    <w:rsid w:val="001D531D"/>
    <w:rsid w:val="001F751A"/>
    <w:rsid w:val="0020294F"/>
    <w:rsid w:val="0021458C"/>
    <w:rsid w:val="00221EDE"/>
    <w:rsid w:val="00225E56"/>
    <w:rsid w:val="00230BC8"/>
    <w:rsid w:val="00244C26"/>
    <w:rsid w:val="00254B35"/>
    <w:rsid w:val="002566AB"/>
    <w:rsid w:val="002624D8"/>
    <w:rsid w:val="00263737"/>
    <w:rsid w:val="0026518A"/>
    <w:rsid w:val="002703B4"/>
    <w:rsid w:val="002714BA"/>
    <w:rsid w:val="00276821"/>
    <w:rsid w:val="00280A21"/>
    <w:rsid w:val="00280C94"/>
    <w:rsid w:val="00285203"/>
    <w:rsid w:val="002863DA"/>
    <w:rsid w:val="00290796"/>
    <w:rsid w:val="0029134C"/>
    <w:rsid w:val="002A1180"/>
    <w:rsid w:val="002A14EA"/>
    <w:rsid w:val="002A471C"/>
    <w:rsid w:val="002B20F7"/>
    <w:rsid w:val="002B6B91"/>
    <w:rsid w:val="002C04A5"/>
    <w:rsid w:val="002C04D9"/>
    <w:rsid w:val="002C456A"/>
    <w:rsid w:val="002D1C3C"/>
    <w:rsid w:val="002D552E"/>
    <w:rsid w:val="002E2EC5"/>
    <w:rsid w:val="00304224"/>
    <w:rsid w:val="003054BF"/>
    <w:rsid w:val="00316185"/>
    <w:rsid w:val="00334B12"/>
    <w:rsid w:val="00341F3D"/>
    <w:rsid w:val="00344A72"/>
    <w:rsid w:val="00370AEB"/>
    <w:rsid w:val="00380F2C"/>
    <w:rsid w:val="003906D7"/>
    <w:rsid w:val="003A6E6B"/>
    <w:rsid w:val="003B0CD3"/>
    <w:rsid w:val="003C6353"/>
    <w:rsid w:val="003D49B9"/>
    <w:rsid w:val="003F26E1"/>
    <w:rsid w:val="003F6C77"/>
    <w:rsid w:val="0040078F"/>
    <w:rsid w:val="00400A31"/>
    <w:rsid w:val="00401145"/>
    <w:rsid w:val="00402D8E"/>
    <w:rsid w:val="00410BEF"/>
    <w:rsid w:val="00411BC0"/>
    <w:rsid w:val="004125AD"/>
    <w:rsid w:val="00441688"/>
    <w:rsid w:val="00442E00"/>
    <w:rsid w:val="00444E63"/>
    <w:rsid w:val="0046004E"/>
    <w:rsid w:val="00465F40"/>
    <w:rsid w:val="00470191"/>
    <w:rsid w:val="00477937"/>
    <w:rsid w:val="00482DA8"/>
    <w:rsid w:val="00483CFD"/>
    <w:rsid w:val="0048668F"/>
    <w:rsid w:val="004A1CD4"/>
    <w:rsid w:val="004A5149"/>
    <w:rsid w:val="004B0485"/>
    <w:rsid w:val="004B65FD"/>
    <w:rsid w:val="004C048F"/>
    <w:rsid w:val="004C085D"/>
    <w:rsid w:val="004C1107"/>
    <w:rsid w:val="004C5595"/>
    <w:rsid w:val="004D01AC"/>
    <w:rsid w:val="004D3C69"/>
    <w:rsid w:val="004D411F"/>
    <w:rsid w:val="004E7B9D"/>
    <w:rsid w:val="004F7332"/>
    <w:rsid w:val="005152BA"/>
    <w:rsid w:val="00527BB0"/>
    <w:rsid w:val="00531707"/>
    <w:rsid w:val="0053658B"/>
    <w:rsid w:val="005435D6"/>
    <w:rsid w:val="0055022E"/>
    <w:rsid w:val="005507EA"/>
    <w:rsid w:val="0055218D"/>
    <w:rsid w:val="00560AC7"/>
    <w:rsid w:val="00561F5F"/>
    <w:rsid w:val="0056355F"/>
    <w:rsid w:val="00567E71"/>
    <w:rsid w:val="00576110"/>
    <w:rsid w:val="005775C7"/>
    <w:rsid w:val="005908DF"/>
    <w:rsid w:val="005A434A"/>
    <w:rsid w:val="005B3C31"/>
    <w:rsid w:val="005C0983"/>
    <w:rsid w:val="005D1369"/>
    <w:rsid w:val="005D4D66"/>
    <w:rsid w:val="005E0821"/>
    <w:rsid w:val="005E5ED2"/>
    <w:rsid w:val="005F4517"/>
    <w:rsid w:val="005F4E9F"/>
    <w:rsid w:val="00603092"/>
    <w:rsid w:val="006040CF"/>
    <w:rsid w:val="00631BC5"/>
    <w:rsid w:val="00632A44"/>
    <w:rsid w:val="00632D66"/>
    <w:rsid w:val="00632FD6"/>
    <w:rsid w:val="0064282A"/>
    <w:rsid w:val="00644F5A"/>
    <w:rsid w:val="00645004"/>
    <w:rsid w:val="0065289D"/>
    <w:rsid w:val="00654926"/>
    <w:rsid w:val="006619F3"/>
    <w:rsid w:val="00672819"/>
    <w:rsid w:val="00693746"/>
    <w:rsid w:val="00695B3F"/>
    <w:rsid w:val="006A6EAA"/>
    <w:rsid w:val="006A73E0"/>
    <w:rsid w:val="006B3A39"/>
    <w:rsid w:val="006C16F5"/>
    <w:rsid w:val="006C1F89"/>
    <w:rsid w:val="006C6B9B"/>
    <w:rsid w:val="006D46AD"/>
    <w:rsid w:val="006E0AB5"/>
    <w:rsid w:val="006E527C"/>
    <w:rsid w:val="007074F4"/>
    <w:rsid w:val="00711CF3"/>
    <w:rsid w:val="007161BE"/>
    <w:rsid w:val="00725B0B"/>
    <w:rsid w:val="00725B29"/>
    <w:rsid w:val="0073416E"/>
    <w:rsid w:val="00734231"/>
    <w:rsid w:val="00734DF8"/>
    <w:rsid w:val="007424F6"/>
    <w:rsid w:val="007458C7"/>
    <w:rsid w:val="00756E0D"/>
    <w:rsid w:val="0076603D"/>
    <w:rsid w:val="007706C5"/>
    <w:rsid w:val="0077226C"/>
    <w:rsid w:val="007844FC"/>
    <w:rsid w:val="007970FC"/>
    <w:rsid w:val="007D5A04"/>
    <w:rsid w:val="007D6BF6"/>
    <w:rsid w:val="007F16DB"/>
    <w:rsid w:val="007F48CA"/>
    <w:rsid w:val="007F50D8"/>
    <w:rsid w:val="008012C9"/>
    <w:rsid w:val="00804E04"/>
    <w:rsid w:val="00805EFC"/>
    <w:rsid w:val="00806FC0"/>
    <w:rsid w:val="00814356"/>
    <w:rsid w:val="00815689"/>
    <w:rsid w:val="008225D1"/>
    <w:rsid w:val="00825B21"/>
    <w:rsid w:val="0082626F"/>
    <w:rsid w:val="00827993"/>
    <w:rsid w:val="00830A39"/>
    <w:rsid w:val="00840E95"/>
    <w:rsid w:val="00853544"/>
    <w:rsid w:val="0086393E"/>
    <w:rsid w:val="00865BA9"/>
    <w:rsid w:val="00865C30"/>
    <w:rsid w:val="00874904"/>
    <w:rsid w:val="00877A6B"/>
    <w:rsid w:val="0088746F"/>
    <w:rsid w:val="0089107B"/>
    <w:rsid w:val="008925E3"/>
    <w:rsid w:val="008966D8"/>
    <w:rsid w:val="008B3E77"/>
    <w:rsid w:val="008B6898"/>
    <w:rsid w:val="008C043C"/>
    <w:rsid w:val="008C4E3A"/>
    <w:rsid w:val="008E2B87"/>
    <w:rsid w:val="008F50CC"/>
    <w:rsid w:val="00901C19"/>
    <w:rsid w:val="009034E5"/>
    <w:rsid w:val="00930E77"/>
    <w:rsid w:val="00930FCD"/>
    <w:rsid w:val="00933C81"/>
    <w:rsid w:val="00957C0D"/>
    <w:rsid w:val="00964F2D"/>
    <w:rsid w:val="00964FE0"/>
    <w:rsid w:val="00966506"/>
    <w:rsid w:val="0098277B"/>
    <w:rsid w:val="00984E51"/>
    <w:rsid w:val="00993662"/>
    <w:rsid w:val="00994B01"/>
    <w:rsid w:val="009A6E7D"/>
    <w:rsid w:val="009B495F"/>
    <w:rsid w:val="009B4F8C"/>
    <w:rsid w:val="009C4422"/>
    <w:rsid w:val="009C5669"/>
    <w:rsid w:val="009D631D"/>
    <w:rsid w:val="009E159D"/>
    <w:rsid w:val="00A01B5C"/>
    <w:rsid w:val="00A02197"/>
    <w:rsid w:val="00A203F7"/>
    <w:rsid w:val="00A220F7"/>
    <w:rsid w:val="00A4054A"/>
    <w:rsid w:val="00A41B84"/>
    <w:rsid w:val="00A41F26"/>
    <w:rsid w:val="00A435E6"/>
    <w:rsid w:val="00A47A8D"/>
    <w:rsid w:val="00A50265"/>
    <w:rsid w:val="00A61BF8"/>
    <w:rsid w:val="00A62EEC"/>
    <w:rsid w:val="00A6733D"/>
    <w:rsid w:val="00A67C05"/>
    <w:rsid w:val="00A75442"/>
    <w:rsid w:val="00A82067"/>
    <w:rsid w:val="00A963EB"/>
    <w:rsid w:val="00AA00AD"/>
    <w:rsid w:val="00AB77E4"/>
    <w:rsid w:val="00AC2FC4"/>
    <w:rsid w:val="00AD66C0"/>
    <w:rsid w:val="00B029C4"/>
    <w:rsid w:val="00B11230"/>
    <w:rsid w:val="00B123CD"/>
    <w:rsid w:val="00B17EF0"/>
    <w:rsid w:val="00B264EA"/>
    <w:rsid w:val="00B308B1"/>
    <w:rsid w:val="00B3543F"/>
    <w:rsid w:val="00B35DCF"/>
    <w:rsid w:val="00B44213"/>
    <w:rsid w:val="00B44FD1"/>
    <w:rsid w:val="00B45FEF"/>
    <w:rsid w:val="00B532D7"/>
    <w:rsid w:val="00B55BD8"/>
    <w:rsid w:val="00B55F71"/>
    <w:rsid w:val="00B6508D"/>
    <w:rsid w:val="00B766F5"/>
    <w:rsid w:val="00B860E2"/>
    <w:rsid w:val="00B94174"/>
    <w:rsid w:val="00BA455B"/>
    <w:rsid w:val="00BA5D65"/>
    <w:rsid w:val="00BA6059"/>
    <w:rsid w:val="00BC49FD"/>
    <w:rsid w:val="00BC7F15"/>
    <w:rsid w:val="00BD1DF3"/>
    <w:rsid w:val="00BE1BF2"/>
    <w:rsid w:val="00BF1921"/>
    <w:rsid w:val="00BF2809"/>
    <w:rsid w:val="00C02079"/>
    <w:rsid w:val="00C03821"/>
    <w:rsid w:val="00C144A7"/>
    <w:rsid w:val="00C14D7B"/>
    <w:rsid w:val="00C165DB"/>
    <w:rsid w:val="00C24840"/>
    <w:rsid w:val="00C31028"/>
    <w:rsid w:val="00C44D35"/>
    <w:rsid w:val="00C47C50"/>
    <w:rsid w:val="00C51AC9"/>
    <w:rsid w:val="00C52D6F"/>
    <w:rsid w:val="00C5404D"/>
    <w:rsid w:val="00C54157"/>
    <w:rsid w:val="00C62111"/>
    <w:rsid w:val="00C63C6D"/>
    <w:rsid w:val="00C66D97"/>
    <w:rsid w:val="00C70316"/>
    <w:rsid w:val="00C7175D"/>
    <w:rsid w:val="00C745DB"/>
    <w:rsid w:val="00C827B8"/>
    <w:rsid w:val="00C90B80"/>
    <w:rsid w:val="00C91854"/>
    <w:rsid w:val="00CA06F6"/>
    <w:rsid w:val="00CA46C0"/>
    <w:rsid w:val="00CA56B3"/>
    <w:rsid w:val="00CB295B"/>
    <w:rsid w:val="00CB7139"/>
    <w:rsid w:val="00CD55D7"/>
    <w:rsid w:val="00CE204D"/>
    <w:rsid w:val="00CE50C5"/>
    <w:rsid w:val="00CE7127"/>
    <w:rsid w:val="00D1299D"/>
    <w:rsid w:val="00D15531"/>
    <w:rsid w:val="00D1567D"/>
    <w:rsid w:val="00D20406"/>
    <w:rsid w:val="00D20A20"/>
    <w:rsid w:val="00D31141"/>
    <w:rsid w:val="00D33483"/>
    <w:rsid w:val="00D33DCB"/>
    <w:rsid w:val="00D42D4E"/>
    <w:rsid w:val="00D5406C"/>
    <w:rsid w:val="00D56903"/>
    <w:rsid w:val="00D6775E"/>
    <w:rsid w:val="00D73649"/>
    <w:rsid w:val="00D82F05"/>
    <w:rsid w:val="00D8776D"/>
    <w:rsid w:val="00DA1D77"/>
    <w:rsid w:val="00DA37CF"/>
    <w:rsid w:val="00DA5700"/>
    <w:rsid w:val="00DB1536"/>
    <w:rsid w:val="00DC19E1"/>
    <w:rsid w:val="00DC3942"/>
    <w:rsid w:val="00DC3DD7"/>
    <w:rsid w:val="00DD35BC"/>
    <w:rsid w:val="00DD70D3"/>
    <w:rsid w:val="00DE508F"/>
    <w:rsid w:val="00DE5ACA"/>
    <w:rsid w:val="00DF09A6"/>
    <w:rsid w:val="00DF3B5D"/>
    <w:rsid w:val="00DF55E3"/>
    <w:rsid w:val="00DF71A1"/>
    <w:rsid w:val="00E052E7"/>
    <w:rsid w:val="00E05AE6"/>
    <w:rsid w:val="00E11BC2"/>
    <w:rsid w:val="00E15C1C"/>
    <w:rsid w:val="00E16268"/>
    <w:rsid w:val="00E21278"/>
    <w:rsid w:val="00E2294C"/>
    <w:rsid w:val="00E23EDD"/>
    <w:rsid w:val="00E3001B"/>
    <w:rsid w:val="00E30DA3"/>
    <w:rsid w:val="00E32CF8"/>
    <w:rsid w:val="00E43021"/>
    <w:rsid w:val="00E47F05"/>
    <w:rsid w:val="00E50A64"/>
    <w:rsid w:val="00E561DB"/>
    <w:rsid w:val="00E57A7C"/>
    <w:rsid w:val="00E63767"/>
    <w:rsid w:val="00E65932"/>
    <w:rsid w:val="00E66797"/>
    <w:rsid w:val="00E835E4"/>
    <w:rsid w:val="00E84AAA"/>
    <w:rsid w:val="00E96B6A"/>
    <w:rsid w:val="00EA000E"/>
    <w:rsid w:val="00EA146A"/>
    <w:rsid w:val="00EA23DB"/>
    <w:rsid w:val="00EA2E24"/>
    <w:rsid w:val="00EA3BA7"/>
    <w:rsid w:val="00EA4BD0"/>
    <w:rsid w:val="00EA5440"/>
    <w:rsid w:val="00EB6188"/>
    <w:rsid w:val="00EC258A"/>
    <w:rsid w:val="00EE4F73"/>
    <w:rsid w:val="00EE746A"/>
    <w:rsid w:val="00EF3388"/>
    <w:rsid w:val="00EF4C4F"/>
    <w:rsid w:val="00EF713E"/>
    <w:rsid w:val="00F04182"/>
    <w:rsid w:val="00F26FA7"/>
    <w:rsid w:val="00F3239D"/>
    <w:rsid w:val="00F4106E"/>
    <w:rsid w:val="00F475CB"/>
    <w:rsid w:val="00F54049"/>
    <w:rsid w:val="00F557CE"/>
    <w:rsid w:val="00F66087"/>
    <w:rsid w:val="00F81977"/>
    <w:rsid w:val="00F82126"/>
    <w:rsid w:val="00F8230B"/>
    <w:rsid w:val="00F97270"/>
    <w:rsid w:val="00FA0BBA"/>
    <w:rsid w:val="00FB154B"/>
    <w:rsid w:val="00FD1853"/>
    <w:rsid w:val="00FD70A6"/>
    <w:rsid w:val="00FE4497"/>
    <w:rsid w:val="00FE7B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579DE"/>
  <w15:chartTrackingRefBased/>
  <w15:docId w15:val="{458E766D-E7B4-4AB1-A61E-9CA7BF718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02197"/>
    <w:pPr>
      <w:spacing w:after="200" w:line="240" w:lineRule="auto"/>
      <w:jc w:val="both"/>
    </w:pPr>
    <w:rPr>
      <w:rFonts w:ascii="Times" w:eastAsia="Times New Roman" w:hAnsi="Times" w:cs="Times New Roman"/>
      <w:sz w:val="24"/>
      <w:szCs w:val="20"/>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AMainText">
    <w:name w:val="TA_Main_Text"/>
    <w:basedOn w:val="Standard"/>
    <w:link w:val="TAMainTextZchn"/>
    <w:autoRedefine/>
    <w:rsid w:val="00A02197"/>
    <w:pPr>
      <w:spacing w:after="60"/>
      <w:ind w:right="-25" w:firstLine="180"/>
    </w:pPr>
    <w:rPr>
      <w:rFonts w:ascii="Arno Pro" w:hAnsi="Arno Pro"/>
      <w:kern w:val="21"/>
      <w:sz w:val="19"/>
      <w:lang w:val="en-GB"/>
    </w:rPr>
  </w:style>
  <w:style w:type="paragraph" w:customStyle="1" w:styleId="BBAuthorName">
    <w:name w:val="BB_Author_Name"/>
    <w:basedOn w:val="Standard"/>
    <w:next w:val="Standard"/>
    <w:autoRedefine/>
    <w:rsid w:val="00341F3D"/>
    <w:pPr>
      <w:spacing w:after="180"/>
      <w:jc w:val="left"/>
    </w:pPr>
    <w:rPr>
      <w:rFonts w:ascii="Arial" w:hAnsi="Arial" w:cs="Arial"/>
      <w:kern w:val="26"/>
      <w:sz w:val="22"/>
    </w:rPr>
  </w:style>
  <w:style w:type="character" w:customStyle="1" w:styleId="TAMainTextZchn">
    <w:name w:val="TA_Main_Text Zchn"/>
    <w:basedOn w:val="Absatz-Standardschriftart"/>
    <w:link w:val="TAMainText"/>
    <w:rsid w:val="00A02197"/>
    <w:rPr>
      <w:rFonts w:ascii="Arno Pro" w:eastAsia="Times New Roman" w:hAnsi="Arno Pro" w:cs="Times New Roman"/>
      <w:kern w:val="21"/>
      <w:sz w:val="19"/>
      <w:szCs w:val="20"/>
      <w:lang w:val="en-GB"/>
    </w:rPr>
  </w:style>
  <w:style w:type="paragraph" w:customStyle="1" w:styleId="Tableofcontents">
    <w:name w:val="Table of contents"/>
    <w:basedOn w:val="Standard"/>
    <w:autoRedefine/>
    <w:rsid w:val="00A02197"/>
    <w:pPr>
      <w:spacing w:after="0"/>
      <w:jc w:val="left"/>
    </w:pPr>
    <w:rPr>
      <w:rFonts w:ascii="Times New Roman" w:eastAsia="MS Mincho" w:hAnsi="Times New Roman"/>
      <w:szCs w:val="24"/>
      <w:lang w:eastAsia="ja-JP"/>
    </w:rPr>
  </w:style>
  <w:style w:type="paragraph" w:customStyle="1" w:styleId="Title2">
    <w:name w:val="Title2"/>
    <w:basedOn w:val="Standard"/>
    <w:rsid w:val="00A02197"/>
    <w:pPr>
      <w:spacing w:after="0"/>
      <w:jc w:val="left"/>
    </w:pPr>
    <w:rPr>
      <w:rFonts w:ascii="Times New Roman" w:eastAsia="MS Mincho" w:hAnsi="Times New Roman"/>
      <w:b/>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2233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Bundesinstitut für Risikobewertung</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Frau Charlotte Kromer</dc:creator>
  <cp:keywords/>
  <dc:description/>
  <cp:lastModifiedBy>Frau Charlotte Kromer</cp:lastModifiedBy>
  <cp:revision>6</cp:revision>
  <dcterms:created xsi:type="dcterms:W3CDTF">2022-02-07T11:22:00Z</dcterms:created>
  <dcterms:modified xsi:type="dcterms:W3CDTF">2022-02-14T17:07:00Z</dcterms:modified>
</cp:coreProperties>
</file>